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1424" w:firstLineChars="591"/>
        <w:rPr>
          <w:rFonts w:ascii="宋体" w:hAnsi="宋体" w:eastAsia="宋体"/>
          <w:b/>
          <w:sz w:val="24"/>
          <w:szCs w:val="24"/>
        </w:rPr>
      </w:pPr>
      <w:bookmarkStart w:id="23" w:name="_GoBack"/>
      <w:bookmarkEnd w:id="23"/>
    </w:p>
    <w:p>
      <w:pPr>
        <w:spacing w:line="500" w:lineRule="exact"/>
        <w:ind w:firstLine="1424" w:firstLineChars="591"/>
        <w:rPr>
          <w:rFonts w:ascii="宋体" w:hAnsi="宋体" w:eastAsia="宋体"/>
          <w:b/>
          <w:sz w:val="24"/>
          <w:szCs w:val="24"/>
        </w:rPr>
      </w:pPr>
    </w:p>
    <w:p>
      <w:pPr>
        <w:spacing w:line="500" w:lineRule="exact"/>
        <w:ind w:firstLine="1783" w:firstLineChars="740"/>
        <w:rPr>
          <w:rFonts w:ascii="宋体" w:hAnsi="宋体" w:eastAsia="宋体"/>
          <w:b/>
          <w:sz w:val="24"/>
          <w:szCs w:val="24"/>
        </w:rPr>
      </w:pPr>
    </w:p>
    <w:p>
      <w:pPr>
        <w:spacing w:line="500" w:lineRule="exact"/>
        <w:jc w:val="center"/>
        <w:rPr>
          <w:rFonts w:ascii="宋体" w:hAnsi="宋体" w:eastAsia="宋体"/>
          <w:b/>
          <w:sz w:val="24"/>
          <w:szCs w:val="24"/>
        </w:rPr>
      </w:pPr>
    </w:p>
    <w:p>
      <w:pPr>
        <w:spacing w:line="500" w:lineRule="exact"/>
        <w:ind w:firstLine="241" w:firstLineChars="100"/>
        <w:jc w:val="center"/>
        <w:rPr>
          <w:rFonts w:ascii="宋体" w:hAnsi="宋体" w:eastAsia="宋体"/>
          <w:b/>
          <w:sz w:val="24"/>
          <w:szCs w:val="24"/>
        </w:rPr>
      </w:pPr>
    </w:p>
    <w:p>
      <w:pPr>
        <w:spacing w:line="500" w:lineRule="exact"/>
        <w:jc w:val="center"/>
        <w:rPr>
          <w:rFonts w:ascii="宋体" w:hAnsi="宋体" w:eastAsia="宋体"/>
          <w:b/>
          <w:sz w:val="32"/>
          <w:szCs w:val="32"/>
        </w:rPr>
      </w:pPr>
      <w:r>
        <w:rPr>
          <w:rFonts w:hint="eastAsia" w:ascii="宋体" w:hAnsi="宋体" w:eastAsia="宋体"/>
          <w:b/>
          <w:sz w:val="32"/>
          <w:szCs w:val="32"/>
        </w:rPr>
        <w:t>直播设备和演播室局部改造项目</w:t>
      </w:r>
    </w:p>
    <w:p>
      <w:pPr>
        <w:spacing w:line="500" w:lineRule="exact"/>
        <w:ind w:firstLine="181" w:firstLineChars="50"/>
        <w:jc w:val="center"/>
        <w:rPr>
          <w:rFonts w:ascii="宋体" w:hAnsi="宋体" w:eastAsia="宋体"/>
          <w:b/>
          <w:sz w:val="36"/>
          <w:szCs w:val="36"/>
        </w:rPr>
      </w:pPr>
    </w:p>
    <w:p>
      <w:pPr>
        <w:spacing w:line="500" w:lineRule="exact"/>
        <w:ind w:firstLine="120" w:firstLineChars="50"/>
        <w:jc w:val="center"/>
        <w:rPr>
          <w:rFonts w:ascii="宋体" w:hAnsi="宋体" w:eastAsia="宋体"/>
          <w:b/>
          <w:sz w:val="24"/>
          <w:szCs w:val="24"/>
        </w:rPr>
      </w:pPr>
    </w:p>
    <w:p>
      <w:pPr>
        <w:spacing w:line="500" w:lineRule="exact"/>
        <w:ind w:firstLine="2512" w:firstLineChars="695"/>
        <w:rPr>
          <w:rFonts w:ascii="宋体" w:hAnsi="宋体" w:eastAsia="宋体"/>
          <w:b/>
          <w:sz w:val="36"/>
          <w:szCs w:val="36"/>
        </w:rPr>
      </w:pPr>
      <w:r>
        <w:rPr>
          <w:rFonts w:hint="eastAsia" w:ascii="宋体" w:hAnsi="宋体" w:eastAsia="宋体"/>
          <w:b/>
          <w:sz w:val="36"/>
          <w:szCs w:val="36"/>
        </w:rPr>
        <w:t>竞争性谈判采购文件</w:t>
      </w:r>
    </w:p>
    <w:p>
      <w:pPr>
        <w:spacing w:line="500" w:lineRule="exact"/>
        <w:jc w:val="center"/>
        <w:rPr>
          <w:rFonts w:ascii="宋体" w:hAnsi="宋体" w:eastAsia="宋体"/>
          <w:b/>
          <w:color w:val="000000"/>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ind w:firstLine="1428" w:firstLineChars="395"/>
        <w:rPr>
          <w:rFonts w:ascii="宋体" w:hAnsi="宋体" w:eastAsia="宋体" w:cs="仿宋"/>
          <w:b/>
          <w:sz w:val="36"/>
          <w:szCs w:val="36"/>
          <w:u w:val="single"/>
        </w:rPr>
      </w:pPr>
      <w:r>
        <w:rPr>
          <w:rFonts w:hint="eastAsia" w:ascii="宋体" w:hAnsi="宋体" w:eastAsia="宋体" w:cs="仿宋"/>
          <w:b/>
          <w:sz w:val="36"/>
          <w:szCs w:val="36"/>
        </w:rPr>
        <w:t>南通日报社（</w:t>
      </w:r>
      <w:r>
        <w:rPr>
          <w:rFonts w:hint="eastAsia" w:ascii="宋体" w:hAnsi="宋体" w:eastAsia="宋体" w:cs="仿宋"/>
          <w:b/>
          <w:color w:val="000000"/>
          <w:sz w:val="36"/>
          <w:szCs w:val="36"/>
        </w:rPr>
        <w:t>南通报业传媒集团</w:t>
      </w:r>
      <w:r>
        <w:rPr>
          <w:rFonts w:hint="eastAsia" w:ascii="宋体" w:hAnsi="宋体" w:eastAsia="宋体" w:cs="仿宋"/>
          <w:color w:val="000000"/>
          <w:sz w:val="36"/>
          <w:szCs w:val="36"/>
        </w:rPr>
        <w:t>）</w:t>
      </w:r>
    </w:p>
    <w:p>
      <w:pPr>
        <w:spacing w:line="500" w:lineRule="exact"/>
        <w:jc w:val="center"/>
        <w:rPr>
          <w:rFonts w:ascii="宋体" w:hAnsi="宋体" w:eastAsia="宋体" w:cs="仿宋"/>
          <w:spacing w:val="8"/>
          <w:sz w:val="24"/>
          <w:szCs w:val="24"/>
        </w:rPr>
      </w:pPr>
    </w:p>
    <w:p>
      <w:pPr>
        <w:spacing w:line="500" w:lineRule="exact"/>
        <w:ind w:firstLine="2621" w:firstLineChars="1088"/>
        <w:rPr>
          <w:rFonts w:ascii="宋体" w:hAnsi="宋体" w:eastAsia="宋体" w:cs="仿宋"/>
          <w:b/>
          <w:sz w:val="24"/>
          <w:szCs w:val="24"/>
        </w:rPr>
      </w:pPr>
      <w:r>
        <w:rPr>
          <w:rFonts w:hint="eastAsia" w:ascii="宋体" w:hAnsi="宋体" w:eastAsia="宋体" w:cs="仿宋"/>
          <w:b/>
          <w:sz w:val="24"/>
          <w:szCs w:val="24"/>
        </w:rPr>
        <w:t>日期：</w:t>
      </w:r>
      <w:r>
        <w:rPr>
          <w:rFonts w:ascii="宋体" w:hAnsi="宋体" w:eastAsia="宋体" w:cs="仿宋"/>
          <w:b/>
          <w:sz w:val="24"/>
          <w:szCs w:val="24"/>
        </w:rPr>
        <w:t>20</w:t>
      </w:r>
      <w:r>
        <w:rPr>
          <w:rFonts w:hint="eastAsia" w:ascii="宋体" w:hAnsi="宋体" w:eastAsia="宋体" w:cs="仿宋"/>
          <w:b/>
          <w:sz w:val="24"/>
          <w:szCs w:val="24"/>
        </w:rPr>
        <w:t>20年10月2</w:t>
      </w:r>
      <w:r>
        <w:rPr>
          <w:rFonts w:ascii="宋体" w:hAnsi="宋体" w:eastAsia="宋体" w:cs="仿宋"/>
          <w:b/>
          <w:sz w:val="24"/>
          <w:szCs w:val="24"/>
        </w:rPr>
        <w:t>2</w:t>
      </w:r>
      <w:r>
        <w:rPr>
          <w:rFonts w:hint="eastAsia" w:ascii="宋体" w:hAnsi="宋体" w:eastAsia="宋体" w:cs="仿宋"/>
          <w:b/>
          <w:sz w:val="24"/>
          <w:szCs w:val="24"/>
        </w:rPr>
        <w:t>日</w:t>
      </w:r>
    </w:p>
    <w:p>
      <w:pPr>
        <w:widowControl/>
        <w:jc w:val="left"/>
        <w:rPr>
          <w:rFonts w:ascii="宋体" w:hAnsi="宋体" w:eastAsia="宋体"/>
          <w:sz w:val="24"/>
          <w:szCs w:val="24"/>
        </w:rPr>
      </w:pPr>
      <w:r>
        <w:rPr>
          <w:rFonts w:ascii="宋体" w:hAnsi="宋体" w:eastAsia="宋体"/>
          <w:sz w:val="24"/>
          <w:szCs w:val="24"/>
        </w:rPr>
        <w:br w:type="page"/>
      </w:r>
    </w:p>
    <w:p>
      <w:pPr>
        <w:spacing w:line="400" w:lineRule="exact"/>
        <w:jc w:val="center"/>
        <w:rPr>
          <w:rFonts w:ascii="宋体" w:hAnsi="宋体" w:eastAsia="宋体"/>
          <w:sz w:val="24"/>
          <w:szCs w:val="24"/>
        </w:rPr>
      </w:pPr>
    </w:p>
    <w:p>
      <w:pPr>
        <w:spacing w:line="400" w:lineRule="exact"/>
        <w:jc w:val="center"/>
        <w:rPr>
          <w:rFonts w:ascii="宋体" w:hAnsi="宋体" w:eastAsia="宋体"/>
          <w:b/>
          <w:sz w:val="32"/>
          <w:szCs w:val="32"/>
        </w:rPr>
      </w:pPr>
      <w:r>
        <w:rPr>
          <w:rFonts w:hint="eastAsia" w:ascii="宋体" w:hAnsi="宋体" w:eastAsia="宋体"/>
          <w:b/>
          <w:sz w:val="32"/>
          <w:szCs w:val="32"/>
        </w:rPr>
        <w:t>目   录</w:t>
      </w:r>
    </w:p>
    <w:p>
      <w:pPr>
        <w:spacing w:line="400" w:lineRule="exact"/>
        <w:jc w:val="center"/>
        <w:rPr>
          <w:rFonts w:ascii="宋体" w:hAnsi="宋体" w:eastAsia="宋体"/>
          <w:b/>
          <w:sz w:val="24"/>
          <w:szCs w:val="24"/>
        </w:rPr>
      </w:pPr>
    </w:p>
    <w:p>
      <w:pPr>
        <w:spacing w:line="400" w:lineRule="exact"/>
        <w:jc w:val="center"/>
        <w:rPr>
          <w:rFonts w:ascii="宋体" w:hAnsi="宋体" w:eastAsia="宋体"/>
          <w:b/>
          <w:sz w:val="24"/>
          <w:szCs w:val="24"/>
        </w:rPr>
      </w:pPr>
    </w:p>
    <w:p>
      <w:pPr>
        <w:tabs>
          <w:tab w:val="left" w:pos="7740"/>
        </w:tabs>
        <w:spacing w:line="400" w:lineRule="exact"/>
        <w:rPr>
          <w:rFonts w:ascii="宋体" w:hAnsi="宋体" w:eastAsia="宋体"/>
          <w:b/>
          <w:bCs/>
          <w:sz w:val="24"/>
          <w:szCs w:val="24"/>
        </w:rPr>
      </w:pPr>
    </w:p>
    <w:sdt>
      <w:sdtPr>
        <w:rPr>
          <w:rFonts w:asciiTheme="minorHAnsi" w:hAnsiTheme="minorHAnsi" w:eastAsiaTheme="minorEastAsia" w:cstheme="minorBidi"/>
          <w:b w:val="0"/>
          <w:bCs w:val="0"/>
          <w:color w:val="auto"/>
          <w:kern w:val="2"/>
          <w:sz w:val="21"/>
          <w:szCs w:val="22"/>
          <w:lang w:val="zh-CN"/>
        </w:rPr>
        <w:id w:val="678926314"/>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60"/>
            <w:spacing w:line="360" w:lineRule="auto"/>
            <w:rPr>
              <w:b w:val="0"/>
            </w:rPr>
          </w:pPr>
        </w:p>
        <w:p>
          <w:pPr>
            <w:pStyle w:val="18"/>
            <w:tabs>
              <w:tab w:val="right" w:leader="dot" w:pos="8296"/>
            </w:tabs>
            <w:spacing w:line="360" w:lineRule="auto"/>
            <w:rPr>
              <w:rFonts w:asciiTheme="minorHAnsi" w:hAnsiTheme="minorHAnsi" w:eastAsiaTheme="minorEastAsia" w:cstheme="minorBidi"/>
              <w:szCs w:val="22"/>
            </w:rPr>
          </w:pPr>
          <w:r>
            <w:rPr>
              <w:sz w:val="28"/>
            </w:rPr>
            <w:fldChar w:fldCharType="begin"/>
          </w:r>
          <w:r>
            <w:rPr>
              <w:sz w:val="28"/>
            </w:rPr>
            <w:instrText xml:space="preserve"> TOC \o "1-3" \h \z \u </w:instrText>
          </w:r>
          <w:r>
            <w:rPr>
              <w:sz w:val="28"/>
            </w:rPr>
            <w:fldChar w:fldCharType="separate"/>
          </w:r>
          <w:r>
            <w:fldChar w:fldCharType="begin"/>
          </w:r>
          <w:r>
            <w:instrText xml:space="preserve"> HYPERLINK \l "_Toc511997107" </w:instrText>
          </w:r>
          <w:r>
            <w:fldChar w:fldCharType="separate"/>
          </w:r>
          <w:r>
            <w:rPr>
              <w:rStyle w:val="25"/>
              <w:rFonts w:hint="eastAsia"/>
            </w:rPr>
            <w:t>第一部分</w:t>
          </w:r>
          <w:r>
            <w:rPr>
              <w:rStyle w:val="25"/>
              <w:rFonts w:hint="eastAsia"/>
            </w:rPr>
            <w:fldChar w:fldCharType="end"/>
          </w:r>
          <w:r>
            <w:rPr>
              <w:rFonts w:hint="eastAsia"/>
            </w:rPr>
            <w:t xml:space="preserve"> 直播设备和演播室局部改造项目</w:t>
          </w:r>
          <w:r>
            <w:fldChar w:fldCharType="begin"/>
          </w:r>
          <w:r>
            <w:instrText xml:space="preserve"> HYPERLINK \l "_Toc511997108" </w:instrText>
          </w:r>
          <w:r>
            <w:fldChar w:fldCharType="separate"/>
          </w:r>
          <w:r>
            <w:rPr>
              <w:rStyle w:val="25"/>
              <w:rFonts w:hint="eastAsia"/>
            </w:rPr>
            <w:t>竞争性谈判投标邀请</w:t>
          </w:r>
          <w:r>
            <w:tab/>
          </w:r>
          <w:r>
            <w:fldChar w:fldCharType="begin"/>
          </w:r>
          <w:r>
            <w:instrText xml:space="preserve"> PAGEREF _Toc511997108 \h </w:instrText>
          </w:r>
          <w:r>
            <w:fldChar w:fldCharType="separate"/>
          </w:r>
          <w:r>
            <w:t>3</w:t>
          </w:r>
          <w:r>
            <w:fldChar w:fldCharType="end"/>
          </w:r>
          <w:r>
            <w:fldChar w:fldCharType="end"/>
          </w:r>
        </w:p>
        <w:p>
          <w:pPr>
            <w:pStyle w:val="18"/>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"_Toc511997109" </w:instrText>
          </w:r>
          <w:r>
            <w:fldChar w:fldCharType="separate"/>
          </w:r>
          <w:r>
            <w:rPr>
              <w:rStyle w:val="25"/>
              <w:rFonts w:hint="eastAsia"/>
            </w:rPr>
            <w:t>第二部分</w:t>
          </w:r>
          <w:r>
            <w:rPr>
              <w:rStyle w:val="25"/>
            </w:rPr>
            <w:t xml:space="preserve"> </w:t>
          </w:r>
          <w:r>
            <w:rPr>
              <w:rStyle w:val="25"/>
              <w:rFonts w:hint="eastAsia"/>
            </w:rPr>
            <w:t>供应商谈判</w:t>
          </w:r>
          <w:r>
            <w:rPr>
              <w:rStyle w:val="25"/>
              <w:rFonts w:hint="eastAsia" w:cs="仿宋"/>
            </w:rPr>
            <w:t>须知</w:t>
          </w:r>
          <w:r>
            <w:tab/>
          </w:r>
          <w:r>
            <w:fldChar w:fldCharType="begin"/>
          </w:r>
          <w:r>
            <w:instrText xml:space="preserve"> PAGEREF _Toc511997109 \h </w:instrText>
          </w:r>
          <w:r>
            <w:fldChar w:fldCharType="separate"/>
          </w:r>
          <w:r>
            <w:rPr>
              <w:rFonts w:hint="eastAsia"/>
            </w:rPr>
            <w:t>20</w:t>
          </w:r>
          <w:r>
            <w:fldChar w:fldCharType="end"/>
          </w:r>
          <w:r>
            <w:fldChar w:fldCharType="end"/>
          </w:r>
        </w:p>
        <w:p>
          <w:pPr>
            <w:pStyle w:val="18"/>
            <w:tabs>
              <w:tab w:val="right" w:leader="dot" w:pos="8296"/>
            </w:tabs>
            <w:spacing w:line="360" w:lineRule="auto"/>
            <w:rPr>
              <w:rFonts w:asciiTheme="minorHAnsi" w:hAnsiTheme="minorHAnsi" w:cstheme="minorBidi"/>
              <w:szCs w:val="22"/>
            </w:rPr>
          </w:pPr>
          <w:r>
            <w:fldChar w:fldCharType="begin"/>
          </w:r>
          <w:r>
            <w:instrText xml:space="preserve"> HYPERLINK \l "_Toc511997110" </w:instrText>
          </w:r>
          <w:r>
            <w:fldChar w:fldCharType="separate"/>
          </w:r>
          <w:r>
            <w:rPr>
              <w:rStyle w:val="25"/>
              <w:rFonts w:hint="eastAsia"/>
            </w:rPr>
            <w:t>第三部分</w:t>
          </w:r>
          <w:r>
            <w:rPr>
              <w:rStyle w:val="25"/>
            </w:rPr>
            <w:t xml:space="preserve">  </w:t>
          </w:r>
          <w:r>
            <w:rPr>
              <w:rStyle w:val="25"/>
              <w:rFonts w:hint="eastAsia"/>
            </w:rPr>
            <w:t>采购需求说明</w:t>
          </w:r>
          <w:r>
            <w:tab/>
          </w:r>
          <w:r>
            <w:rPr>
              <w:rFonts w:hint="eastAsia"/>
            </w:rPr>
            <w:t>2</w:t>
          </w:r>
          <w:r>
            <w:rPr>
              <w:rFonts w:hint="eastAsia"/>
            </w:rPr>
            <w:fldChar w:fldCharType="end"/>
          </w:r>
          <w:r>
            <w:rPr>
              <w:rFonts w:hint="eastAsia"/>
            </w:rPr>
            <w:t>5</w:t>
          </w:r>
        </w:p>
        <w:p>
          <w:pPr>
            <w:pStyle w:val="18"/>
            <w:tabs>
              <w:tab w:val="right" w:leader="dot" w:pos="8296"/>
            </w:tabs>
            <w:spacing w:line="360" w:lineRule="auto"/>
            <w:rPr>
              <w:rFonts w:asciiTheme="minorHAnsi" w:hAnsiTheme="minorHAnsi" w:cstheme="minorBidi"/>
              <w:szCs w:val="22"/>
            </w:rPr>
          </w:pPr>
          <w:r>
            <w:fldChar w:fldCharType="begin"/>
          </w:r>
          <w:r>
            <w:instrText xml:space="preserve"> HYPERLINK \l "_Toc511997111" </w:instrText>
          </w:r>
          <w:r>
            <w:fldChar w:fldCharType="separate"/>
          </w:r>
          <w:r>
            <w:rPr>
              <w:rStyle w:val="25"/>
              <w:rFonts w:hint="eastAsia"/>
              <w:lang w:val="zh-CN"/>
            </w:rPr>
            <w:t>第四部分</w:t>
          </w:r>
          <w:r>
            <w:rPr>
              <w:rStyle w:val="25"/>
              <w:lang w:val="zh-CN"/>
            </w:rPr>
            <w:t xml:space="preserve">  </w:t>
          </w:r>
          <w:r>
            <w:rPr>
              <w:rStyle w:val="25"/>
              <w:rFonts w:hint="eastAsia"/>
              <w:lang w:val="zh-CN"/>
            </w:rPr>
            <w:t>谈判注意事项和审查内容</w:t>
          </w:r>
          <w:r>
            <w:tab/>
          </w:r>
          <w:r>
            <w:rPr>
              <w:rFonts w:hint="eastAsia"/>
            </w:rPr>
            <w:t>2</w:t>
          </w:r>
          <w:r>
            <w:rPr>
              <w:rFonts w:hint="eastAsia"/>
            </w:rPr>
            <w:fldChar w:fldCharType="end"/>
          </w:r>
          <w:r>
            <w:rPr>
              <w:rFonts w:hint="eastAsia"/>
            </w:rPr>
            <w:t>7</w:t>
          </w:r>
        </w:p>
        <w:p>
          <w:pPr>
            <w:pStyle w:val="18"/>
            <w:tabs>
              <w:tab w:val="right" w:leader="dot" w:pos="8296"/>
            </w:tabs>
            <w:spacing w:line="360" w:lineRule="auto"/>
            <w:rPr>
              <w:rFonts w:asciiTheme="minorHAnsi" w:hAnsiTheme="minorHAnsi" w:cstheme="minorBidi"/>
              <w:szCs w:val="22"/>
            </w:rPr>
          </w:pPr>
          <w:r>
            <w:fldChar w:fldCharType="begin"/>
          </w:r>
          <w:r>
            <w:instrText xml:space="preserve"> HYPERLINK \l "_Toc511997112" </w:instrText>
          </w:r>
          <w:r>
            <w:fldChar w:fldCharType="separate"/>
          </w:r>
          <w:r>
            <w:rPr>
              <w:rStyle w:val="25"/>
              <w:rFonts w:hint="eastAsia"/>
            </w:rPr>
            <w:t>第五部分</w:t>
          </w:r>
          <w:r>
            <w:rPr>
              <w:rStyle w:val="25"/>
            </w:rPr>
            <w:t xml:space="preserve">  </w:t>
          </w:r>
          <w:r>
            <w:rPr>
              <w:rStyle w:val="25"/>
              <w:rFonts w:hint="eastAsia"/>
            </w:rPr>
            <w:t>拟签订的合同文本条款</w:t>
          </w:r>
          <w:r>
            <w:tab/>
          </w:r>
          <w:r>
            <w:rPr>
              <w:rFonts w:hint="eastAsia"/>
            </w:rPr>
            <w:t>3</w:t>
          </w:r>
          <w:r>
            <w:rPr>
              <w:rFonts w:hint="eastAsia"/>
            </w:rPr>
            <w:fldChar w:fldCharType="end"/>
          </w:r>
          <w:r>
            <w:rPr>
              <w:rFonts w:hint="eastAsia"/>
            </w:rPr>
            <w:t>1</w:t>
          </w:r>
        </w:p>
        <w:p>
          <w:pPr>
            <w:pStyle w:val="18"/>
            <w:tabs>
              <w:tab w:val="right" w:leader="dot" w:pos="8296"/>
            </w:tabs>
            <w:spacing w:line="360" w:lineRule="auto"/>
            <w:rPr>
              <w:rFonts w:asciiTheme="minorHAnsi" w:hAnsiTheme="minorHAnsi" w:cstheme="minorBidi"/>
              <w:szCs w:val="22"/>
            </w:rPr>
          </w:pPr>
          <w:r>
            <w:fldChar w:fldCharType="begin"/>
          </w:r>
          <w:r>
            <w:instrText xml:space="preserve"> HYPERLINK \l "_Toc511997113" </w:instrText>
          </w:r>
          <w:r>
            <w:fldChar w:fldCharType="separate"/>
          </w:r>
          <w:r>
            <w:rPr>
              <w:rStyle w:val="25"/>
              <w:rFonts w:hint="eastAsia"/>
            </w:rPr>
            <w:t>第六部分</w:t>
          </w:r>
          <w:r>
            <w:rPr>
              <w:rStyle w:val="25"/>
            </w:rPr>
            <w:t xml:space="preserve">  </w:t>
          </w:r>
          <w:r>
            <w:rPr>
              <w:rStyle w:val="25"/>
              <w:rFonts w:hint="eastAsia"/>
            </w:rPr>
            <w:t>质疑提出和处理</w:t>
          </w:r>
          <w:r>
            <w:tab/>
          </w:r>
          <w:r>
            <w:rPr>
              <w:rFonts w:hint="eastAsia"/>
            </w:rPr>
            <w:t>3</w:t>
          </w:r>
          <w:r>
            <w:rPr>
              <w:rFonts w:hint="eastAsia"/>
            </w:rPr>
            <w:fldChar w:fldCharType="end"/>
          </w:r>
          <w:r>
            <w:rPr>
              <w:rFonts w:hint="eastAsia"/>
            </w:rPr>
            <w:t>7</w:t>
          </w:r>
        </w:p>
        <w:p>
          <w:pPr>
            <w:pStyle w:val="18"/>
            <w:tabs>
              <w:tab w:val="right" w:leader="dot" w:pos="8296"/>
            </w:tabs>
            <w:spacing w:line="360" w:lineRule="auto"/>
            <w:rPr>
              <w:rFonts w:asciiTheme="minorHAnsi" w:hAnsiTheme="minorHAnsi" w:cstheme="minorBidi"/>
              <w:szCs w:val="22"/>
            </w:rPr>
          </w:pPr>
          <w:r>
            <w:fldChar w:fldCharType="begin"/>
          </w:r>
          <w:r>
            <w:instrText xml:space="preserve"> HYPERLINK \l "_Toc511997114" </w:instrText>
          </w:r>
          <w:r>
            <w:fldChar w:fldCharType="separate"/>
          </w:r>
          <w:r>
            <w:rPr>
              <w:rStyle w:val="25"/>
              <w:rFonts w:hint="eastAsia" w:ascii="宋体" w:hAnsi="宋体"/>
            </w:rPr>
            <w:t>第七部分</w:t>
          </w:r>
          <w:r>
            <w:rPr>
              <w:rStyle w:val="25"/>
              <w:rFonts w:ascii="宋体" w:hAnsi="宋体"/>
            </w:rPr>
            <w:t xml:space="preserve">  </w:t>
          </w:r>
          <w:r>
            <w:rPr>
              <w:rStyle w:val="25"/>
              <w:rFonts w:hint="eastAsia" w:ascii="宋体" w:hAnsi="宋体"/>
            </w:rPr>
            <w:t>响应文件组成</w:t>
          </w:r>
          <w:r>
            <w:rPr>
              <w:rStyle w:val="25"/>
              <w:rFonts w:hint="eastAsia" w:ascii="宋体" w:hAnsi="宋体"/>
              <w:bCs/>
            </w:rPr>
            <w:t>及编制要求</w:t>
          </w:r>
          <w:r>
            <w:tab/>
          </w:r>
          <w:r>
            <w:rPr>
              <w:rFonts w:hint="eastAsia"/>
            </w:rPr>
            <w:t>4</w:t>
          </w:r>
          <w:r>
            <w:rPr>
              <w:rFonts w:hint="eastAsia"/>
            </w:rPr>
            <w:fldChar w:fldCharType="end"/>
          </w:r>
          <w:r>
            <w:rPr>
              <w:rFonts w:hint="eastAsia"/>
            </w:rPr>
            <w:t>0</w:t>
          </w:r>
        </w:p>
        <w:p>
          <w:pPr>
            <w:spacing w:line="360" w:lineRule="auto"/>
          </w:pPr>
          <w:r>
            <w:rPr>
              <w:sz w:val="28"/>
            </w:rPr>
            <w:fldChar w:fldCharType="end"/>
          </w:r>
        </w:p>
      </w:sdtContent>
    </w:sdt>
    <w:p>
      <w:pPr>
        <w:pStyle w:val="18"/>
        <w:tabs>
          <w:tab w:val="right" w:leader="dot" w:pos="8296"/>
        </w:tabs>
        <w:spacing w:line="400" w:lineRule="exact"/>
        <w:rPr>
          <w:rStyle w:val="25"/>
          <w:rFonts w:ascii="宋体" w:hAnsi="宋体"/>
          <w:sz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500" w:lineRule="exact"/>
        <w:ind w:firstLine="711" w:firstLineChars="295"/>
        <w:rPr>
          <w:rFonts w:ascii="宋体" w:hAnsi="宋体" w:eastAsia="宋体"/>
          <w:b/>
          <w:color w:val="000000"/>
          <w:sz w:val="24"/>
          <w:szCs w:val="24"/>
        </w:rPr>
      </w:pPr>
    </w:p>
    <w:p>
      <w:pPr>
        <w:spacing w:line="500" w:lineRule="exact"/>
        <w:ind w:firstLine="711" w:firstLineChars="295"/>
        <w:rPr>
          <w:rFonts w:ascii="宋体" w:hAnsi="宋体" w:eastAsia="宋体"/>
          <w:b/>
          <w:color w:val="000000"/>
          <w:sz w:val="24"/>
          <w:szCs w:val="24"/>
        </w:rPr>
      </w:pPr>
    </w:p>
    <w:p>
      <w:pPr>
        <w:spacing w:line="500" w:lineRule="exact"/>
        <w:ind w:firstLine="711" w:firstLineChars="295"/>
        <w:rPr>
          <w:rFonts w:ascii="宋体" w:hAnsi="宋体" w:eastAsia="宋体"/>
          <w:b/>
          <w:color w:val="000000"/>
          <w:sz w:val="24"/>
          <w:szCs w:val="24"/>
        </w:rPr>
      </w:pPr>
    </w:p>
    <w:p>
      <w:pPr>
        <w:spacing w:line="500" w:lineRule="exact"/>
        <w:ind w:firstLine="711" w:firstLineChars="295"/>
        <w:rPr>
          <w:rFonts w:ascii="宋体" w:hAnsi="宋体" w:eastAsia="宋体"/>
          <w:b/>
          <w:color w:val="000000"/>
          <w:sz w:val="24"/>
          <w:szCs w:val="24"/>
        </w:rPr>
      </w:pPr>
    </w:p>
    <w:p>
      <w:pPr>
        <w:spacing w:line="500" w:lineRule="exact"/>
        <w:ind w:firstLine="711" w:firstLineChars="295"/>
        <w:rPr>
          <w:rFonts w:ascii="宋体" w:hAnsi="宋体" w:eastAsia="宋体"/>
          <w:b/>
          <w:color w:val="000000"/>
          <w:sz w:val="24"/>
          <w:szCs w:val="24"/>
        </w:rPr>
      </w:pPr>
    </w:p>
    <w:p>
      <w:pPr>
        <w:widowControl/>
        <w:jc w:val="left"/>
        <w:rPr>
          <w:rFonts w:ascii="宋体" w:hAnsi="宋体" w:eastAsia="宋体"/>
          <w:b/>
          <w:color w:val="000000"/>
          <w:sz w:val="24"/>
          <w:szCs w:val="24"/>
        </w:rPr>
      </w:pPr>
    </w:p>
    <w:p>
      <w:pPr>
        <w:widowControl/>
        <w:jc w:val="left"/>
        <w:rPr>
          <w:rFonts w:ascii="宋体" w:hAnsi="宋体" w:eastAsia="宋体"/>
          <w:b/>
          <w:color w:val="000000"/>
          <w:sz w:val="24"/>
          <w:szCs w:val="24"/>
        </w:rPr>
      </w:pPr>
      <w:r>
        <w:rPr>
          <w:rFonts w:ascii="宋体" w:hAnsi="宋体" w:eastAsia="宋体"/>
          <w:b/>
          <w:color w:val="000000"/>
          <w:sz w:val="24"/>
          <w:szCs w:val="24"/>
        </w:rPr>
        <w:br w:type="page"/>
      </w:r>
    </w:p>
    <w:p>
      <w:pPr>
        <w:pStyle w:val="4"/>
        <w:jc w:val="center"/>
        <w:rPr>
          <w:color w:val="000000"/>
        </w:rPr>
      </w:pPr>
      <w:bookmarkStart w:id="0" w:name="_Toc511997107"/>
      <w:r>
        <w:rPr>
          <w:rFonts w:hint="eastAsia"/>
          <w:color w:val="000000"/>
        </w:rPr>
        <w:t>南通日报社（南通报业传媒集团）</w:t>
      </w:r>
      <w:bookmarkEnd w:id="0"/>
    </w:p>
    <w:p>
      <w:pPr>
        <w:pStyle w:val="4"/>
        <w:jc w:val="center"/>
        <w:rPr>
          <w:color w:val="000000"/>
        </w:rPr>
      </w:pPr>
      <w:r>
        <w:rPr>
          <w:rFonts w:hint="eastAsia"/>
          <w:bCs w:val="0"/>
          <w:color w:val="000000"/>
          <w:sz w:val="30"/>
          <w:szCs w:val="30"/>
        </w:rPr>
        <w:t>第一部分</w:t>
      </w:r>
      <w:r>
        <w:rPr>
          <w:rFonts w:hint="eastAsia"/>
          <w:bCs w:val="0"/>
          <w:color w:val="000000"/>
          <w:szCs w:val="32"/>
        </w:rPr>
        <w:t xml:space="preserve"> </w:t>
      </w:r>
      <w:bookmarkStart w:id="1" w:name="_Toc511997108"/>
      <w:r>
        <w:rPr>
          <w:rFonts w:hint="eastAsia"/>
          <w:bCs w:val="0"/>
          <w:color w:val="000000"/>
          <w:sz w:val="30"/>
          <w:szCs w:val="30"/>
        </w:rPr>
        <w:t>直播设备和演播室局部改造项目竞争性谈判投标邀请</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一、采购项目：</w:t>
      </w:r>
      <w:r>
        <w:rPr>
          <w:rFonts w:hint="eastAsia" w:ascii="仿宋" w:hAnsi="仿宋" w:eastAsia="仿宋" w:cs="仿宋"/>
          <w:color w:val="2B2B2B"/>
          <w:kern w:val="0"/>
          <w:sz w:val="28"/>
          <w:szCs w:val="28"/>
        </w:rPr>
        <w:t>直播设备和演播室局部改造项目竞争性谈判采购</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二、采购方式：</w:t>
      </w:r>
      <w:r>
        <w:rPr>
          <w:rFonts w:hint="eastAsia" w:ascii="仿宋" w:hAnsi="仿宋" w:eastAsia="仿宋" w:cs="仿宋"/>
          <w:color w:val="2B2B2B"/>
          <w:kern w:val="0"/>
          <w:sz w:val="28"/>
          <w:szCs w:val="28"/>
        </w:rPr>
        <w:t>竞争性谈判采购</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三、采购项目的需求及基本概况介绍：</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（一）背景概述、实现功能要求</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1.项目地点：江苏省南通市世纪大道8号南通报业新闻传媒中心大厦17楼。</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2.项目规模：本次项目采购包括直播机设备、演播室灯光改造、配音间设备。</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3.项目概述： 随着南通报业传媒集团融媒体访谈与直播业务不断增长，各部门间的协调工作日益增多，多年前购置的直播、录播设备已经老化，考虑更新换代一批相关设备和演播室局部进行改造。</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同时为应对大型访谈与棚拍直播类节目，演播室内需完善部分设备，灯光系统需重新设计、音视频、通话系统等相关设备需升级，并添加录音工作用电脑。</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为综合考虑所采购直播设备与直播车、演播室统一使用，结合报社原有摄影摄像器材，并参考项目论证专家组意见，将本次项目采购设备整合到现有直播、录播系统中去。从而可实现航拍直播、8机位直播、现场硬切换等功能。  </w:t>
      </w:r>
    </w:p>
    <w:p>
      <w:pPr>
        <w:widowControl/>
        <w:shd w:val="clear" w:color="auto" w:fill="FFFFFF"/>
        <w:spacing w:line="390" w:lineRule="atLeast"/>
        <w:ind w:firstLine="480"/>
        <w:jc w:val="left"/>
        <w:rPr>
          <w:rFonts w:ascii="仿宋" w:hAnsi="仿宋" w:eastAsia="仿宋" w:cs="仿宋"/>
          <w:color w:val="FF0000"/>
          <w:sz w:val="28"/>
          <w:szCs w:val="28"/>
        </w:rPr>
      </w:pPr>
      <w:r>
        <w:rPr>
          <w:rFonts w:hint="eastAsia" w:ascii="仿宋" w:hAnsi="仿宋" w:eastAsia="仿宋" w:cs="仿宋"/>
          <w:color w:val="2B2B2B"/>
          <w:kern w:val="0"/>
          <w:sz w:val="28"/>
          <w:szCs w:val="28"/>
        </w:rPr>
        <w:t>4.项目实施期限：合同签订后20个工作日。</w:t>
      </w:r>
    </w:p>
    <w:p>
      <w:pPr>
        <w:rPr>
          <w:rFonts w:ascii="仿宋" w:hAnsi="仿宋" w:eastAsia="仿宋" w:cs="仿宋"/>
          <w:color w:val="FF0000"/>
          <w:sz w:val="28"/>
          <w:szCs w:val="28"/>
        </w:rPr>
      </w:pPr>
    </w:p>
    <w:p>
      <w:pPr>
        <w:snapToGrid w:val="0"/>
        <w:spacing w:line="400" w:lineRule="exact"/>
        <w:rPr>
          <w:rFonts w:asciiTheme="minorEastAsia" w:hAnsiTheme="minorEastAsia"/>
          <w:b/>
          <w:sz w:val="24"/>
          <w:szCs w:val="24"/>
        </w:rPr>
      </w:pPr>
      <w:r>
        <w:rPr>
          <w:rFonts w:hint="eastAsia" w:asciiTheme="minorEastAsia" w:hAnsiTheme="minorEastAsia"/>
          <w:b/>
          <w:sz w:val="24"/>
          <w:szCs w:val="24"/>
        </w:rPr>
        <w:t>（二） 直播设备和演播室灯光局部改造具体需求：</w:t>
      </w:r>
    </w:p>
    <w:tbl>
      <w:tblPr>
        <w:tblStyle w:val="21"/>
        <w:tblW w:w="6155" w:type="pct"/>
        <w:tblInd w:w="-743" w:type="dxa"/>
        <w:tblLayout w:type="fixed"/>
        <w:tblCellMar>
          <w:top w:w="0" w:type="dxa"/>
          <w:left w:w="108" w:type="dxa"/>
          <w:bottom w:w="0" w:type="dxa"/>
          <w:right w:w="108" w:type="dxa"/>
        </w:tblCellMar>
      </w:tblPr>
      <w:tblGrid>
        <w:gridCol w:w="707"/>
        <w:gridCol w:w="992"/>
        <w:gridCol w:w="5812"/>
        <w:gridCol w:w="852"/>
        <w:gridCol w:w="1133"/>
        <w:gridCol w:w="36"/>
        <w:gridCol w:w="959"/>
      </w:tblGrid>
      <w:tr>
        <w:trPr>
          <w:trHeight w:val="567" w:hRule="atLeast"/>
        </w:trPr>
        <w:tc>
          <w:tcPr>
            <w:tcW w:w="5000" w:type="pct"/>
            <w:gridSpan w:val="7"/>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一、直播机设备</w:t>
            </w:r>
          </w:p>
        </w:tc>
      </w:tr>
      <w:tr>
        <w:tblPrEx>
          <w:tblCellMar>
            <w:top w:w="0" w:type="dxa"/>
            <w:left w:w="108" w:type="dxa"/>
            <w:bottom w:w="0" w:type="dxa"/>
            <w:right w:w="108" w:type="dxa"/>
          </w:tblCellMar>
        </w:tblPrEx>
        <w:trPr>
          <w:trHeight w:val="379" w:hRule="atLeast"/>
        </w:trPr>
        <w:tc>
          <w:tcPr>
            <w:tcW w:w="337"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472"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设备名称</w:t>
            </w:r>
          </w:p>
        </w:tc>
        <w:tc>
          <w:tcPr>
            <w:tcW w:w="2770"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技术参数</w:t>
            </w:r>
          </w:p>
        </w:tc>
        <w:tc>
          <w:tcPr>
            <w:tcW w:w="406"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557"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建议品牌</w:t>
            </w:r>
          </w:p>
        </w:tc>
        <w:tc>
          <w:tcPr>
            <w:tcW w:w="455"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r>
      <w:tr>
        <w:trPr>
          <w:trHeight w:val="416" w:hRule="atLeast"/>
        </w:trPr>
        <w:tc>
          <w:tcPr>
            <w:tcW w:w="337"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w:t>
            </w:r>
          </w:p>
        </w:tc>
        <w:tc>
          <w:tcPr>
            <w:tcW w:w="472"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color w:val="000000"/>
                <w:kern w:val="0"/>
                <w:szCs w:val="21"/>
              </w:rPr>
              <w:t>主直播机</w:t>
            </w:r>
          </w:p>
        </w:tc>
        <w:tc>
          <w:tcPr>
            <w:tcW w:w="2770"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核心功能：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1、主要功能：包含视频监视，视频切换、云台控制，直播/录制、暂停等控制，特技效果、特效字幕、直播监视等功能，实现资源监视、预警功能：实时监控CPU、内存、存储设备的使用情况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2、视频输入：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物理输入：≥ 4路 SDI/HD-SDI/3G-SDI视频接口；  ≥ 1 路全信号视频接口（SDI/HD-SDI/3G-SDI/DVI/VGA/HDMI/分量/复合/S端子）输入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≥18路视频输入源；信号源需包括物理摄像机、IP摄像机、手机或者平板摄像头、NDI设备、电脑桌面、网络流、视音频文件、虚拟场景、图片、慢镜回放等不同的输入类型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支持通道数量、类型自定义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3、虚拟演播室：</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支持全通道抠像；≥4套真三维虚拟场景渲染系统；≥50内置虚拟三维场景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4、视频输出：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物理输出：≥ 4路 SDI/HD-SDI/3G-SDI视频环出接口； ≥ 1路 SDI和HDMI PGM输出；≥ 3路 DVI/HDMI/DP AUX输出 ≥ 1路 DVI/HDMI/DP 多画面分割输出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网络推流： 可通过最常用的RTMP方式的同时编码 ≥3条不同分辨率和码率的网络流；</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每条流分别可以推送到的RTMP服务器数量手动添加，且数量不限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5、录制：具备全通道视频录制功能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6、切换：具备丰富的2D、3D特效；具备画中画等多画面切换能力 ≥ 200种的切换特技；具备强大的字幕、CG功能，可添加≥ 十层的字幕、CG，字幕、CG的形式不限于台标、角标、动画、时钟、字幕等形式。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7、安全播出：  ≥ 60秒以内的安全延迟播出功能；★  延时播出类型可选择内存、SSD、硬盘等形式；   具备应急切换功能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8、其它：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支持智能语音转写服务：通过AI智能语音转写技术，将语音转化为文字，实现字幕的自动添加；★ 支持建立竖屏工程，完成竖屏节目直播。；★ 支持手机、运动相机等设备简单快速连接，系统支持这些设备通过扫描二维码或者输入六位数字码的方式快速连接至导播机。；★ 提供手机导播通话功能，要求手机端系统具有提示TALLY状态功提示和导播互动功能。</w:t>
            </w:r>
          </w:p>
        </w:tc>
        <w:tc>
          <w:tcPr>
            <w:tcW w:w="406"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color w:val="000000"/>
                <w:kern w:val="0"/>
                <w:szCs w:val="21"/>
              </w:rPr>
              <w:t>台</w:t>
            </w:r>
          </w:p>
        </w:tc>
        <w:tc>
          <w:tcPr>
            <w:tcW w:w="557"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color w:val="000000"/>
                <w:kern w:val="0"/>
                <w:szCs w:val="21"/>
              </w:rPr>
              <w:t>纳加</w:t>
            </w:r>
            <w:r>
              <w:rPr>
                <w:rFonts w:hint="eastAsia" w:ascii="宋体" w:hAnsi="宋体" w:eastAsia="宋体" w:cs="宋体"/>
                <w:color w:val="000000"/>
                <w:kern w:val="0"/>
                <w:szCs w:val="21"/>
              </w:rPr>
              <w:t>、大娱号、创高</w:t>
            </w:r>
          </w:p>
        </w:tc>
        <w:tc>
          <w:tcPr>
            <w:tcW w:w="455"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710" w:hRule="atLeast"/>
        </w:trPr>
        <w:tc>
          <w:tcPr>
            <w:tcW w:w="337"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color w:val="000000"/>
                <w:kern w:val="0"/>
                <w:szCs w:val="21"/>
              </w:rPr>
              <w:t>2</w:t>
            </w:r>
          </w:p>
        </w:tc>
        <w:tc>
          <w:tcPr>
            <w:tcW w:w="472"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color w:val="000000"/>
                <w:kern w:val="0"/>
                <w:szCs w:val="21"/>
              </w:rPr>
              <w:t>（硬切辅助）直播机</w:t>
            </w:r>
          </w:p>
        </w:tc>
        <w:tc>
          <w:tcPr>
            <w:tcW w:w="2770"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color w:val="000000"/>
                <w:kern w:val="0"/>
                <w:szCs w:val="21"/>
              </w:rPr>
              <w:t>1、整体架构：采用嵌入式架构设计；存储：≥256GB 固态硬盘；屏幕：≥11.6寸可触摸显示屏，分辨率为≥1920x1080，支持软件方式进行屏幕亮度调节；供电：19V DC供电；★≥ 1个TALLY接口,可控制4路TALLY灯控制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主要功能：包含视频监视，视频切换、云台控制，直播/录制、暂停等控制，特技效果、特效字幕、直播监视等功能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2、视频输入：≥2个SDI 输入接口；≥2个HDMI输入接口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≥6通道视频输入能力;通道支持视频输入自定义，视频输入类型包括物理输入、网流输入、本地视频等多种类型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3、云台控制：摄象机的云镜控制采用遥杆控制方式；每路摄象机均可设定≥225个预置位。支持摄像机焦距拉近、拉远操作；支持摄像机云台上下、左右摇动操作；支持云台操作快慢调整。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4、视频输出：≥2个HDMI输出接口，1个为Monitor输出接口，1个为PGM输出接口，≥1个SDI输出接口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直播推流：具备支持一键直播功能，系统需内置多种（目睹、和商务直播、微距、微博、facebook、youku等）直播平台直播；可实现任意一键推送至不少于3个直播平台的能力。</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现场制作功能：★具备比分牌模块：提供比分板模板资源库，供用户在线下载和更新；具备自定义队名和队徽功能；具备三档分数加减功能，且分数挡位可以自定义；具备场记分和局几分，支持正数和倒数的比赛时间计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支持画中画播出：具备多种二画面、四画面等多种画中画模版，支持自定义设置。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具备字幕、CG等多种节目制作工具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6、其它  ★快速连接功能：前端设备可通过扫面二维码或输入六位数字码的方式（无需输入复杂的RTMP地址）快速连接至导播设备。★同屏输入功能：通过手机扫描二维码，实现将手机输入文字快速同步至导播机的输入法输入框内，实现快速信息的快速输入。</w:t>
            </w:r>
          </w:p>
        </w:tc>
        <w:tc>
          <w:tcPr>
            <w:tcW w:w="406"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color w:val="000000"/>
                <w:kern w:val="0"/>
                <w:szCs w:val="21"/>
              </w:rPr>
              <w:t>台</w:t>
            </w:r>
          </w:p>
        </w:tc>
        <w:tc>
          <w:tcPr>
            <w:tcW w:w="557"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color w:val="000000"/>
                <w:kern w:val="0"/>
                <w:szCs w:val="21"/>
              </w:rPr>
              <w:t>纳加</w:t>
            </w:r>
            <w:r>
              <w:rPr>
                <w:rFonts w:hint="eastAsia" w:ascii="宋体" w:hAnsi="宋体" w:eastAsia="宋体" w:cs="宋体"/>
                <w:color w:val="000000"/>
                <w:kern w:val="0"/>
                <w:szCs w:val="21"/>
              </w:rPr>
              <w:t>、大娱号、创高</w:t>
            </w:r>
          </w:p>
        </w:tc>
        <w:tc>
          <w:tcPr>
            <w:tcW w:w="455"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710" w:hRule="atLeast"/>
        </w:trPr>
        <w:tc>
          <w:tcPr>
            <w:tcW w:w="337"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72"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直播无人机</w:t>
            </w:r>
          </w:p>
        </w:tc>
        <w:tc>
          <w:tcPr>
            <w:tcW w:w="2770"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 英寸 2000 万像素 CMOS 传感器，f/2.8-f/11光圈可调，可提供H.265编码格式（最高3840*2160/30fps），上升速度最大5m/s，下降3m/s;飞行高度：起飞海拔可达6000m；抗风等级：5级；发射频率：2.400 - 2.4835 GHz、5.725-5.850 GHz；具有智能跟随、轨迹预测、高速跟随功能，具有延时飞行（自由延时、环绕延时、定向延时、轨迹延时拍摄），(DJI 带屏遥控器)&amp;全能配件包，提供飞行器意外售后服务计划，另配4块电池。</w:t>
            </w:r>
          </w:p>
        </w:tc>
        <w:tc>
          <w:tcPr>
            <w:tcW w:w="406"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557"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大疆</w:t>
            </w:r>
            <w:r>
              <w:rPr>
                <w:rFonts w:hint="eastAsia" w:ascii="宋体" w:hAnsi="宋体" w:eastAsia="宋体" w:cs="宋体"/>
                <w:color w:val="000000"/>
                <w:kern w:val="0"/>
                <w:szCs w:val="21"/>
              </w:rPr>
              <w:t>、哈博森、 Uvify drones</w:t>
            </w:r>
          </w:p>
        </w:tc>
        <w:tc>
          <w:tcPr>
            <w:tcW w:w="455"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4385" w:hRule="atLeast"/>
        </w:trPr>
        <w:tc>
          <w:tcPr>
            <w:tcW w:w="337"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72"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4G聚合路由器</w:t>
            </w:r>
          </w:p>
        </w:tc>
        <w:tc>
          <w:tcPr>
            <w:tcW w:w="2770"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7卡聚合路由器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功能：8路网络聚合（1-7张4G卡的带宽与1路千兆有线网络的带宽一起聚合）转换成WiFi和有线网络出口带宽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聚合带宽：最高可达300Mbps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SIM卡扩展：最多支持7路SIM卡（需配置4G USB Dongle使用）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网络类型：支持电信4G、联通4G、移动4G</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WAN接口： 千兆以太网接口*1</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LAN接口： 千兆以太网接口*4</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WiFi频率：2.4GHz，最高1.3Gbps物理速度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天线： 4x4 MIMO 802.11n 2.4G Wifi AP，外置4根天线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适配器： DC 19V/2.1A</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供电电压： 双路DC冗余供电，智能供电切换，10V-20V宽压输入，支持电池供电  屏幕： 5英寸触摸屏</w:t>
            </w:r>
          </w:p>
        </w:tc>
        <w:tc>
          <w:tcPr>
            <w:tcW w:w="406"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557"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纳加、</w:t>
            </w:r>
            <w:r>
              <w:rPr>
                <w:rFonts w:hint="eastAsia" w:ascii="宋体" w:hAnsi="宋体" w:eastAsia="宋体" w:cs="宋体"/>
                <w:color w:val="000000"/>
                <w:kern w:val="0"/>
                <w:szCs w:val="21"/>
              </w:rPr>
              <w:t>中兴、天创恒达</w:t>
            </w:r>
          </w:p>
        </w:tc>
        <w:tc>
          <w:tcPr>
            <w:tcW w:w="455"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710" w:hRule="atLeast"/>
        </w:trPr>
        <w:tc>
          <w:tcPr>
            <w:tcW w:w="810" w:type="pct"/>
            <w:gridSpan w:val="2"/>
            <w:vMerge w:val="restart"/>
            <w:tcBorders>
              <w:top w:val="single" w:color="auto" w:sz="4" w:space="0"/>
              <w:left w:val="single" w:color="auto" w:sz="8" w:space="0"/>
              <w:right w:val="single" w:color="000000" w:sz="4" w:space="0"/>
            </w:tcBorders>
            <w:shd w:val="clear" w:color="auto" w:fill="auto"/>
            <w:vAlign w:val="center"/>
          </w:tcPr>
          <w:p>
            <w:pPr>
              <w:widowControl/>
              <w:jc w:val="left"/>
              <w:rPr>
                <w:rFonts w:ascii="宋体" w:hAnsi="宋体" w:eastAsia="宋体" w:cs="宋体"/>
                <w:color w:val="000000"/>
                <w:kern w:val="0"/>
                <w:szCs w:val="21"/>
              </w:rPr>
            </w:pPr>
          </w:p>
        </w:tc>
        <w:tc>
          <w:tcPr>
            <w:tcW w:w="2770"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4G卡托</w:t>
            </w:r>
          </w:p>
        </w:tc>
        <w:tc>
          <w:tcPr>
            <w:tcW w:w="406"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557"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华为、中兴、索尼</w:t>
            </w:r>
          </w:p>
        </w:tc>
        <w:tc>
          <w:tcPr>
            <w:tcW w:w="455"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r>
      <w:tr>
        <w:tblPrEx>
          <w:tblCellMar>
            <w:top w:w="0" w:type="dxa"/>
            <w:left w:w="108" w:type="dxa"/>
            <w:bottom w:w="0" w:type="dxa"/>
            <w:right w:w="108" w:type="dxa"/>
          </w:tblCellMar>
        </w:tblPrEx>
        <w:trPr>
          <w:trHeight w:val="455" w:hRule="atLeast"/>
        </w:trPr>
        <w:tc>
          <w:tcPr>
            <w:tcW w:w="810" w:type="pct"/>
            <w:gridSpan w:val="2"/>
            <w:vMerge w:val="continue"/>
            <w:tcBorders>
              <w:top w:val="single" w:color="auto" w:sz="4" w:space="0"/>
              <w:left w:val="single" w:color="auto" w:sz="8" w:space="0"/>
              <w:right w:val="single" w:color="000000" w:sz="4" w:space="0"/>
            </w:tcBorders>
            <w:shd w:val="clear" w:color="auto" w:fill="auto"/>
            <w:vAlign w:val="center"/>
          </w:tcPr>
          <w:p>
            <w:pPr>
              <w:widowControl/>
              <w:jc w:val="left"/>
              <w:rPr>
                <w:rFonts w:ascii="宋体" w:hAnsi="宋体" w:eastAsia="宋体" w:cs="宋体"/>
                <w:color w:val="000000"/>
                <w:kern w:val="0"/>
                <w:szCs w:val="21"/>
              </w:rPr>
            </w:pPr>
          </w:p>
        </w:tc>
        <w:tc>
          <w:tcPr>
            <w:tcW w:w="2770"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聚合流量云服务费</w:t>
            </w:r>
          </w:p>
        </w:tc>
        <w:tc>
          <w:tcPr>
            <w:tcW w:w="406"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年</w:t>
            </w:r>
          </w:p>
        </w:tc>
        <w:tc>
          <w:tcPr>
            <w:tcW w:w="557"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配套</w:t>
            </w:r>
          </w:p>
        </w:tc>
        <w:tc>
          <w:tcPr>
            <w:tcW w:w="455"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590" w:hRule="atLeast"/>
        </w:trPr>
        <w:tc>
          <w:tcPr>
            <w:tcW w:w="810" w:type="pct"/>
            <w:gridSpan w:val="2"/>
            <w:vMerge w:val="continue"/>
            <w:tcBorders>
              <w:left w:val="single" w:color="auto" w:sz="8"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Cs w:val="21"/>
              </w:rPr>
            </w:pPr>
          </w:p>
        </w:tc>
        <w:tc>
          <w:tcPr>
            <w:tcW w:w="2770"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电源</w:t>
            </w:r>
          </w:p>
        </w:tc>
        <w:tc>
          <w:tcPr>
            <w:tcW w:w="406"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557"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国产优质</w:t>
            </w:r>
          </w:p>
        </w:tc>
        <w:tc>
          <w:tcPr>
            <w:tcW w:w="455" w:type="pct"/>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544" w:hRule="atLeast"/>
        </w:trPr>
        <w:tc>
          <w:tcPr>
            <w:tcW w:w="5000" w:type="pct"/>
            <w:gridSpan w:val="7"/>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二、演播室灯光改造                                          </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LED聚光灯</w:t>
            </w:r>
          </w:p>
        </w:tc>
        <w:tc>
          <w:tcPr>
            <w:tcW w:w="2770" w:type="pct"/>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采用高显色指数LED模组作为发光元件，光效高，显色性好。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散热系统采用热管应用技术，无风机噪声。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光学系统采用透镜组加螺纹透镜组成的透镜组，光效高、光斑均匀。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采用DMX512信号控制，亮度范围0-100%平滑调节，无需调光硅柜。具有控制信号丢失状态保持功能。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扉页具有折叠功能，光路控制更加方便、精确。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技术参数：电源电压：AC100V-240V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频     率：50Hz/60Hz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功     率：100W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电源连接：PowerCon  In/Out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信号连接：5芯XLR插座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驱动方式：恒流驱动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色     温：5600±150k</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显色指数：Ra&gt;90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灯体温度：&lt;55°(额定功率）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灯珠寿命：&gt;3万小时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调光功能：0-100%线性顺滑调光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控制模式：DMX512信号控制/手动控制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DMX512通道数：1通道                                                  供货时需提供，专业机构出具的检测报告，CE认证，ISO三体系等  </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泰阳天佑</w:t>
            </w:r>
            <w:r>
              <w:rPr>
                <w:rFonts w:hint="eastAsia" w:ascii="宋体" w:hAnsi="宋体" w:eastAsia="宋体" w:cs="宋体"/>
                <w:color w:val="000000"/>
                <w:kern w:val="0"/>
                <w:szCs w:val="21"/>
              </w:rPr>
              <w:t>、明德、凌耀</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LED平板柔光灯</w:t>
            </w:r>
          </w:p>
        </w:tc>
        <w:tc>
          <w:tcPr>
            <w:tcW w:w="2770" w:type="pct"/>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采用高显色指数LED光源为发光元件，光效高、显色性好。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散热系统采用先进的散热技术，无风机、无噪音。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采用进口高透光率的柔光板，光效高、光斑均匀。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采用DMX512信号控制，亮度0-100%顺滑调节，具有控制信号丢失状态保持功能，保证永不黑灯。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发光角度大，光斑柔和，无眩光。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电源电压：AC100V-240V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频     率：50Hz/60Hz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LED功率：100W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电源连接：PowerCon  In/Out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信号连接：5芯XLR插座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驱动方式：恒流驱动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色     温：5600K</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显色指数：Ra&gt;90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灯体温度：&lt;55°（额定功率）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灯珠寿命：&gt;3万小时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调光功能：0-100%线性顺滑调光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控制模式：DMX512信号控制/手动控制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DMX512通道数：1通道                                                     供货时需提供，专业机构出具的检测报告，CE认证，ISO三体系等</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泰阳天佑</w:t>
            </w:r>
            <w:r>
              <w:rPr>
                <w:rFonts w:hint="eastAsia" w:ascii="宋体" w:hAnsi="宋体" w:eastAsia="宋体" w:cs="宋体"/>
                <w:color w:val="000000"/>
                <w:kern w:val="0"/>
                <w:szCs w:val="21"/>
              </w:rPr>
              <w:t>、明德、凌耀</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r>
      <w:tr>
        <w:tblPrEx>
          <w:tblCellMar>
            <w:top w:w="0" w:type="dxa"/>
            <w:left w:w="108" w:type="dxa"/>
            <w:bottom w:w="0" w:type="dxa"/>
            <w:right w:w="108" w:type="dxa"/>
          </w:tblCellMar>
        </w:tblPrEx>
        <w:trPr>
          <w:trHeight w:val="461"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7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铝轨</w:t>
            </w:r>
          </w:p>
        </w:tc>
        <w:tc>
          <w:tcPr>
            <w:tcW w:w="27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80X60工字铝</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恒力铰链</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恒力铰链采用优质铝合金材料制成，具有重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量轻，导向性好，强度高的特点。恒力弹簧选用特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制合金弹簧钢经特殊处理，经久耐用，抗腐蚀,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利用恒力弹簧的特性将其安装在铰链上，配以相应</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的灯具来实现垂直升降的功能。使用时可根据需要，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停留在任意一个高度上。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使拉伸次数：1 万次以上。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3.5米  承重10-20Kg</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根</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数字调光台</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1.内置80个图形轨迹发生器(SHAPE)，方便用户对电脑进行图形轨迹控制，图形参数(速度、大小、展开偏移量、方向)均可独立设置。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2.62个走灯程序，每程序最多100步。可选自动速度控制、智能手动节拍控制(SWING)或音乐同步控制。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3.走灯程序的编辑，可实现走灯的复制、粘贴、增加、删除等操作。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4.可同时运行6个走灯程序、62个预置场景，并可同时对62台电脑灯进行手动提灯操作。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5.31个宏环境控制，可快速调用不同的场景、走灯及手动提灯组合。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6.配备USB插槽，用户可使用U盘保存自己宝贵的数据。关机数据保持。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7.DMX512/1990标准，512个DMX控制通道，光电隔离信号输出。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8.同时控制最多62台电脑灯，每灯最大36个可控通道，使用动态灯址设置。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9.16Bit的X/Y控制精度，可设定X/Y轴的正反方向，并可统一使用。</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灯具号码牌</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铁质防锈处理，白色字体</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相关配套接插件</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批</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墙面插座箱</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40A</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FF0000"/>
                <w:kern w:val="0"/>
                <w:szCs w:val="21"/>
              </w:rPr>
            </w:pPr>
            <w:r>
              <w:rPr>
                <w:rFonts w:hint="eastAsia" w:ascii="宋体" w:hAnsi="宋体" w:eastAsia="宋体" w:cs="宋体"/>
                <w:color w:val="000000"/>
                <w:kern w:val="0"/>
                <w:szCs w:val="21"/>
              </w:rPr>
              <w:t>9</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信号放大器</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DMX512信号输入，8路信号输出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具备DMX512信号放大功能，延长DMX512信号传输距离每一路的输入/输出信号均采用磁隔离技术，对于信号传输比传统的光耦隔离方式更为可靠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电源电压：AC100V-240V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频    率：50Hz/60Hz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输入/输出：1路/8路（全隔离）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信号连接：5芯XLR插座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共模瞬变抗扰度：&gt;25 kV/µs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LED状态指示：常亮-无信号；闪烁-信号正常</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tblPrEx>
          <w:tblCellMar>
            <w:top w:w="0" w:type="dxa"/>
            <w:left w:w="108" w:type="dxa"/>
            <w:bottom w:w="0" w:type="dxa"/>
            <w:right w:w="108" w:type="dxa"/>
          </w:tblCellMar>
        </w:tblPrEx>
        <w:trPr>
          <w:trHeight w:val="1161"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直通箱</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 供电：三相五线制AC380V±10％，频率50Hz±5％.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额定功率：12路×4KW; 可适用于任何负载.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A.B.C三相工作电流电压指示</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1075"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辅材</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阻燃电缆，信号线缆，电缆桥架，灯控杆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线管，镀锌圆管接地线及配件，地面插座箱，信号输入插座箱，插座号码牌，挂灯轴，灯钩，保险绳等</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批</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国产优质</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55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安装调试</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安装定制附件</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批</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405"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三、 配音间设备</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音频工作站</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集合音频运算与数据存储于一身，为您的工作室、录音棚等提供广阔的创作空间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采用SATA 3.0接口热插拔硬盘，速度可达600MB/s，比USB3.0外设更快</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定制音频主板，提供专业的音频外设接口，包括USB、Firewire 800、PCIe、以太网等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采用世界一流可靠性的企业级硬盘，快速访问和存储关键数据，全天候工作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机架式固定安装，与您的音频控制桌融为一体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拥有2个全尺寸的PCIe扩展插槽、最大支持四块3.5寸硬盘、八块2.5寸固态盘扩展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仅用一个风扇散热，硬盘减震处理，最大化保持静音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验证了常见音频硬件与软件的兼容性，如Pro Tools、Pyramix、Nuendo、Cubase等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兼容Avid，Steinberg，Cakewalk，Merging Pyramix，Magix，Sonic Studio，Adobe，Autodesk等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intel CORE CPU/I7-9700(3.0G/1151/8核8线程) 1只</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冰曼风扇/寒月T4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华硕Z370主板/PRIME Z370-P II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KST台式机内存条/16G（DDR4/2666）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WD固态硬盘/1T M2 NVME SN750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WD台式机硬盘/WD8000G(企业盘)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华硕NVIDA显卡/GTX1660S-06G-SI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酷冷机箱/剑客K272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安钛克电源/EC0550   </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调音台</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话筒：2</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频响：+0.5dB/-0.5dB（20Hz-20kHz）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总谐波失真：0.01%@+8dBu（20 Hz-20kHz）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输入通道：6通道：单声道：2；立体声：2</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输出通道：STEREO OUT：2；PHONES：1</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母线：立体声：1</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电平表：2x7 - 点距LED电平表[PEAK，+6，+3，0，-3，-10，-20dB]   幻象电源电压：+48V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内建数字效果：6编程   外观尺寸：149×62×202mm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功耗：12W    操作温度：0-40℃</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雅马哈</w:t>
            </w:r>
            <w:r>
              <w:rPr>
                <w:rFonts w:hint="eastAsia" w:ascii="宋体" w:hAnsi="宋体" w:eastAsia="宋体" w:cs="宋体"/>
                <w:color w:val="000000"/>
                <w:kern w:val="0"/>
                <w:szCs w:val="21"/>
              </w:rPr>
              <w:t>、声艺、SONIC-PRO</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配音话筒</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音头类型：Ф34外偏置纯金镀膜电容传声器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最大输入声压级：135dB(THD≤1%,2500Ω负载)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指向性：心型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信噪比：76 dB（1KHz@1Pa）</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频响：20～20KHz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灵敏度：20mv/Pa  (-34dB±2dB,@2500Ω负载,</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Bjsound、</w:t>
            </w:r>
            <w:r>
              <w:rPr>
                <w:rFonts w:hint="eastAsia" w:ascii="宋体" w:hAnsi="宋体" w:eastAsia="宋体" w:cs="宋体"/>
                <w:color w:val="000000"/>
                <w:kern w:val="0"/>
                <w:szCs w:val="21"/>
              </w:rPr>
              <w:t>SHURE、 sony</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配音声卡</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USB 2.0 24bit/192kHz精度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支持Win、Mac以及iOS（通过Camara Kit）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总共18路输入、20路输出（模拟8入8出，其他为数字）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2路独立监听耳机通道，带有独立音量调节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Scarlett MixControl DSP调音台，零延迟信号路由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丰富的自带软件</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张</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话筒悬臂支架</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万向摇臂、臂长1.2米、内穿话筒线, 话筒线可以直接从管内穿到桌字下面到线槽,从而在桌面上看不到连线。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主持人用万向拉杆话筒架 。15”提升柱。底座带减噪橡胶垫，螺丝紧固,安装方便牢靠。提升柱杆内走话筒线并有集成XLR接口。静音设计。无外置拉簧结构；牢固美观、安装方便；使用灵活、无转动噪声；颜色：黑色。提供二种桌面安装方式，可内置穿话筒线。</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前级噪声过滤器</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金属材质 丝网膜设计</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监听耳机</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耳机类型 封闭式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最大输入功率 200 mW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音频频响范围 18 - 20000 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耳机灵敏度  110 dB SPL/V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标称阻抗 32 Ohms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耳垫 Leatherette</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线缆长度 2.5 m</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副</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AKG</w:t>
            </w:r>
            <w:r>
              <w:rPr>
                <w:rFonts w:hint="eastAsia" w:ascii="宋体" w:hAnsi="宋体" w:eastAsia="宋体" w:cs="宋体"/>
                <w:color w:val="000000"/>
                <w:kern w:val="0"/>
                <w:szCs w:val="21"/>
              </w:rPr>
              <w:t>、铁三角、索尼</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监听音箱</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类型：双分频近场工作室参考监听音响</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低音单元：5寸（127mm）凯夫拉曲线锥形耐高温高温音圈，绝缘胶圈。全防磁设计。</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高音单元：1寸（25mm）纯天然丝绸圆顶防磁设计。</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频响：56Hz-22kHz</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交叉频率: 2.8 kHz</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低音头功率: 40 W</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高音头功率: 30 W</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信噪比: 100 dB</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输入连接: 1 x XLR平衡输入</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 x TRS 平衡/非平衡输入</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极性: 在+级时，低音单元产生向外的锥形变位</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输入电阻: 平衡20 KΩ ,非平衡 10 KΩ</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输入敏感度:音量最大，声压在1米 85 mV 粉噪声输入产生 90 dBA输出</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对</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M-AUDIO</w:t>
            </w:r>
            <w:r>
              <w:rPr>
                <w:rFonts w:hint="eastAsia" w:ascii="宋体" w:hAnsi="宋体" w:eastAsia="宋体" w:cs="宋体"/>
                <w:color w:val="000000"/>
                <w:kern w:val="0"/>
                <w:szCs w:val="21"/>
              </w:rPr>
              <w:t>、雅马哈、JBL、</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81"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线才、集成</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使用培训</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7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通话系统</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 频率范围 400-470Mhz，无中继模式下传输距离1500米、穿墙8层，不受障碍物影响。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发射功率应 ≤1W，不对其他设备造成干扰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标准2U机架式主机，尺寸/重量 440x255x88mm / 2kg</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信道数90个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具备远程IP组网通话功能，不受地域、距离限制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支持扩展128路的分机参与进行全双工通话</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具备IP远程互联，能够连接不在同一地区的系统进行全双工通话,可实现融媒体中心与采播现场的及时通话</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主机具有分组通话的功能，可根据不同部门最多分为8个组别，群组之间互不干扰。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支持各种通话系统互联</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(1)支持矩阵通话系统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(2)支持二线制的Party-Line有线通话系统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(3)支持四线制的Party-Line有线通话系统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(4)支持AUX OUT语音输出、AUX IN语音输入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(5)能够连接调音台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(6)能够连接PSTN电话系统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(7)能够连接模拟或数字对讲机系统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8，具备联合组网扩展能力</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(1)支持多主机联合工作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(2)支持多中继台联合工作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(3)支持本地无线中继能力</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9具备选择性通话能力</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(1)不分群组时主机能够按分机编号允许其听说，或禁止其听说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(2)使用分组通话功能时，分组内始终允许听说，主机能够按组号允许某些组听主机说话，或禁止某些组听主机说话 配备6路分站、4路无线tally灯                                     </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纳雅</w:t>
            </w:r>
            <w:r>
              <w:rPr>
                <w:rFonts w:hint="eastAsia" w:ascii="宋体" w:hAnsi="宋体" w:eastAsia="宋体" w:cs="宋体"/>
                <w:color w:val="000000"/>
                <w:kern w:val="0"/>
                <w:szCs w:val="21"/>
              </w:rPr>
              <w:t>、万迪来、CLEAR-COM</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0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无线话筒</w:t>
            </w:r>
          </w:p>
        </w:tc>
        <w:tc>
          <w:tcPr>
            <w:tcW w:w="277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接收频率范围：740.125MHz～751.875MHz 94CH</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接收方式：双通道天线接收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灵敏度：1.2μV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3dB带宽：150kHz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标准偏差：±5kHz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最大偏差：±40kHz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降噪：Compander</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音频输出电平：-28dBm (100% Ｄev)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信噪比：84dB以上(100% Ｄev)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失真比：1.0％以下(100% Ｄev)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话筒输出接口: φ3.5mm平衡立体声迷你接口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监听输出接口: φ3.5mm平衡立体声迷你接口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LCD液晶显示: 工作频道/射频输入电平/电池报警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供电: DC 2.4～3V 两节五号电池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      DC 6V外置直流充电电源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电流消耗： 260mA以下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电池寿命：约5小时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充电时间(专业充电池使用时)：约8小时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外形尺寸： 73(W)×113(H)×40.5(D)(不含天线)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重量：约290g(使用碱性干电池时)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标准配置：连接电缆 2根（φ3.5mm-双XLR、φ3.5mm-φ3.5mmL型）    进口专业音频品牌</w:t>
            </w:r>
          </w:p>
        </w:tc>
        <w:tc>
          <w:tcPr>
            <w:tcW w:w="40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azden</w:t>
            </w:r>
            <w:r>
              <w:rPr>
                <w:rFonts w:hint="eastAsia" w:ascii="宋体" w:hAnsi="宋体" w:eastAsia="宋体" w:cs="宋体"/>
                <w:color w:val="000000"/>
                <w:kern w:val="0"/>
                <w:szCs w:val="21"/>
              </w:rPr>
              <w:t xml:space="preserve"> 、sony、Panasonic</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440" w:hRule="atLeast"/>
        </w:trPr>
        <w:tc>
          <w:tcPr>
            <w:tcW w:w="33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72" w:type="pct"/>
            <w:tcBorders>
              <w:top w:val="nil"/>
              <w:left w:val="nil"/>
              <w:bottom w:val="single" w:color="auto" w:sz="4" w:space="0"/>
              <w:right w:val="single" w:color="auto" w:sz="4" w:space="0"/>
            </w:tcBorders>
            <w:shd w:val="clear" w:color="000000" w:fill="FFFF00"/>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飞行箱</w:t>
            </w:r>
          </w:p>
        </w:tc>
        <w:tc>
          <w:tcPr>
            <w:tcW w:w="2770" w:type="pct"/>
            <w:tcBorders>
              <w:top w:val="nil"/>
              <w:left w:val="nil"/>
              <w:bottom w:val="single" w:color="auto" w:sz="4" w:space="0"/>
              <w:right w:val="nil"/>
            </w:tcBorders>
            <w:shd w:val="clear" w:color="auto" w:fill="auto"/>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8U航空箱</w:t>
            </w:r>
          </w:p>
        </w:tc>
        <w:tc>
          <w:tcPr>
            <w:tcW w:w="4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5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定制</w:t>
            </w:r>
          </w:p>
        </w:tc>
        <w:tc>
          <w:tcPr>
            <w:tcW w:w="471"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bl>
    <w:p>
      <w:pPr>
        <w:spacing w:line="440" w:lineRule="exact"/>
        <w:rPr>
          <w:rFonts w:ascii="微软雅黑" w:hAnsi="微软雅黑" w:eastAsia="微软雅黑" w:cs="宋体"/>
          <w:b/>
          <w:bCs/>
          <w:color w:val="2B2B2B"/>
          <w:kern w:val="0"/>
          <w:szCs w:val="21"/>
        </w:rPr>
      </w:pPr>
      <w:r>
        <w:rPr>
          <w:rFonts w:ascii="微软雅黑" w:hAnsi="微软雅黑" w:eastAsia="微软雅黑" w:cs="宋体"/>
          <w:b/>
          <w:bCs/>
          <w:color w:val="2B2B2B"/>
          <w:kern w:val="0"/>
          <w:szCs w:val="21"/>
        </w:rPr>
        <w:t>备注</w:t>
      </w:r>
      <w:r>
        <w:rPr>
          <w:rFonts w:hint="eastAsia" w:ascii="微软雅黑" w:hAnsi="微软雅黑" w:eastAsia="微软雅黑" w:cs="宋体"/>
          <w:b/>
          <w:bCs/>
          <w:color w:val="2B2B2B"/>
          <w:kern w:val="0"/>
          <w:szCs w:val="21"/>
        </w:rPr>
        <w:t>：</w:t>
      </w:r>
      <w:r>
        <w:rPr>
          <w:rFonts w:ascii="微软雅黑" w:hAnsi="微软雅黑" w:eastAsia="微软雅黑" w:cs="宋体"/>
          <w:b/>
          <w:bCs/>
          <w:color w:val="2B2B2B"/>
          <w:kern w:val="0"/>
          <w:szCs w:val="21"/>
        </w:rPr>
        <w:t>以上需求</w:t>
      </w:r>
      <w:r>
        <w:rPr>
          <w:rFonts w:hint="eastAsia" w:ascii="微软雅黑" w:hAnsi="微软雅黑" w:eastAsia="微软雅黑" w:cs="宋体"/>
          <w:b/>
          <w:bCs/>
          <w:color w:val="2B2B2B"/>
          <w:kern w:val="0"/>
          <w:szCs w:val="21"/>
        </w:rPr>
        <w:t>★为必要参数，不接受负偏离。</w:t>
      </w:r>
    </w:p>
    <w:p>
      <w:pPr>
        <w:spacing w:line="440" w:lineRule="exact"/>
        <w:rPr>
          <w:rFonts w:ascii="仿宋" w:hAnsi="仿宋" w:eastAsia="仿宋" w:cs="仿宋"/>
          <w:b/>
          <w:bCs/>
          <w:color w:val="2B2B2B"/>
          <w:kern w:val="0"/>
          <w:sz w:val="28"/>
          <w:szCs w:val="28"/>
        </w:rPr>
      </w:pPr>
      <w:r>
        <w:rPr>
          <w:rFonts w:hint="eastAsia" w:ascii="仿宋" w:hAnsi="仿宋" w:eastAsia="仿宋" w:cs="仿宋"/>
          <w:b/>
          <w:bCs/>
          <w:color w:val="2B2B2B"/>
          <w:kern w:val="0"/>
          <w:sz w:val="28"/>
          <w:szCs w:val="28"/>
        </w:rPr>
        <w:t>四、采购项目的预算：＜60万元（最高限价，含13%增值税及安装调试费用）</w:t>
      </w:r>
    </w:p>
    <w:p>
      <w:pPr>
        <w:widowControl/>
        <w:shd w:val="clear" w:color="auto" w:fill="FFFFFF"/>
        <w:spacing w:line="390" w:lineRule="atLeast"/>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五、供应商资格条件及响应要求：</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具备符合承接项目供应服务经营范围的经济实体；具有良好的商业信誉和健全的财务会计制度；具有履行合同所必需的设备和专业技术能力；符合政府采购法第二十二条第一款规定的条件，并提供下列材料：</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1.具备履行合同所必需的设备和专业技术能力的证明材料；上一年度的财务状况报告（成立不满一年不需提供）；依法缴纳税收和社会保障资金的相关材料。</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2.法人或者其他组织的营业执照（三证合一、副本加盖公章）等证明文件；法定代表人或其委托代理人应提供本人的身份证复印件（加盖公章），委托代理人还应携带《法定代表人授权委托书》原件；参加本次采购活动前三年内，在经营活动中没有重大违法记录的书面声明；具备法律、行政法规规定的其他条件和符合供应商资格要求的相关证明材料。</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3.法定代表人为同一个人的两个及两个以上法人，母公司、全资子公司及其控股公司，都不得在同一采购项目相同标段中同时参加磋商，一经发现，将视同围标处理。</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4.本项目不接受联合体投标。</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5.参与竞争性谈判供应商成交签约前须提供本次采购原厂商针对本项目主要软硬件产品（设备）的原厂质保期限承诺函原件（自本项目设备供应到位、演播室局部改造安装调试验收合格签字之日起1.直播机设备满12个月；2.演播室灯光改造满36个月；3.配音间设备满12个月）。</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请供应商认真对照资格要求，如完全符合资格要求的，才能参与报名；如不完全符合资格要求，故意参与报名的，所产生的一切后果由供应商承担。资料弄虚作假的，本项目保证金不予退还。</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六、获取谈判文件的时间、地点、方式及磋商文件售价</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1.获取文件截止时间(申请截止时间，下同)为 2020 年10月30 日 17：00时（备注：本公告发布日期2020年10月23 日至10月30日），地点为江苏省南通市世纪大道8号南通报业新闻传媒中心大厦 2406室 联系人：李旋 电话：0513-68218829 。  </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2.谈判文件售价为500元（一律不予退还）。</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3.逾期要求获取的文件，采购人不予受理。</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4.有效获取谈判文件的供应商不足三家时，采购人另行组织采购方式。</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七、响应文件提交的截止时间、开启时间及地点：</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1.截止时间及提交地点：2020年11月3 日下午2时30分前将响应文件密封一式五份（正本一份，副本四份，随附响应文件电子U盘单独密封袋中）送达到以上获取文件的地点。在截止时间后送达的响应文件为无效文件。</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2.开启时间及地点：2020年11月3 日下午2时30分 地点：江苏省南通市世纪大道8号南通报业新闻传媒中心大厦23楼会议室。上述时间和地点如有变动，另行通知。</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八、保证金和形式：</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供应商在提交响应文件截止之前交纳保证金1.2万元（未成交且未违规者的保证金在成交通知书发出后5个工作日内无息退还，成交者的保证金在采购合同签订后5个工作日内无息退还）。谈判资料弄虚作假或串通参与采供的，本项目保证金不予退还。</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单位名称：南通日报社</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纳税人识别号：12320600467542815H</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地址电话：南通市崇川区世纪大道8号0513-68218826</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开户行及账号：建行南通崇川支行32001642736052505639</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九、履约担保：</w:t>
      </w:r>
      <w:r>
        <w:rPr>
          <w:rFonts w:hint="eastAsia" w:ascii="仿宋" w:hAnsi="仿宋" w:eastAsia="仿宋" w:cs="仿宋"/>
          <w:bCs/>
          <w:color w:val="2B2B2B"/>
          <w:kern w:val="0"/>
          <w:sz w:val="28"/>
          <w:szCs w:val="28"/>
        </w:rPr>
        <w:t>成交方签约前须提交成交合同金额的5%作为履约保证金，履约担保期自本项目安装调试验收合格签字之日起满36个月，到期后无未完纠纷15日内无息退还。</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十、付款方式：</w:t>
      </w:r>
      <w:r>
        <w:rPr>
          <w:rFonts w:hint="eastAsia" w:ascii="仿宋" w:hAnsi="仿宋" w:eastAsia="仿宋" w:cs="仿宋"/>
          <w:bCs/>
          <w:color w:val="2B2B2B"/>
          <w:kern w:val="0"/>
          <w:sz w:val="28"/>
          <w:szCs w:val="28"/>
        </w:rPr>
        <w:t>采购人通知成交人供货之日起7个工作日内，预付总款项45%，本项目安装调试验收合格后签字之日起14个工作日内支付总款项55%。</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十一、评标方法及简明程序：</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1. 采用最低评标价法。</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2.采购人依法对响应供应商的资格进行审查（供应商须单独提供本项目所需材料的原件包及复印件，原件包单独密封并注明供应商名称，不带原件包的将作无效响应文件处理），并负责组织评标工作；成立谈判小组。谈判小组由采购人的代表和有关专家共三人以上的单数组成，其中专家的人数不得少于成员总数的三分之二。谈判小组从符合相应资格条件的供应商名单中确定不少于三家的供应商参加谈判。谈判小组所有成员集中与单一供应商分别进行谈判。谈判结束后，谈判小组要求所有参加谈判的供应商在规定时间内提交最后报价，采购人从谈判小组提交的成交候选人中根据符合采购需求、质量和服务相等且报价最低的原则确定成交供应商。</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十二、产品质量及服务要求</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1.产品质量要求</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1）谈判响应人提供的设备必须是原厂商全新、未使用过的原装合格正品，随机资料完整。型号、性能及指标完全符合采购文件提出的有关技术、质量、规格和性能的要求，达到国家或行业规定的标准，实行生产许可证制度的，应提供生产许可证；属于国家强制认证的产品，必须通过认证。</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（2）所有设备在开箱检验时必须完好，无破损，配置与装箱单相符。数量、质量及性能不低于本采购需求中提出的要求。所供设备应能构成一个完整的运行系统。所有需要的硬件和软件需配齐。</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（3）设备外观清洁，标记编号以及盘面显示等字体清晰，明确。铭牌、使用指示、警告指示应以中文或英文及易懂的通用符号来表示；应准确无误地表明设备之型号、规格、制造厂及生产或出厂日期。</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（4）对于影响设备、演播室局部改造正常工作的必要组成部分，无论在技术规范中指出与否，投标人都应提供并在投标文件中明确列出。</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2.技术服务要求</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(1）供货</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成交人应确保其技术建议以及所提供的软硬件设备的完整性、实用性，保证升级后系统及时投入正常运行。若出现因成交人提供的软硬件设备不满足要求、不合理，或者其所提供的技术支持和服务不全面，而导致系统升级无法实现或不能完全实现的状况，成交人应负全部责任。</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供应商须有义务保证采购人系统的完整性，部分连接运行配件未在谈判文件中明示的，投标人应在投标时予以补充，如项目实施过程中因缺少设备、配件或服务导致采购人系统无法正常运行，供应商须承诺免费提供；除采购人明确提出的变更外，本项目不再增加任何费用；集成商必须提供所有项目相关费用的报价列表，报价风险由其自行承担。</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（2）安装调试</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供应商必须立足于采购人现场基础设施及应用系统现状，对采购需求深入研究的基础上（如有必要可到现场勘查），制定详细的系统技术方案和实施方案，并在响应文件中加以体现。成交人应在施工前提供详细的施工实施方案，并提交采购人认可。提供原厂工程师或原厂认证的工程师现场安装和调试，施工过程中应科学、合理地掌握与其他工程界面的协调、交叉。 </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(3）验收</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设备到货及安装到位后，采购人与成交人共同配合对所有设备、演播室局部改造安装进行检查，出现损坏、数量不全或产品不对等问题时，由供应商负责解决。</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设备、改造系统集成后，由成交人制订测试方案并经采购人确认后，对产品的性能和配置进行测试检查，并形成测试报告。</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测试过程中出现设备产品性能指标或功能上不符合标书要求时，采购人有拒收的权利。</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测试过程中出现不符合采购文件及响应文件和合同要求的严重质量问题时，采购人保留索赔权利。</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(4）质保</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自本项目设备供应到位、演播室局部改造安装调试验收合格签字之日起1.直播机设备满12个月内原厂免费质保，供应商三年维保，软件终生免费升级；2.演播室灯光改造36个月内原厂免费质保；3.配音间设备满12个月内原厂免费质保。</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3.服务要求</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质保期自双方代表在验收单上签字之日起计算。保修期内，成交人负责产品（设备）厂家对其提供的设备、软件进行现场维修，不收取额外费用。如因主机的损坏、配件的损坏、接口的损坏等原因引起的质量问题，要求原厂商提供更换产品（设备）或免费维护的服务。</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质保期内负责软件升级服务，最新的软件版本由原厂商提供正版软件，由原厂商或集成商工程师提供现场服务。</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4.售后服务和故障响应</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供应商提供详细的售后服务方案，售后服务承诺、售后服务制度、售后服务标准、售后服务工程师名单和联系方式等。</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设备、安装在签约的质保期内发生软、硬件故障，供应商应及时予以响应，免费上门服务。否则采购人将自行采取必要的措施，由此产生风险和费用应由供应商承担。所投所有设备或软件按各产品要求提供相应原厂免费质保服务，质保期从验收合格签字之日开始计算，供应商同时提供不低于投标承诺的免费技术支持服务，包含硬件及软件升级服务，软硬件故障处理、坏件更换、不计次数的现场服务等。</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保修期内，供应商负责产品厂家对其提供的设备、软件进行定期巡检，其余每年不低于4次，并提供检测报告；如果设备在质保期内发生软、硬件故障，供应商应在30分钟内响应,2小时到达用户现场，并保证7*24小时远程技术支持。供应商须明确硬件设备出现故障时，应免费在6小时内用同等的品牌规格的部件更换到位。否则，采购人将自行采取必要的措施，由此产生风险和费用从成交人履约保证金中扣除。</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5.培训</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成交人负责提供现场操作、运行、维护、修理的培训方案及必需的培训资料。</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成交人负责对采购方受训人员进行操作培训、维修培训、培训内容包括且不限定于网络设备的常用配置功能。</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6.项目实施要求</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1.成交人在项目演播室改造实施前，应进一步细化项目实施方案，并与采购人就具体实施方案取得一致后，方可开始实施。</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2.所有设备的安装调试须由原厂或具有相关证书的资深网络工程师实施。</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3.成交人项目实施工作应符合网络工程国家及行业相关规范。</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4.交货（服务）地点：江苏省南通市世纪大道8号南通报业新闻传媒中心大厦。</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5.有关要求说明：</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（1）主要技术参数：为鼓励不同品牌的充分竞争，如某主要技术参数属于个别品牌专有，则该主要技术参数不具有限制性，供应商可对该参数进行适当调整，并说明调整的理由。</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（2）关于建议品牌：</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项目中的建议品牌，只是建议所采购产品（设备）的档次。供应商可以选择建议品牌，也可以选择建议品牌以外的品牌，但所选品牌档次须等于或高于建议品牌档次。当三分之二评委认定，所选品牌档次低于建议品牌档次的，将作无效响应处理。</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3）优先采购：政府采购优先采购节能产品和环境标志产品。节能产品是指列入财政部、国家发展和改革委员会制定的《节能产品政府采购清单》。环境标志产品是指财政部、国家环保总局制定的《环境标志产品政府采购清单》。</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4）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6、施工期限：合同签订后20个工作日，完成设备安装、调试、人员培训、验收合格并交付使用。</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b/>
          <w:bCs/>
          <w:color w:val="2B2B2B"/>
          <w:kern w:val="0"/>
          <w:sz w:val="28"/>
          <w:szCs w:val="28"/>
        </w:rPr>
        <w:t>十三、联系方式</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采购人：南通日报社（南通报业传媒集团）</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地址：江苏省南通市世纪大道8号南通报业新闻传媒中心大厦</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邮编：226018</w:t>
      </w:r>
    </w:p>
    <w:p>
      <w:pPr>
        <w:widowControl/>
        <w:shd w:val="clear" w:color="auto" w:fill="FFFFFF"/>
        <w:spacing w:line="390" w:lineRule="atLeast"/>
        <w:ind w:firstLine="480"/>
        <w:jc w:val="left"/>
        <w:rPr>
          <w:rFonts w:ascii="仿宋" w:hAnsi="仿宋" w:eastAsia="仿宋" w:cs="仿宋"/>
          <w:color w:val="2B2B2B"/>
          <w:kern w:val="0"/>
          <w:sz w:val="28"/>
          <w:szCs w:val="28"/>
        </w:rPr>
      </w:pPr>
      <w:r>
        <w:rPr>
          <w:rFonts w:hint="eastAsia" w:ascii="仿宋" w:hAnsi="仿宋" w:eastAsia="仿宋" w:cs="仿宋"/>
          <w:color w:val="2B2B2B"/>
          <w:kern w:val="0"/>
          <w:sz w:val="28"/>
          <w:szCs w:val="28"/>
        </w:rPr>
        <w:t>联系人：李文峰 电话、传真：0513-85118880</w:t>
      </w:r>
    </w:p>
    <w:p>
      <w:pPr>
        <w:widowControl/>
        <w:shd w:val="clear" w:color="auto" w:fill="FFFFFF"/>
        <w:spacing w:line="390" w:lineRule="atLeast"/>
        <w:ind w:firstLine="480"/>
        <w:jc w:val="left"/>
        <w:rPr>
          <w:rFonts w:ascii="仿宋" w:hAnsi="仿宋" w:eastAsia="仿宋" w:cs="仿宋"/>
          <w:color w:val="2B2B2B"/>
          <w:kern w:val="0"/>
          <w:sz w:val="28"/>
          <w:szCs w:val="28"/>
        </w:rPr>
      </w:pPr>
    </w:p>
    <w:p>
      <w:pPr>
        <w:widowControl/>
        <w:shd w:val="clear" w:color="auto" w:fill="FFFFFF"/>
        <w:spacing w:line="390" w:lineRule="atLeast"/>
        <w:ind w:firstLine="480"/>
        <w:jc w:val="center"/>
        <w:rPr>
          <w:rFonts w:ascii="仿宋" w:hAnsi="仿宋" w:eastAsia="仿宋" w:cs="仿宋"/>
          <w:color w:val="2B2B2B"/>
          <w:kern w:val="0"/>
          <w:sz w:val="28"/>
          <w:szCs w:val="28"/>
        </w:rPr>
      </w:pPr>
      <w:r>
        <w:rPr>
          <w:rFonts w:hint="eastAsia" w:ascii="仿宋" w:hAnsi="仿宋" w:eastAsia="仿宋" w:cs="仿宋"/>
          <w:color w:val="2B2B2B"/>
          <w:kern w:val="0"/>
          <w:sz w:val="28"/>
          <w:szCs w:val="28"/>
        </w:rPr>
        <w:t>南通日报社（南通报业传媒集团）</w:t>
      </w:r>
    </w:p>
    <w:p>
      <w:pPr>
        <w:widowControl/>
        <w:shd w:val="clear" w:color="auto" w:fill="FFFFFF"/>
        <w:spacing w:line="390" w:lineRule="atLeast"/>
        <w:ind w:firstLine="4480" w:firstLineChars="1600"/>
        <w:rPr>
          <w:rFonts w:ascii="仿宋" w:hAnsi="仿宋" w:eastAsia="仿宋" w:cs="仿宋"/>
          <w:color w:val="2B2B2B"/>
          <w:kern w:val="0"/>
          <w:sz w:val="28"/>
          <w:szCs w:val="28"/>
        </w:rPr>
      </w:pPr>
      <w:r>
        <w:rPr>
          <w:rFonts w:hint="eastAsia" w:ascii="仿宋" w:hAnsi="仿宋" w:eastAsia="仿宋" w:cs="仿宋"/>
          <w:color w:val="2B2B2B"/>
          <w:kern w:val="0"/>
          <w:sz w:val="28"/>
          <w:szCs w:val="28"/>
        </w:rPr>
        <w:t>2020年10月22 日</w:t>
      </w:r>
    </w:p>
    <w:p>
      <w:pPr>
        <w:snapToGrid w:val="0"/>
        <w:spacing w:line="300" w:lineRule="auto"/>
        <w:ind w:firstLine="555"/>
        <w:rPr>
          <w:rFonts w:ascii="仿宋" w:hAnsi="仿宋" w:eastAsia="仿宋" w:cs="仿宋"/>
          <w:b/>
          <w:sz w:val="28"/>
          <w:szCs w:val="28"/>
        </w:rPr>
      </w:pPr>
    </w:p>
    <w:p>
      <w:pPr>
        <w:snapToGrid w:val="0"/>
        <w:spacing w:line="300" w:lineRule="auto"/>
        <w:ind w:firstLine="555"/>
        <w:rPr>
          <w:rFonts w:ascii="仿宋" w:hAnsi="仿宋" w:eastAsia="仿宋" w:cs="仿宋"/>
          <w:b/>
          <w:sz w:val="28"/>
          <w:szCs w:val="28"/>
        </w:rPr>
      </w:pPr>
    </w:p>
    <w:p>
      <w:pPr>
        <w:snapToGrid w:val="0"/>
        <w:spacing w:line="300" w:lineRule="auto"/>
        <w:ind w:firstLine="555"/>
        <w:rPr>
          <w:rFonts w:ascii="仿宋" w:hAnsi="仿宋" w:eastAsia="仿宋" w:cs="仿宋"/>
          <w:b/>
          <w:sz w:val="28"/>
          <w:szCs w:val="28"/>
        </w:rPr>
      </w:pPr>
    </w:p>
    <w:p>
      <w:pPr>
        <w:snapToGrid w:val="0"/>
        <w:spacing w:line="300" w:lineRule="auto"/>
        <w:ind w:firstLine="555"/>
        <w:rPr>
          <w:rFonts w:ascii="仿宋" w:hAnsi="仿宋" w:eastAsia="仿宋" w:cs="仿宋"/>
          <w:b/>
          <w:sz w:val="28"/>
          <w:szCs w:val="28"/>
        </w:rPr>
      </w:pPr>
    </w:p>
    <w:bookmarkEnd w:id="1"/>
    <w:p>
      <w:pPr>
        <w:spacing w:line="500" w:lineRule="exact"/>
        <w:jc w:val="center"/>
        <w:rPr>
          <w:rFonts w:ascii="仿宋" w:hAnsi="仿宋" w:eastAsia="仿宋" w:cs="仿宋"/>
          <w:b/>
          <w:color w:val="000000"/>
          <w:sz w:val="28"/>
          <w:szCs w:val="28"/>
        </w:rPr>
      </w:pPr>
    </w:p>
    <w:p>
      <w:pPr>
        <w:pStyle w:val="4"/>
        <w:jc w:val="center"/>
        <w:rPr>
          <w:rFonts w:ascii="仿宋" w:hAnsi="仿宋" w:eastAsia="仿宋" w:cs="仿宋"/>
          <w:sz w:val="28"/>
          <w:szCs w:val="28"/>
        </w:rPr>
      </w:pPr>
      <w:bookmarkStart w:id="2" w:name="_Toc511997109"/>
      <w:r>
        <w:rPr>
          <w:rFonts w:hint="eastAsia" w:ascii="仿宋" w:hAnsi="仿宋" w:eastAsia="仿宋" w:cs="仿宋"/>
          <w:sz w:val="28"/>
          <w:szCs w:val="28"/>
        </w:rPr>
        <w:t>第二部分 供应商谈判须知</w:t>
      </w:r>
      <w:bookmarkEnd w:id="2"/>
    </w:p>
    <w:p>
      <w:pPr>
        <w:spacing w:line="500" w:lineRule="exact"/>
        <w:rPr>
          <w:rFonts w:ascii="仿宋" w:hAnsi="仿宋" w:eastAsia="仿宋" w:cs="仿宋"/>
          <w:b/>
          <w:sz w:val="28"/>
          <w:szCs w:val="28"/>
        </w:rPr>
      </w:pPr>
      <w:r>
        <w:rPr>
          <w:rFonts w:hint="eastAsia" w:ascii="仿宋" w:hAnsi="仿宋" w:eastAsia="仿宋" w:cs="仿宋"/>
          <w:b/>
          <w:sz w:val="28"/>
          <w:szCs w:val="28"/>
        </w:rPr>
        <w:t>一、对供应商投标响应文件编制要求</w:t>
      </w:r>
    </w:p>
    <w:p>
      <w:pPr>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供应商应仔细阅读本竞争性谈判采购文件，认真审阅文件中所有的事项、格式、条款和规范要求等，按照谈判文件的要求编制响应文件，并在响应文件中对谈判文件的实质性要求和条件做出响应。如果没有按照谈判文件要求提交响应文件，或者响应文件没有对谈判文件做出实质性响应，将被拒绝参与谈判，供应商自行承担责任。</w:t>
      </w:r>
    </w:p>
    <w:p>
      <w:pPr>
        <w:tabs>
          <w:tab w:val="left" w:pos="525"/>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2.供应商应按照竞争性谈判采购文件中货物需求一览表和技术规格有关内容分别填写响应报价表、技术规格响应表，并书面承诺所能提供的详细服务。    </w:t>
      </w:r>
    </w:p>
    <w:p>
      <w:pPr>
        <w:tabs>
          <w:tab w:val="left" w:pos="525"/>
        </w:tabs>
        <w:spacing w:line="44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3.供应商对响应文件表格应逐项填清，并算出单项总价及投标总报价，</w:t>
      </w:r>
      <w:r>
        <w:rPr>
          <w:rFonts w:hint="eastAsia" w:ascii="仿宋" w:hAnsi="仿宋" w:eastAsia="仿宋" w:cs="仿宋"/>
          <w:color w:val="000000"/>
          <w:sz w:val="28"/>
          <w:szCs w:val="28"/>
        </w:rPr>
        <w:t>投标文件报价出现前后不一致的，除招标文件另有规定外，按照下列规定修正：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pPr>
        <w:tabs>
          <w:tab w:val="left" w:pos="525"/>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4.一项货物只允许一个报价。</w:t>
      </w:r>
    </w:p>
    <w:p>
      <w:pPr>
        <w:tabs>
          <w:tab w:val="left" w:pos="525"/>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5.响应总报价应包括所列货物的材料、附件、标准配件、包装、运输、保险、安装、调试、专用工具、税费等全部费用。</w:t>
      </w:r>
    </w:p>
    <w:p>
      <w:pPr>
        <w:widowControl/>
        <w:shd w:val="clear" w:color="auto" w:fill="FFFFFF"/>
        <w:spacing w:line="390" w:lineRule="atLeast"/>
        <w:ind w:firstLine="560" w:firstLineChars="200"/>
        <w:jc w:val="left"/>
        <w:rPr>
          <w:rFonts w:ascii="仿宋" w:hAnsi="仿宋" w:eastAsia="仿宋" w:cs="仿宋"/>
          <w:color w:val="2B2B2B"/>
          <w:kern w:val="0"/>
          <w:sz w:val="28"/>
          <w:szCs w:val="28"/>
        </w:rPr>
      </w:pPr>
      <w:r>
        <w:rPr>
          <w:rFonts w:hint="eastAsia" w:ascii="仿宋" w:hAnsi="仿宋" w:eastAsia="仿宋" w:cs="仿宋"/>
          <w:color w:val="000000" w:themeColor="text1"/>
          <w:sz w:val="28"/>
          <w:szCs w:val="28"/>
        </w:rPr>
        <w:t>6.</w:t>
      </w:r>
      <w:r>
        <w:rPr>
          <w:rFonts w:hint="eastAsia" w:ascii="仿宋" w:hAnsi="仿宋" w:eastAsia="仿宋" w:cs="仿宋"/>
          <w:color w:val="2B2B2B"/>
          <w:kern w:val="0"/>
          <w:sz w:val="28"/>
          <w:szCs w:val="28"/>
        </w:rPr>
        <w:t xml:space="preserve"> </w:t>
      </w:r>
      <w:r>
        <w:rPr>
          <w:rFonts w:hint="eastAsia" w:ascii="仿宋" w:hAnsi="仿宋" w:eastAsia="仿宋" w:cs="仿宋"/>
          <w:sz w:val="28"/>
          <w:szCs w:val="28"/>
        </w:rPr>
        <w:t>参与竞争性谈判供应商成交签约前须提供本次采购原厂商针对本项目主要软硬件产品（设备）的原厂质保期限承诺函原件（自本项目设备供应到位、演播室局部改造安装调试验收合格签字之日起1.直播机设备满12个月；2.演播室灯光改造满36个月；3.配音间设备满12个月）。需注明最终用户为南通日报社、南通报业传媒集团。</w:t>
      </w:r>
    </w:p>
    <w:p>
      <w:pPr>
        <w:tabs>
          <w:tab w:val="left" w:pos="525"/>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7.供应商须准备一式五份（正本一份，副本四份，随附响应文件电子U盘单独密封袋中），每份响应文件须清楚地标明“正本”或“副本”。一旦正本和副本不符，以正本为准。</w:t>
      </w:r>
    </w:p>
    <w:p>
      <w:pPr>
        <w:tabs>
          <w:tab w:val="left" w:pos="525"/>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8.响应文件的正本和所有的副本均须打印并由响应文件人或经正式授权并对供应商有约束力的代表签字。授权代表须以书面形式出具的“授权证书”附在响应文件中。</w:t>
      </w:r>
    </w:p>
    <w:p>
      <w:pPr>
        <w:tabs>
          <w:tab w:val="left" w:pos="525"/>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9.除供应商对错处必要修改外，响应文件中不得行间插字、涂改或增删，如有修改错漏处，必须由供应商或其授权代表签字和盖章。</w:t>
      </w:r>
    </w:p>
    <w:p>
      <w:pPr>
        <w:tabs>
          <w:tab w:val="left" w:pos="525"/>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10.供应商应根据采购人要求在响应文件标袋上项目名称，密封并加盖单位公章后，按照磋商文件中注明的地址于提交响应文件截止日期前送到指定地点。</w:t>
      </w:r>
    </w:p>
    <w:p>
      <w:pPr>
        <w:tabs>
          <w:tab w:val="left" w:pos="0"/>
        </w:tabs>
        <w:spacing w:line="440" w:lineRule="exact"/>
        <w:ind w:left="19" w:leftChars="9" w:firstLine="574" w:firstLineChars="205"/>
        <w:rPr>
          <w:rFonts w:ascii="仿宋" w:hAnsi="仿宋" w:eastAsia="仿宋" w:cs="仿宋"/>
          <w:sz w:val="28"/>
          <w:szCs w:val="28"/>
        </w:rPr>
      </w:pPr>
      <w:r>
        <w:rPr>
          <w:rFonts w:hint="eastAsia" w:ascii="仿宋" w:hAnsi="仿宋" w:eastAsia="仿宋" w:cs="仿宋"/>
          <w:sz w:val="28"/>
          <w:szCs w:val="28"/>
        </w:rPr>
        <w:t>11.竞争性谈判过程中，采购人谈判小组可要求响应供应商对其响应文件的内容进行解释或者澄清其响应文件，但供应商的澄清、说明或者更正不得超出响应文件的范围或者改变响应文件的实质性内容。</w:t>
      </w:r>
    </w:p>
    <w:p>
      <w:pPr>
        <w:tabs>
          <w:tab w:val="left" w:pos="525"/>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12.竞争性谈判采购的主要评定要素为：以满足采购人实际需求为原则，货物的性能价格比、技术规格、档次、品牌、质量、售后服务等能够最大限度地满足招标文件全部实质性要求，且投标报价最低。</w:t>
      </w:r>
    </w:p>
    <w:p>
      <w:pPr>
        <w:tabs>
          <w:tab w:val="left" w:pos="0"/>
        </w:tabs>
        <w:spacing w:line="440" w:lineRule="exact"/>
        <w:ind w:firstLine="518" w:firstLineChars="185"/>
        <w:rPr>
          <w:rFonts w:ascii="仿宋" w:hAnsi="仿宋" w:eastAsia="仿宋" w:cs="仿宋"/>
          <w:sz w:val="28"/>
          <w:szCs w:val="28"/>
        </w:rPr>
      </w:pPr>
      <w:r>
        <w:rPr>
          <w:rFonts w:hint="eastAsia" w:ascii="仿宋" w:hAnsi="仿宋" w:eastAsia="仿宋" w:cs="仿宋"/>
          <w:sz w:val="28"/>
          <w:szCs w:val="28"/>
        </w:rPr>
        <w:t>13.确定成交供应商后，采购人经行业主管单位指定媒体公告1日，并</w:t>
      </w:r>
      <w:r>
        <w:rPr>
          <w:rFonts w:hint="eastAsia" w:ascii="仿宋" w:hAnsi="仿宋" w:eastAsia="仿宋" w:cs="仿宋"/>
          <w:color w:val="000000"/>
          <w:sz w:val="28"/>
          <w:szCs w:val="28"/>
          <w:shd w:val="clear" w:color="auto" w:fill="FFFFFF"/>
        </w:rPr>
        <w:t>在公告中标成交结果的同时，向中标成交人发出中标成交结果通知书。</w:t>
      </w:r>
    </w:p>
    <w:p>
      <w:pPr>
        <w:snapToGrid w:val="0"/>
        <w:spacing w:line="440" w:lineRule="exact"/>
        <w:ind w:firstLine="556"/>
        <w:rPr>
          <w:rFonts w:ascii="仿宋" w:hAnsi="仿宋" w:eastAsia="仿宋" w:cs="仿宋"/>
          <w:sz w:val="28"/>
          <w:szCs w:val="28"/>
        </w:rPr>
      </w:pPr>
      <w:r>
        <w:rPr>
          <w:rFonts w:hint="eastAsia" w:ascii="仿宋" w:hAnsi="仿宋" w:eastAsia="仿宋" w:cs="仿宋"/>
          <w:sz w:val="28"/>
          <w:szCs w:val="28"/>
        </w:rPr>
        <w:t>14.如对谈判文件需求有异议，或需现场踏勘，请即时与采购人及采购单位联系，否则视同认可，对可能产生的后果自负。</w:t>
      </w:r>
    </w:p>
    <w:p>
      <w:pPr>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15.谈判文件如有内容或页码残缺、资格要求和技术参数含有倾向性或排他性等表述的，供应商应在谈判开始前5日内（节假日除外）以书面形式提出询问或疑问，未在规定的5日内提出询问或疑问的，视同供应商理解并接受本次采购文件所有内容，并由此引起的响应损失自负。供应商不得在谈判采购结束后针对本采购文件所有内容提出质疑事项。</w:t>
      </w:r>
    </w:p>
    <w:p>
      <w:pPr>
        <w:snapToGrid w:val="0"/>
        <w:spacing w:line="440" w:lineRule="exact"/>
        <w:ind w:firstLine="556"/>
        <w:rPr>
          <w:rFonts w:ascii="仿宋" w:hAnsi="仿宋" w:eastAsia="仿宋" w:cs="仿宋"/>
          <w:sz w:val="28"/>
          <w:szCs w:val="28"/>
        </w:rPr>
      </w:pPr>
      <w:r>
        <w:rPr>
          <w:rFonts w:hint="eastAsia" w:ascii="仿宋" w:hAnsi="仿宋" w:eastAsia="仿宋" w:cs="仿宋"/>
          <w:sz w:val="28"/>
          <w:szCs w:val="28"/>
        </w:rPr>
        <w:t>16.供应商应对其提交的响应文件的真实性、合法性承担法律责任。</w:t>
      </w:r>
    </w:p>
    <w:p>
      <w:pPr>
        <w:snapToGrid w:val="0"/>
        <w:spacing w:line="440" w:lineRule="exact"/>
        <w:ind w:firstLine="556"/>
        <w:rPr>
          <w:rFonts w:ascii="仿宋" w:hAnsi="仿宋" w:eastAsia="仿宋" w:cs="仿宋"/>
          <w:sz w:val="28"/>
          <w:szCs w:val="28"/>
        </w:rPr>
      </w:pPr>
      <w:r>
        <w:rPr>
          <w:rFonts w:hint="eastAsia" w:ascii="仿宋" w:hAnsi="仿宋" w:eastAsia="仿宋" w:cs="仿宋"/>
          <w:sz w:val="28"/>
          <w:szCs w:val="28"/>
        </w:rPr>
        <w:t>17.报名截止时间后，未报名的供应商，不能提出质疑。</w:t>
      </w:r>
    </w:p>
    <w:p>
      <w:pPr>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18.本须知和竞争性谈判采购文件由采购人负责解释和修改。</w:t>
      </w:r>
    </w:p>
    <w:p>
      <w:pPr>
        <w:snapToGrid w:val="0"/>
        <w:spacing w:line="440" w:lineRule="exact"/>
        <w:rPr>
          <w:rFonts w:ascii="仿宋" w:hAnsi="仿宋" w:eastAsia="仿宋" w:cs="仿宋"/>
          <w:sz w:val="28"/>
          <w:szCs w:val="28"/>
        </w:rPr>
      </w:pPr>
      <w:r>
        <w:rPr>
          <w:rFonts w:hint="eastAsia" w:ascii="仿宋" w:hAnsi="仿宋" w:eastAsia="仿宋" w:cs="仿宋"/>
          <w:b/>
          <w:sz w:val="28"/>
          <w:szCs w:val="28"/>
        </w:rPr>
        <w:t>二、竞争性谈判采购文件的澄清、修改、答疑</w:t>
      </w:r>
    </w:p>
    <w:p>
      <w:pPr>
        <w:pStyle w:val="3"/>
        <w:snapToGrid w:val="0"/>
        <w:spacing w:line="440" w:lineRule="exact"/>
        <w:ind w:left="0" w:firstLine="560" w:firstLineChars="200"/>
        <w:rPr>
          <w:rFonts w:ascii="仿宋" w:hAnsi="仿宋" w:eastAsia="仿宋" w:cs="仿宋"/>
          <w:szCs w:val="28"/>
        </w:rPr>
      </w:pPr>
      <w:r>
        <w:rPr>
          <w:rFonts w:hint="eastAsia" w:ascii="仿宋" w:hAnsi="仿宋" w:eastAsia="仿宋" w:cs="仿宋"/>
          <w:szCs w:val="28"/>
        </w:rPr>
        <w:t>1.采购人有权对发出的谈判文件进行必要的澄清或修改。澄清或者修改的内容作为谈判文件的组成部分，对供应商具有约束力。澄清或者修改的内容可能影响响应文件编制的，采购人将在提交首次响应文件截止之日至少3日前，以书面形式通知所有接收谈判文件的供应商，不足3日的，应当顺延提交首次响应文件截止。</w:t>
      </w:r>
    </w:p>
    <w:p>
      <w:pPr>
        <w:pStyle w:val="3"/>
        <w:snapToGrid w:val="0"/>
        <w:spacing w:line="500" w:lineRule="exact"/>
        <w:ind w:left="0" w:firstLine="560" w:firstLineChars="200"/>
        <w:rPr>
          <w:rFonts w:ascii="仿宋" w:hAnsi="仿宋" w:eastAsia="仿宋" w:cs="仿宋"/>
          <w:szCs w:val="28"/>
        </w:rPr>
      </w:pPr>
      <w:r>
        <w:rPr>
          <w:rFonts w:hint="eastAsia" w:ascii="仿宋" w:hAnsi="仿宋" w:eastAsia="仿宋" w:cs="仿宋"/>
          <w:szCs w:val="28"/>
        </w:rPr>
        <w:t>2.供应商由于对谈判文件的任何推论和误解以及采购人对有</w:t>
      </w:r>
      <w:r>
        <w:rPr>
          <w:rFonts w:hint="eastAsia" w:ascii="仿宋" w:hAnsi="仿宋" w:eastAsia="仿宋" w:cs="仿宋"/>
          <w:szCs w:val="28"/>
          <w:lang w:val="zh-CN"/>
        </w:rPr>
        <w:t>关问题的口头解释所造成的后果，均由供应商自负。</w:t>
      </w:r>
    </w:p>
    <w:p>
      <w:pPr>
        <w:pStyle w:val="3"/>
        <w:snapToGrid w:val="0"/>
        <w:spacing w:line="500" w:lineRule="exact"/>
        <w:ind w:left="0" w:firstLine="560" w:firstLineChars="200"/>
        <w:rPr>
          <w:rFonts w:ascii="仿宋" w:hAnsi="仿宋" w:eastAsia="仿宋" w:cs="仿宋"/>
          <w:szCs w:val="28"/>
        </w:rPr>
      </w:pPr>
      <w:r>
        <w:rPr>
          <w:rFonts w:hint="eastAsia" w:ascii="仿宋" w:hAnsi="仿宋" w:eastAsia="仿宋" w:cs="仿宋"/>
          <w:szCs w:val="28"/>
        </w:rPr>
        <w:t>3.采购人可视情取消、延长相关时间，不负责解释。</w:t>
      </w:r>
    </w:p>
    <w:p>
      <w:pPr>
        <w:pStyle w:val="3"/>
        <w:snapToGrid w:val="0"/>
        <w:spacing w:line="500" w:lineRule="exact"/>
        <w:ind w:left="0" w:firstLine="560" w:firstLineChars="200"/>
        <w:rPr>
          <w:rFonts w:ascii="仿宋" w:hAnsi="仿宋" w:eastAsia="仿宋" w:cs="仿宋"/>
          <w:szCs w:val="28"/>
        </w:rPr>
      </w:pPr>
      <w:r>
        <w:rPr>
          <w:rFonts w:hint="eastAsia" w:ascii="仿宋" w:hAnsi="仿宋" w:eastAsia="仿宋" w:cs="仿宋"/>
          <w:szCs w:val="28"/>
        </w:rPr>
        <w:t>4.采购人可视情组织答疑会。</w:t>
      </w:r>
    </w:p>
    <w:p>
      <w:pPr>
        <w:snapToGrid w:val="0"/>
        <w:spacing w:line="500" w:lineRule="exact"/>
        <w:contextualSpacing/>
        <w:rPr>
          <w:rFonts w:ascii="仿宋" w:hAnsi="仿宋" w:eastAsia="仿宋" w:cs="仿宋"/>
          <w:b/>
          <w:sz w:val="28"/>
          <w:szCs w:val="28"/>
        </w:rPr>
      </w:pPr>
      <w:r>
        <w:rPr>
          <w:rFonts w:hint="eastAsia" w:ascii="仿宋" w:hAnsi="仿宋" w:eastAsia="仿宋" w:cs="仿宋"/>
          <w:b/>
          <w:sz w:val="28"/>
          <w:szCs w:val="28"/>
        </w:rPr>
        <w:t>三、响应报价</w:t>
      </w:r>
    </w:p>
    <w:p>
      <w:pPr>
        <w:pStyle w:val="3"/>
        <w:snapToGrid w:val="0"/>
        <w:spacing w:line="500" w:lineRule="exact"/>
        <w:ind w:left="0" w:firstLine="560" w:firstLineChars="200"/>
        <w:contextualSpacing/>
        <w:rPr>
          <w:rFonts w:ascii="仿宋" w:hAnsi="仿宋" w:eastAsia="仿宋" w:cs="仿宋"/>
          <w:b/>
          <w:szCs w:val="28"/>
        </w:rPr>
      </w:pPr>
      <w:r>
        <w:rPr>
          <w:rFonts w:hint="eastAsia" w:ascii="仿宋" w:hAnsi="仿宋" w:eastAsia="仿宋" w:cs="仿宋"/>
          <w:szCs w:val="28"/>
        </w:rPr>
        <w:t>一个标的只允许一个报价，不接受任何有选择性的报价。</w:t>
      </w:r>
    </w:p>
    <w:p>
      <w:pPr>
        <w:pStyle w:val="7"/>
        <w:widowControl/>
        <w:tabs>
          <w:tab w:val="left" w:pos="540"/>
        </w:tabs>
        <w:snapToGrid w:val="0"/>
        <w:spacing w:line="500" w:lineRule="exact"/>
        <w:ind w:firstLine="0"/>
        <w:contextualSpacing/>
        <w:rPr>
          <w:rFonts w:ascii="仿宋" w:hAnsi="仿宋" w:eastAsia="仿宋" w:cs="仿宋"/>
          <w:sz w:val="28"/>
          <w:szCs w:val="28"/>
        </w:rPr>
      </w:pPr>
      <w:r>
        <w:rPr>
          <w:rFonts w:hint="eastAsia" w:ascii="仿宋" w:hAnsi="仿宋" w:eastAsia="仿宋" w:cs="仿宋"/>
          <w:b/>
          <w:sz w:val="28"/>
          <w:szCs w:val="28"/>
        </w:rPr>
        <w:t>四、谈判文件的编写、份数和签署</w:t>
      </w:r>
    </w:p>
    <w:p>
      <w:pPr>
        <w:autoSpaceDE w:val="0"/>
        <w:autoSpaceDN w:val="0"/>
        <w:adjustRightInd w:val="0"/>
        <w:snapToGrid w:val="0"/>
        <w:spacing w:line="500"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1.供应商按第 七 部分“响应文件组成及编制要求”编写响应文件，</w:t>
      </w:r>
      <w:r>
        <w:rPr>
          <w:rFonts w:hint="eastAsia" w:ascii="仿宋" w:hAnsi="仿宋" w:eastAsia="仿宋" w:cs="仿宋"/>
          <w:sz w:val="28"/>
          <w:szCs w:val="28"/>
          <w:lang w:val="zh-CN"/>
        </w:rPr>
        <w:t>自编目录并连续标注页码，不得将内容拆开，并牢固装订成册。响应文件均需采用A4纸（</w:t>
      </w:r>
      <w:r>
        <w:rPr>
          <w:rFonts w:hint="eastAsia" w:ascii="仿宋" w:hAnsi="仿宋" w:eastAsia="仿宋" w:cs="仿宋"/>
          <w:sz w:val="28"/>
          <w:szCs w:val="28"/>
        </w:rPr>
        <w:t>图纸等除外），不允许使用活页夹、拉杆夹、文件夹、塑料方便式书脊（插入式或穿孔式）装订。响应文件不得行间插字、涂改、增删，如修补错漏处，须经响应文件签署人签字并加盖公章。</w:t>
      </w:r>
    </w:p>
    <w:p>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2.响应文件</w:t>
      </w:r>
      <w:r>
        <w:rPr>
          <w:rFonts w:hint="eastAsia" w:ascii="仿宋" w:hAnsi="仿宋" w:eastAsia="仿宋" w:cs="仿宋"/>
          <w:sz w:val="28"/>
          <w:szCs w:val="28"/>
          <w:lang w:val="zh-CN"/>
        </w:rPr>
        <w:t>一</w:t>
      </w:r>
      <w:r>
        <w:rPr>
          <w:rFonts w:hint="eastAsia" w:ascii="仿宋" w:hAnsi="仿宋" w:eastAsia="仿宋" w:cs="仿宋"/>
          <w:sz w:val="28"/>
          <w:szCs w:val="28"/>
        </w:rPr>
        <w:t>份正本和四份副本，并明确标注供应商</w:t>
      </w:r>
      <w:r>
        <w:rPr>
          <w:rFonts w:hint="eastAsia" w:ascii="仿宋" w:hAnsi="仿宋" w:eastAsia="仿宋" w:cs="仿宋"/>
          <w:sz w:val="28"/>
          <w:szCs w:val="28"/>
          <w:lang w:val="zh-CN"/>
        </w:rPr>
        <w:t>全称、</w:t>
      </w:r>
      <w:r>
        <w:rPr>
          <w:rFonts w:hint="eastAsia" w:ascii="仿宋" w:hAnsi="仿宋" w:eastAsia="仿宋" w:cs="仿宋"/>
          <w:sz w:val="28"/>
          <w:szCs w:val="28"/>
        </w:rPr>
        <w:t>“正本”、“副本”字样。</w:t>
      </w:r>
    </w:p>
    <w:p>
      <w:pPr>
        <w:snapToGrid w:val="0"/>
        <w:spacing w:line="500" w:lineRule="exact"/>
        <w:ind w:firstLine="560" w:firstLineChars="200"/>
        <w:contextualSpacing/>
        <w:jc w:val="distribute"/>
        <w:rPr>
          <w:rFonts w:ascii="仿宋" w:hAnsi="仿宋" w:eastAsia="仿宋" w:cs="仿宋"/>
          <w:sz w:val="28"/>
          <w:szCs w:val="28"/>
        </w:rPr>
      </w:pPr>
      <w:r>
        <w:rPr>
          <w:rFonts w:hint="eastAsia" w:ascii="仿宋" w:hAnsi="仿宋" w:eastAsia="仿宋" w:cs="仿宋"/>
          <w:sz w:val="28"/>
          <w:szCs w:val="28"/>
        </w:rPr>
        <w:t>3.响应文件正本须打印并由供应商法定代表人或授权代理人签</w:t>
      </w:r>
    </w:p>
    <w:p>
      <w:pPr>
        <w:snapToGrid w:val="0"/>
        <w:spacing w:line="500" w:lineRule="exact"/>
        <w:contextualSpacing/>
        <w:rPr>
          <w:rFonts w:ascii="仿宋" w:hAnsi="仿宋" w:eastAsia="仿宋" w:cs="仿宋"/>
          <w:sz w:val="28"/>
          <w:szCs w:val="28"/>
        </w:rPr>
      </w:pPr>
      <w:r>
        <w:rPr>
          <w:rFonts w:hint="eastAsia" w:ascii="仿宋" w:hAnsi="仿宋" w:eastAsia="仿宋" w:cs="仿宋"/>
          <w:sz w:val="28"/>
          <w:szCs w:val="28"/>
        </w:rPr>
        <w:t>字并加盖单位印章。副本可复印，但须加盖单位印章。</w:t>
      </w:r>
    </w:p>
    <w:p>
      <w:pPr>
        <w:snapToGrid w:val="0"/>
        <w:spacing w:line="500" w:lineRule="exact"/>
        <w:contextualSpacing/>
        <w:rPr>
          <w:rFonts w:ascii="仿宋" w:hAnsi="仿宋" w:eastAsia="仿宋" w:cs="仿宋"/>
          <w:b/>
          <w:sz w:val="28"/>
          <w:szCs w:val="28"/>
        </w:rPr>
      </w:pPr>
      <w:r>
        <w:rPr>
          <w:rFonts w:hint="eastAsia" w:ascii="仿宋" w:hAnsi="仿宋" w:eastAsia="仿宋" w:cs="仿宋"/>
          <w:b/>
          <w:sz w:val="28"/>
          <w:szCs w:val="28"/>
        </w:rPr>
        <w:t>五、响应文件的密封及标记</w:t>
      </w:r>
    </w:p>
    <w:p>
      <w:pPr>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1.供应商应将正本、副本及图纸类等（如需提供图纸等其它资料的话）合并密封，统一装在一个密封袋或密封箱内（如有A3大小的图纸类，可单独密封）。</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2.响应报价表一式五份须分别单独密封，不得出现于正本或副本等响应文件资料中。</w:t>
      </w:r>
    </w:p>
    <w:p>
      <w:pPr>
        <w:snapToGrid w:val="0"/>
        <w:spacing w:line="500" w:lineRule="exact"/>
        <w:ind w:firstLine="560" w:firstLineChars="200"/>
        <w:contextualSpacing/>
        <w:rPr>
          <w:rFonts w:ascii="仿宋" w:hAnsi="仿宋" w:eastAsia="仿宋" w:cs="仿宋"/>
          <w:b/>
          <w:sz w:val="28"/>
          <w:szCs w:val="28"/>
        </w:rPr>
      </w:pPr>
      <w:r>
        <w:rPr>
          <w:rFonts w:hint="eastAsia" w:ascii="仿宋" w:hAnsi="仿宋" w:eastAsia="仿宋" w:cs="仿宋"/>
          <w:sz w:val="28"/>
          <w:szCs w:val="28"/>
        </w:rPr>
        <w:t>3.密封后应分别标明响应文件项目名称及竞争性谈判资格审查证明材料（原件包备查）、响应文件包、价格包、原件包，边缝处加盖单位骑缝章或骑缝签字，并注明于开标前不得启封。</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4.原件包由授权委托代理人携带至开标现场递交。</w:t>
      </w:r>
    </w:p>
    <w:p>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5.供应商在响应文件递交截止时间前，必须随附与响应文件正本内容相同的电子文档U盘并单独密封袋中。电子文档容量小于100M，格式为只读文件（.pdf）。所有商务技术部分必须归集到一个文件名下，文件格式为公司名加谈判项目（例：X公司X竞争性谈判采购项目）。未提交响应文件电子文档U盘的，采购人将拒绝接收谈判响应文件。</w:t>
      </w:r>
    </w:p>
    <w:p>
      <w:pPr>
        <w:snapToGrid w:val="0"/>
        <w:spacing w:line="500" w:lineRule="exact"/>
        <w:ind w:firstLine="560" w:firstLineChars="200"/>
        <w:contextualSpacing/>
        <w:rPr>
          <w:rFonts w:ascii="仿宋" w:hAnsi="仿宋" w:eastAsia="仿宋" w:cs="仿宋"/>
          <w:kern w:val="0"/>
          <w:sz w:val="28"/>
          <w:szCs w:val="28"/>
          <w:lang w:val="zh-CN"/>
        </w:rPr>
      </w:pPr>
      <w:r>
        <w:rPr>
          <w:rFonts w:hint="eastAsia" w:ascii="仿宋" w:hAnsi="仿宋" w:eastAsia="仿宋" w:cs="仿宋"/>
          <w:sz w:val="28"/>
          <w:szCs w:val="28"/>
        </w:rPr>
        <w:t>6.提交的响应文件的内容不清楚或不清晰的（含扫描件），造成无法评审或部分影响评审的，或者</w:t>
      </w:r>
      <w:r>
        <w:rPr>
          <w:rFonts w:hint="eastAsia" w:ascii="仿宋" w:hAnsi="仿宋" w:eastAsia="仿宋" w:cs="仿宋"/>
          <w:kern w:val="0"/>
          <w:sz w:val="28"/>
          <w:szCs w:val="28"/>
          <w:lang w:val="zh-CN"/>
        </w:rPr>
        <w:t>电子文件与正本文件不符，导致评审差错的，责任由响应人自负。</w:t>
      </w:r>
    </w:p>
    <w:p>
      <w:pPr>
        <w:pStyle w:val="20"/>
        <w:shd w:val="clear" w:color="auto" w:fill="FFFFFF"/>
        <w:spacing w:before="0" w:beforeAutospacing="0" w:after="0" w:afterAutospacing="0" w:line="500" w:lineRule="exact"/>
        <w:rPr>
          <w:rFonts w:ascii="仿宋" w:hAnsi="仿宋" w:eastAsia="仿宋" w:cs="仿宋"/>
          <w:b/>
          <w:sz w:val="28"/>
          <w:szCs w:val="28"/>
        </w:rPr>
      </w:pPr>
      <w:r>
        <w:rPr>
          <w:rFonts w:hint="eastAsia" w:ascii="仿宋" w:hAnsi="仿宋" w:eastAsia="仿宋" w:cs="仿宋"/>
          <w:b/>
          <w:sz w:val="28"/>
          <w:szCs w:val="28"/>
        </w:rPr>
        <w:t>六、</w:t>
      </w:r>
      <w:r>
        <w:rPr>
          <w:rFonts w:hint="eastAsia" w:ascii="仿宋" w:hAnsi="仿宋" w:eastAsia="仿宋" w:cs="仿宋"/>
          <w:b/>
          <w:color w:val="000000"/>
          <w:sz w:val="28"/>
          <w:szCs w:val="28"/>
          <w:shd w:val="clear" w:color="auto" w:fill="FFFFFF"/>
        </w:rPr>
        <w:t>不予退还投标保证金的情形</w:t>
      </w:r>
    </w:p>
    <w:p>
      <w:pPr>
        <w:pStyle w:val="20"/>
        <w:shd w:val="clear" w:color="auto" w:fill="FFFFFF"/>
        <w:spacing w:before="0" w:beforeAutospacing="0" w:after="0" w:afterAutospacing="0" w:line="500" w:lineRule="exact"/>
        <w:ind w:firstLine="560" w:firstLineChars="200"/>
        <w:rPr>
          <w:rFonts w:ascii="仿宋" w:hAnsi="仿宋" w:eastAsia="仿宋" w:cs="仿宋"/>
          <w:sz w:val="28"/>
          <w:szCs w:val="28"/>
        </w:rPr>
      </w:pPr>
      <w:r>
        <w:rPr>
          <w:rFonts w:hint="eastAsia" w:ascii="仿宋" w:hAnsi="仿宋" w:eastAsia="仿宋" w:cs="仿宋"/>
          <w:sz w:val="28"/>
          <w:szCs w:val="28"/>
        </w:rPr>
        <w:t>有下列情形之一的，保证金不予退还：</w:t>
      </w:r>
    </w:p>
    <w:p>
      <w:pPr>
        <w:pStyle w:val="20"/>
        <w:shd w:val="clear" w:color="auto" w:fill="FFFFFF"/>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　　（一）供应商在提交响应文件截止时间后撤回响应文件的；</w:t>
      </w:r>
    </w:p>
    <w:p>
      <w:pPr>
        <w:pStyle w:val="20"/>
        <w:shd w:val="clear" w:color="auto" w:fill="FFFFFF"/>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　　（二）供应商在响应文件中提供虚假材料的；</w:t>
      </w:r>
    </w:p>
    <w:p>
      <w:pPr>
        <w:pStyle w:val="20"/>
        <w:shd w:val="clear" w:color="auto" w:fill="FFFFFF"/>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　　（三）除因不可抗力或采购文件认可的情形以外，成交供应商不与采购人签订合同的；</w:t>
      </w:r>
    </w:p>
    <w:p>
      <w:pPr>
        <w:pStyle w:val="20"/>
        <w:shd w:val="clear" w:color="auto" w:fill="FFFFFF"/>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　　（四）供应商与采购人、其他供应商或者采购人恶意串通的；</w:t>
      </w:r>
    </w:p>
    <w:p>
      <w:pPr>
        <w:pStyle w:val="20"/>
        <w:shd w:val="clear" w:color="auto" w:fill="FFFFFF"/>
        <w:spacing w:before="0" w:beforeAutospacing="0" w:after="0" w:afterAutospacing="0" w:line="500" w:lineRule="exact"/>
        <w:rPr>
          <w:rFonts w:ascii="仿宋" w:hAnsi="仿宋" w:eastAsia="仿宋" w:cs="仿宋"/>
          <w:sz w:val="28"/>
          <w:szCs w:val="28"/>
        </w:rPr>
      </w:pPr>
      <w:r>
        <w:rPr>
          <w:rFonts w:hint="eastAsia" w:ascii="仿宋" w:hAnsi="仿宋" w:eastAsia="仿宋" w:cs="仿宋"/>
          <w:sz w:val="28"/>
          <w:szCs w:val="28"/>
        </w:rPr>
        <w:t>　　（五）谈判文件规定的其他情形。</w:t>
      </w:r>
    </w:p>
    <w:p>
      <w:pPr>
        <w:pStyle w:val="20"/>
        <w:shd w:val="clear" w:color="auto" w:fill="FFFFFF"/>
        <w:spacing w:before="0" w:beforeAutospacing="0" w:after="0" w:afterAutospacing="0" w:line="500" w:lineRule="exact"/>
        <w:ind w:firstLine="560" w:firstLineChars="200"/>
        <w:rPr>
          <w:rFonts w:ascii="仿宋" w:hAnsi="仿宋" w:eastAsia="仿宋" w:cs="仿宋"/>
          <w:sz w:val="28"/>
          <w:szCs w:val="28"/>
        </w:rPr>
      </w:pPr>
      <w:r>
        <w:rPr>
          <w:rFonts w:hint="eastAsia" w:ascii="仿宋" w:hAnsi="仿宋" w:eastAsia="仿宋" w:cs="仿宋"/>
          <w:sz w:val="28"/>
          <w:szCs w:val="28"/>
        </w:rPr>
        <w:t>供应商在谈判规定开始时间无故迟到的，采购人有权收取其保证金的10%作为违约金。</w:t>
      </w:r>
    </w:p>
    <w:p>
      <w:pPr>
        <w:widowControl/>
        <w:shd w:val="clear" w:color="auto" w:fill="FFFFFF"/>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已提交响应文件的供应商，在提交最后报价之前，可以根据谈判情况退出谈判（参与谈判的供应商少于3家的，不得退出谈判）。采购人应当退还退出谈判的供应商的保证金。</w:t>
      </w:r>
    </w:p>
    <w:p>
      <w:pPr>
        <w:snapToGrid w:val="0"/>
        <w:spacing w:line="500" w:lineRule="exact"/>
        <w:contextualSpacing/>
        <w:rPr>
          <w:rFonts w:ascii="仿宋" w:hAnsi="仿宋" w:eastAsia="仿宋" w:cs="仿宋"/>
          <w:b/>
          <w:sz w:val="28"/>
          <w:szCs w:val="28"/>
        </w:rPr>
      </w:pPr>
      <w:r>
        <w:rPr>
          <w:rFonts w:hint="eastAsia" w:ascii="仿宋" w:hAnsi="仿宋" w:eastAsia="仿宋" w:cs="仿宋"/>
          <w:b/>
          <w:sz w:val="28"/>
          <w:szCs w:val="28"/>
        </w:rPr>
        <w:t>七、最后报价</w:t>
      </w:r>
    </w:p>
    <w:p>
      <w:pPr>
        <w:pStyle w:val="30"/>
        <w:snapToGrid w:val="0"/>
        <w:spacing w:line="500" w:lineRule="exact"/>
        <w:ind w:firstLine="577"/>
        <w:contextualSpacing/>
        <w:rPr>
          <w:rFonts w:ascii="仿宋" w:hAnsi="仿宋" w:eastAsia="仿宋" w:cs="仿宋"/>
          <w:szCs w:val="28"/>
        </w:rPr>
      </w:pPr>
      <w:r>
        <w:rPr>
          <w:rFonts w:hint="eastAsia" w:ascii="仿宋" w:hAnsi="仿宋" w:eastAsia="仿宋" w:cs="仿宋"/>
          <w:szCs w:val="28"/>
        </w:rPr>
        <w:t>1.谈判结束后，供应商就所有内容进行最后报价，少报无效。</w:t>
      </w:r>
    </w:p>
    <w:p>
      <w:pPr>
        <w:pStyle w:val="30"/>
        <w:snapToGrid w:val="0"/>
        <w:spacing w:line="500" w:lineRule="exact"/>
        <w:ind w:firstLine="577"/>
        <w:contextualSpacing/>
        <w:rPr>
          <w:rFonts w:ascii="仿宋" w:hAnsi="仿宋" w:eastAsia="仿宋" w:cs="仿宋"/>
          <w:szCs w:val="28"/>
        </w:rPr>
      </w:pPr>
      <w:r>
        <w:rPr>
          <w:rFonts w:hint="eastAsia" w:ascii="仿宋" w:hAnsi="仿宋" w:eastAsia="仿宋" w:cs="仿宋"/>
          <w:szCs w:val="28"/>
        </w:rPr>
        <w:t xml:space="preserve">2.最后报价应包括本项目的全部费用 (含一切必须的辅助材料费用)及相关服务费等。 </w:t>
      </w:r>
    </w:p>
    <w:p>
      <w:pPr>
        <w:pStyle w:val="30"/>
        <w:snapToGrid w:val="0"/>
        <w:spacing w:line="500" w:lineRule="exact"/>
        <w:ind w:firstLine="577"/>
        <w:contextualSpacing/>
        <w:rPr>
          <w:rFonts w:ascii="仿宋" w:hAnsi="仿宋" w:eastAsia="仿宋" w:cs="仿宋"/>
          <w:szCs w:val="28"/>
        </w:rPr>
      </w:pPr>
      <w:r>
        <w:rPr>
          <w:rFonts w:hint="eastAsia" w:ascii="仿宋" w:hAnsi="仿宋" w:eastAsia="仿宋" w:cs="仿宋"/>
          <w:szCs w:val="28"/>
        </w:rPr>
        <w:t>3.最后报价将作为谈判小组评定成交候选供应商的组成依据。</w:t>
      </w:r>
    </w:p>
    <w:p>
      <w:pPr>
        <w:snapToGrid w:val="0"/>
        <w:spacing w:line="500" w:lineRule="exact"/>
        <w:rPr>
          <w:rFonts w:ascii="仿宋" w:hAnsi="仿宋" w:eastAsia="仿宋" w:cs="仿宋"/>
          <w:sz w:val="28"/>
          <w:szCs w:val="28"/>
        </w:rPr>
      </w:pPr>
      <w:r>
        <w:rPr>
          <w:rFonts w:hint="eastAsia" w:ascii="仿宋" w:hAnsi="仿宋" w:eastAsia="仿宋" w:cs="仿宋"/>
          <w:b/>
          <w:bCs/>
          <w:sz w:val="28"/>
          <w:szCs w:val="28"/>
        </w:rPr>
        <w:t>八、</w:t>
      </w:r>
      <w:r>
        <w:rPr>
          <w:rFonts w:hint="eastAsia" w:ascii="仿宋" w:hAnsi="仿宋" w:eastAsia="仿宋" w:cs="仿宋"/>
          <w:b/>
          <w:sz w:val="28"/>
          <w:szCs w:val="28"/>
        </w:rPr>
        <w:t>相关</w:t>
      </w:r>
      <w:r>
        <w:rPr>
          <w:rFonts w:hint="eastAsia" w:ascii="仿宋" w:hAnsi="仿宋" w:eastAsia="仿宋" w:cs="仿宋"/>
          <w:b/>
          <w:bCs/>
          <w:sz w:val="28"/>
          <w:szCs w:val="28"/>
        </w:rPr>
        <w:t>费用</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1.供应商承担参与谈判采购可能发生的全部费用，采购人在任何情况下均无义务和责任承担这些费用。</w:t>
      </w:r>
    </w:p>
    <w:p>
      <w:pPr>
        <w:snapToGrid w:val="0"/>
        <w:spacing w:line="500" w:lineRule="exact"/>
        <w:ind w:firstLine="560" w:firstLineChars="200"/>
        <w:contextualSpacing/>
        <w:rPr>
          <w:rFonts w:ascii="仿宋" w:hAnsi="仿宋" w:eastAsia="仿宋" w:cs="仿宋"/>
          <w:b/>
          <w:bCs/>
          <w:color w:val="000000"/>
          <w:sz w:val="28"/>
          <w:szCs w:val="28"/>
        </w:rPr>
      </w:pPr>
      <w:r>
        <w:rPr>
          <w:rFonts w:hint="eastAsia" w:ascii="仿宋" w:hAnsi="仿宋" w:eastAsia="仿宋" w:cs="仿宋"/>
          <w:sz w:val="28"/>
          <w:szCs w:val="28"/>
        </w:rPr>
        <w:t>2.采购人不收取任何本项目谈判公告以外的费用。</w:t>
      </w:r>
      <w:bookmarkStart w:id="3" w:name="_Toc511997110"/>
    </w:p>
    <w:p>
      <w:pPr>
        <w:widowControl/>
        <w:jc w:val="left"/>
        <w:rPr>
          <w:rFonts w:ascii="仿宋" w:hAnsi="仿宋" w:eastAsia="仿宋" w:cs="仿宋"/>
          <w:b/>
          <w:bCs/>
          <w:color w:val="000000"/>
          <w:sz w:val="28"/>
          <w:szCs w:val="28"/>
        </w:rPr>
      </w:pPr>
    </w:p>
    <w:p>
      <w:pPr>
        <w:widowControl/>
        <w:ind w:firstLine="2108" w:firstLineChars="750"/>
        <w:jc w:val="left"/>
        <w:rPr>
          <w:rFonts w:ascii="仿宋" w:hAnsi="仿宋" w:eastAsia="仿宋" w:cs="仿宋"/>
          <w:b/>
          <w:bCs/>
          <w:color w:val="000000"/>
          <w:sz w:val="28"/>
          <w:szCs w:val="28"/>
        </w:rPr>
      </w:pPr>
      <w:r>
        <w:rPr>
          <w:rFonts w:hint="eastAsia" w:ascii="仿宋" w:hAnsi="仿宋" w:eastAsia="仿宋" w:cs="仿宋"/>
          <w:b/>
          <w:sz w:val="28"/>
          <w:szCs w:val="28"/>
        </w:rPr>
        <w:t>第三部分  采购需求说明</w:t>
      </w:r>
      <w:bookmarkEnd w:id="3"/>
    </w:p>
    <w:p>
      <w:pPr>
        <w:pStyle w:val="30"/>
        <w:snapToGrid w:val="0"/>
        <w:spacing w:line="500" w:lineRule="exact"/>
        <w:ind w:firstLine="562" w:firstLineChars="200"/>
        <w:contextualSpacing/>
        <w:rPr>
          <w:rFonts w:ascii="仿宋" w:hAnsi="仿宋" w:eastAsia="仿宋" w:cs="仿宋"/>
          <w:szCs w:val="28"/>
        </w:rPr>
      </w:pPr>
      <w:r>
        <w:rPr>
          <w:rFonts w:hint="eastAsia" w:ascii="仿宋" w:hAnsi="仿宋" w:eastAsia="仿宋" w:cs="仿宋"/>
          <w:b/>
          <w:szCs w:val="28"/>
          <w:lang w:val="zh-CN"/>
        </w:rPr>
        <w:t>请投标响应人在报名前和制作响应文件时仔细研究项目需求说明。</w:t>
      </w:r>
      <w:r>
        <w:rPr>
          <w:rFonts w:hint="eastAsia" w:ascii="仿宋" w:hAnsi="仿宋" w:eastAsia="仿宋" w:cs="仿宋"/>
          <w:szCs w:val="28"/>
          <w:lang w:val="zh-CN"/>
        </w:rPr>
        <w:t>响应人不能简单照搬照抄采购人项目需求说明中的技术、商务要求，必须作实事求是的响应。如照搬照抄项目需求说明中的技术、商务要求的，成交后供应商在同采购人签订合同和履约环节中不得提出异议，一切后果和损失由响应人承担。如供应商提供的货物和服务与采购人提出的项目需求说明中的技术、商务要求不同的，必须在《商</w:t>
      </w:r>
      <w:r>
        <w:rPr>
          <w:rFonts w:hint="eastAsia" w:ascii="仿宋" w:hAnsi="仿宋" w:eastAsia="仿宋" w:cs="仿宋"/>
          <w:szCs w:val="28"/>
        </w:rPr>
        <w:t>务部分正负偏离表》和《技术部分正负偏离表》上明示，如不明示的视同完全响应</w:t>
      </w:r>
      <w:r>
        <w:rPr>
          <w:rFonts w:hint="eastAsia" w:ascii="仿宋" w:hAnsi="仿宋" w:eastAsia="仿宋" w:cs="仿宋"/>
          <w:szCs w:val="28"/>
          <w:lang w:val="zh-CN"/>
        </w:rPr>
        <w:t>。</w:t>
      </w:r>
    </w:p>
    <w:p>
      <w:pPr>
        <w:snapToGrid w:val="0"/>
        <w:spacing w:line="500" w:lineRule="exact"/>
        <w:contextualSpacing/>
        <w:rPr>
          <w:rFonts w:ascii="仿宋" w:hAnsi="仿宋" w:eastAsia="仿宋" w:cs="仿宋"/>
          <w:b/>
          <w:color w:val="000000"/>
          <w:sz w:val="28"/>
          <w:szCs w:val="28"/>
        </w:rPr>
      </w:pPr>
      <w:r>
        <w:rPr>
          <w:rFonts w:hint="eastAsia" w:ascii="仿宋" w:hAnsi="仿宋" w:eastAsia="仿宋" w:cs="仿宋"/>
          <w:b/>
          <w:color w:val="000000"/>
          <w:sz w:val="28"/>
          <w:szCs w:val="28"/>
        </w:rPr>
        <w:t>一、有关要求说明：</w:t>
      </w:r>
    </w:p>
    <w:p>
      <w:pPr>
        <w:tabs>
          <w:tab w:val="left" w:pos="1710"/>
        </w:tabs>
        <w:snapToGrid w:val="0"/>
        <w:spacing w:line="500" w:lineRule="exact"/>
        <w:ind w:firstLine="551" w:firstLineChars="197"/>
        <w:rPr>
          <w:rFonts w:ascii="仿宋" w:hAnsi="仿宋" w:eastAsia="仿宋" w:cs="仿宋"/>
          <w:kern w:val="0"/>
          <w:sz w:val="28"/>
          <w:szCs w:val="28"/>
          <w:lang w:val="zh-CN"/>
        </w:rPr>
      </w:pPr>
      <w:r>
        <w:rPr>
          <w:rFonts w:hint="eastAsia" w:ascii="仿宋" w:hAnsi="仿宋" w:eastAsia="仿宋" w:cs="仿宋"/>
          <w:kern w:val="0"/>
          <w:sz w:val="28"/>
          <w:szCs w:val="28"/>
          <w:lang w:val="zh-CN"/>
        </w:rPr>
        <w:t>1.关于建议品牌：为鼓励充分竞争，项目中推荐的品牌，只是建议所采购产品（设备、材料）的同类档次、品质。供应商可以投推荐品牌，也可以投推荐品牌以外的品牌，但所投品牌档次、品质须等于或高于谈判采购文件中所推荐的品牌档次、品质，并经采购人认可。</w:t>
      </w:r>
    </w:p>
    <w:p>
      <w:pPr>
        <w:snapToGrid w:val="0"/>
        <w:spacing w:line="50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2.优先采购：政府采购优先采购节能产品和环境标志产品。节能产品是指列入财政部、国家发展和改革委员会制定的《节能产品政府采购清单》。环境标志产品是指财政部、国家环保总局制定的《环境标志产品政府采购清单》。</w:t>
      </w:r>
    </w:p>
    <w:p>
      <w:pPr>
        <w:snapToGrid w:val="0"/>
        <w:spacing w:line="500" w:lineRule="exact"/>
        <w:ind w:firstLine="560" w:firstLineChars="200"/>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3.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pPr>
        <w:snapToGrid w:val="0"/>
        <w:spacing w:line="500" w:lineRule="exact"/>
        <w:ind w:firstLine="560" w:firstLineChars="200"/>
        <w:contextualSpacing/>
        <w:rPr>
          <w:rFonts w:ascii="仿宋" w:hAnsi="仿宋" w:eastAsia="仿宋" w:cs="仿宋"/>
          <w:sz w:val="28"/>
          <w:szCs w:val="28"/>
          <w:lang w:val="zh-CN"/>
        </w:rPr>
      </w:pPr>
      <w:r>
        <w:rPr>
          <w:rFonts w:hint="eastAsia" w:ascii="仿宋" w:hAnsi="仿宋" w:eastAsia="仿宋" w:cs="仿宋"/>
          <w:sz w:val="28"/>
          <w:szCs w:val="28"/>
        </w:rPr>
        <w:t>4.</w:t>
      </w:r>
      <w:r>
        <w:rPr>
          <w:rFonts w:hint="eastAsia" w:ascii="仿宋" w:hAnsi="仿宋" w:eastAsia="仿宋" w:cs="仿宋"/>
          <w:sz w:val="28"/>
          <w:szCs w:val="28"/>
          <w:lang w:val="zh-CN"/>
        </w:rPr>
        <w:t>主要技术参数说明：为鼓励不同品牌的充分竞争，如某主要技术参数属于个别品牌专有，则该主要技术参数不具有限制性，供应商可对该参数进行适当调整，并说明调整的理由。</w:t>
      </w:r>
    </w:p>
    <w:p>
      <w:pPr>
        <w:widowControl/>
        <w:adjustRightInd w:val="0"/>
        <w:spacing w:line="500" w:lineRule="exact"/>
        <w:jc w:val="left"/>
        <w:rPr>
          <w:rFonts w:ascii="仿宋" w:hAnsi="仿宋" w:eastAsia="仿宋" w:cs="仿宋"/>
          <w:b/>
          <w:bCs/>
          <w:color w:val="000000" w:themeColor="text1"/>
          <w:kern w:val="0"/>
          <w:sz w:val="28"/>
          <w:szCs w:val="28"/>
        </w:rPr>
      </w:pPr>
      <w:r>
        <w:rPr>
          <w:rFonts w:hint="eastAsia" w:ascii="仿宋" w:hAnsi="仿宋" w:eastAsia="仿宋" w:cs="仿宋"/>
          <w:b/>
          <w:bCs/>
          <w:color w:val="000000" w:themeColor="text1"/>
          <w:kern w:val="0"/>
          <w:sz w:val="28"/>
          <w:szCs w:val="28"/>
        </w:rPr>
        <w:t>二、投标报价要求：</w:t>
      </w:r>
    </w:p>
    <w:p>
      <w:pPr>
        <w:widowControl/>
        <w:adjustRightIn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响应人必须详细报出响应报价总表的各个组成部分的报价，含设备及安装调试费及增值税（税金的费率13%）。且上表各分项报价合计应当与响应报价总表报价合计相等。</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填写项目响应报价表并附报价明细表，密封加盖单位公章。 </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谈判小组认为投标人的报价明显低于其他通过符合性审查投标人的报价，有可能影响产品质量或者不能诚信履约的，应当要求其在谈判现场合理的时间内提供书面说明，必要时提交相关证明材料；投标人不能证明其报价合理性的，谈判小组应当将其作为无效投标处理。</w:t>
      </w:r>
    </w:p>
    <w:p>
      <w:pPr>
        <w:widowControl/>
        <w:adjustRightInd w:val="0"/>
        <w:spacing w:line="500" w:lineRule="exact"/>
        <w:ind w:firstLine="551" w:firstLineChars="196"/>
        <w:jc w:val="left"/>
        <w:rPr>
          <w:rFonts w:ascii="仿宋" w:hAnsi="仿宋" w:eastAsia="仿宋" w:cs="仿宋"/>
          <w:b/>
          <w:sz w:val="28"/>
          <w:szCs w:val="28"/>
        </w:rPr>
      </w:pPr>
      <w:r>
        <w:rPr>
          <w:rFonts w:hint="eastAsia" w:ascii="仿宋" w:hAnsi="仿宋" w:eastAsia="仿宋" w:cs="仿宋"/>
          <w:b/>
          <w:sz w:val="28"/>
          <w:szCs w:val="28"/>
        </w:rPr>
        <w:t>三、竞争性谈判开标评审简明程序（详见本文件</w:t>
      </w:r>
      <w:r>
        <w:rPr>
          <w:rFonts w:hint="eastAsia" w:ascii="仿宋" w:hAnsi="仿宋" w:eastAsia="仿宋" w:cs="仿宋"/>
          <w:b/>
          <w:bCs/>
          <w:sz w:val="28"/>
          <w:szCs w:val="28"/>
          <w:lang w:val="zh-CN"/>
        </w:rPr>
        <w:t>第四部分评审程序和内容</w:t>
      </w:r>
      <w:r>
        <w:rPr>
          <w:rFonts w:hint="eastAsia" w:ascii="仿宋" w:hAnsi="仿宋" w:eastAsia="仿宋" w:cs="仿宋"/>
          <w:b/>
          <w:sz w:val="28"/>
          <w:szCs w:val="28"/>
        </w:rPr>
        <w:t>）</w:t>
      </w:r>
    </w:p>
    <w:p>
      <w:pPr>
        <w:widowControl/>
        <w:adjustRightInd w:val="0"/>
        <w:spacing w:line="500" w:lineRule="exact"/>
        <w:ind w:firstLine="560" w:firstLineChars="200"/>
        <w:jc w:val="left"/>
        <w:rPr>
          <w:rFonts w:ascii="仿宋" w:hAnsi="仿宋" w:eastAsia="仿宋" w:cs="仿宋"/>
          <w:b/>
          <w:sz w:val="28"/>
          <w:szCs w:val="28"/>
        </w:rPr>
      </w:pPr>
      <w:r>
        <w:rPr>
          <w:rFonts w:hint="eastAsia" w:ascii="仿宋" w:hAnsi="仿宋" w:eastAsia="仿宋" w:cs="仿宋"/>
          <w:kern w:val="0"/>
          <w:sz w:val="28"/>
          <w:szCs w:val="28"/>
        </w:rPr>
        <w:t>1.采用最低评标价法。</w:t>
      </w:r>
    </w:p>
    <w:p>
      <w:pPr>
        <w:snapToGrid w:val="0"/>
        <w:spacing w:line="44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2.采购人依法对响应供应商的资格</w:t>
      </w:r>
      <w:r>
        <w:rPr>
          <w:rFonts w:hint="eastAsia" w:ascii="仿宋" w:hAnsi="仿宋" w:eastAsia="仿宋" w:cs="仿宋"/>
          <w:color w:val="000000"/>
          <w:sz w:val="28"/>
          <w:szCs w:val="28"/>
          <w:shd w:val="clear" w:color="auto" w:fill="FFFFFF"/>
        </w:rPr>
        <w:t>进行审查</w:t>
      </w:r>
      <w:r>
        <w:rPr>
          <w:rFonts w:hint="eastAsia" w:ascii="仿宋" w:hAnsi="仿宋" w:eastAsia="仿宋" w:cs="仿宋"/>
          <w:sz w:val="28"/>
          <w:szCs w:val="28"/>
        </w:rPr>
        <w:t>（供应商须单独提供本项目所需材料的原件包及复印件，原件包单独密封并注明供应商名称，不带原件包的将作无效响应文件处理），并</w:t>
      </w:r>
      <w:r>
        <w:rPr>
          <w:rFonts w:hint="eastAsia" w:ascii="仿宋" w:hAnsi="仿宋" w:eastAsia="仿宋" w:cs="仿宋"/>
          <w:color w:val="000000"/>
          <w:sz w:val="28"/>
          <w:szCs w:val="28"/>
          <w:shd w:val="clear" w:color="auto" w:fill="FFFFFF"/>
        </w:rPr>
        <w:t>负责组织评定工作；成立谈判小组。谈判小组由采购人的代表和有关专家共三人以上的单数组成，其中专家的人数不得少于成员总数的三分之二。谈判小组从符合相应资格条件的供应商名单中确定不少于三家的供应商参加谈判。谈判小组所有成员集中与单一</w:t>
      </w:r>
      <w:r>
        <w:rPr>
          <w:rFonts w:hint="eastAsia" w:ascii="仿宋" w:hAnsi="仿宋" w:eastAsia="仿宋" w:cs="仿宋"/>
          <w:sz w:val="28"/>
          <w:szCs w:val="28"/>
        </w:rPr>
        <w:t>供应商分别进行谈判。谈判结束后，谈判小组要求所有参加谈判的供应商在规定时间内提交最后报价，采购人从谈判小组提交的成交候选人中根据符合采购需求、质量和服务相等且报价最低的原则确定成交供应商。</w:t>
      </w:r>
    </w:p>
    <w:p>
      <w:pPr>
        <w:autoSpaceDE w:val="0"/>
        <w:autoSpaceDN w:val="0"/>
        <w:adjustRightInd w:val="0"/>
        <w:snapToGrid w:val="0"/>
        <w:spacing w:line="500" w:lineRule="exact"/>
        <w:jc w:val="center"/>
        <w:rPr>
          <w:rFonts w:ascii="仿宋" w:hAnsi="仿宋" w:eastAsia="仿宋" w:cs="仿宋"/>
          <w:b/>
          <w:bCs/>
          <w:sz w:val="28"/>
          <w:szCs w:val="28"/>
          <w:lang w:val="zh-CN"/>
        </w:rPr>
      </w:pPr>
    </w:p>
    <w:p>
      <w:pPr>
        <w:rPr>
          <w:rFonts w:ascii="仿宋" w:hAnsi="仿宋" w:eastAsia="仿宋" w:cs="仿宋"/>
          <w:sz w:val="28"/>
          <w:szCs w:val="28"/>
          <w:lang w:val="zh-CN"/>
        </w:rPr>
      </w:pPr>
      <w:bookmarkStart w:id="4" w:name="_Toc511997111"/>
    </w:p>
    <w:p>
      <w:pPr>
        <w:rPr>
          <w:rFonts w:ascii="仿宋" w:hAnsi="仿宋" w:eastAsia="仿宋" w:cs="仿宋"/>
          <w:sz w:val="28"/>
          <w:szCs w:val="28"/>
          <w:lang w:val="zh-CN"/>
        </w:rPr>
      </w:pPr>
    </w:p>
    <w:p>
      <w:pPr>
        <w:rPr>
          <w:rFonts w:ascii="仿宋" w:hAnsi="仿宋" w:eastAsia="仿宋" w:cs="仿宋"/>
          <w:sz w:val="28"/>
          <w:szCs w:val="28"/>
          <w:lang w:val="zh-CN"/>
        </w:rPr>
      </w:pPr>
    </w:p>
    <w:p>
      <w:pPr>
        <w:pStyle w:val="4"/>
        <w:jc w:val="center"/>
        <w:rPr>
          <w:rFonts w:ascii="仿宋" w:hAnsi="仿宋" w:eastAsia="仿宋" w:cs="仿宋"/>
          <w:sz w:val="28"/>
          <w:szCs w:val="28"/>
          <w:lang w:val="zh-CN"/>
        </w:rPr>
      </w:pPr>
      <w:r>
        <w:rPr>
          <w:rFonts w:hint="eastAsia" w:ascii="仿宋" w:hAnsi="仿宋" w:eastAsia="仿宋" w:cs="仿宋"/>
          <w:sz w:val="28"/>
          <w:szCs w:val="28"/>
          <w:lang w:val="zh-CN"/>
        </w:rPr>
        <w:t>第四部分  谈判注意事项和审查内容</w:t>
      </w:r>
      <w:bookmarkEnd w:id="4"/>
    </w:p>
    <w:p>
      <w:pPr>
        <w:autoSpaceDE w:val="0"/>
        <w:autoSpaceDN w:val="0"/>
        <w:adjustRightInd w:val="0"/>
        <w:snapToGrid w:val="0"/>
        <w:spacing w:line="500" w:lineRule="exact"/>
        <w:ind w:right="210"/>
        <w:rPr>
          <w:rFonts w:ascii="仿宋" w:hAnsi="仿宋" w:eastAsia="仿宋" w:cs="仿宋"/>
          <w:b/>
          <w:sz w:val="28"/>
          <w:szCs w:val="28"/>
          <w:lang w:val="zh-CN"/>
        </w:rPr>
      </w:pPr>
      <w:r>
        <w:rPr>
          <w:rFonts w:hint="eastAsia" w:ascii="仿宋" w:hAnsi="仿宋" w:eastAsia="仿宋" w:cs="仿宋"/>
          <w:b/>
          <w:sz w:val="28"/>
          <w:szCs w:val="28"/>
          <w:lang w:val="zh-CN"/>
        </w:rPr>
        <w:t>一、采购人</w:t>
      </w:r>
      <w:r>
        <w:rPr>
          <w:rFonts w:hint="eastAsia" w:ascii="仿宋" w:hAnsi="仿宋" w:eastAsia="仿宋" w:cs="仿宋"/>
          <w:b/>
          <w:color w:val="000000"/>
          <w:sz w:val="28"/>
          <w:szCs w:val="28"/>
          <w:shd w:val="clear" w:color="auto" w:fill="FFFFFF"/>
        </w:rPr>
        <w:t>自行组织开展谈判</w:t>
      </w:r>
      <w:r>
        <w:rPr>
          <w:rFonts w:hint="eastAsia" w:ascii="仿宋" w:hAnsi="仿宋" w:eastAsia="仿宋" w:cs="仿宋"/>
          <w:b/>
          <w:sz w:val="28"/>
          <w:szCs w:val="28"/>
          <w:lang w:val="zh-CN"/>
        </w:rPr>
        <w:t>活动</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1.成立竞争性谈判小组。</w:t>
      </w:r>
    </w:p>
    <w:p>
      <w:pPr>
        <w:snapToGrid w:val="0"/>
        <w:spacing w:line="440" w:lineRule="exact"/>
        <w:ind w:firstLine="560" w:firstLineChars="200"/>
        <w:contextualSpacing/>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采购人自行组织开展竞争性谈判采购项目活动。谈判小组由采购人的代表和有关专家共三人以上的单数组成，其中专家的人数不得少于成员总数的三分之二。谈判小组成员中的有关专家通过市公共资源交易中心专家库随机方式抽取产生。</w:t>
      </w:r>
    </w:p>
    <w:p>
      <w:pPr>
        <w:spacing w:line="50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2.竞争性谈判小组的职责：</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遵守谈判工作纪律，不得泄露谈判情况和获悉的商业秘密。</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谈判小组在谈判过程中发现供应商有行贿、提供虚假材料或者串通等违法行为的，应当及时向财政部门报告。</w:t>
      </w:r>
    </w:p>
    <w:p>
      <w:pPr>
        <w:pStyle w:val="30"/>
        <w:snapToGrid w:val="0"/>
        <w:spacing w:line="500" w:lineRule="exact"/>
        <w:ind w:firstLine="560" w:firstLineChars="200"/>
        <w:contextualSpacing/>
        <w:rPr>
          <w:rFonts w:ascii="仿宋" w:hAnsi="仿宋" w:eastAsia="仿宋" w:cs="仿宋"/>
          <w:kern w:val="0"/>
          <w:szCs w:val="28"/>
        </w:rPr>
      </w:pPr>
      <w:r>
        <w:rPr>
          <w:rFonts w:hint="eastAsia" w:ascii="仿宋" w:hAnsi="仿宋" w:eastAsia="仿宋" w:cs="仿宋"/>
          <w:kern w:val="0"/>
          <w:szCs w:val="28"/>
          <w:lang w:val="zh-CN"/>
        </w:rPr>
        <w:t>谈判小组成员在评审过程中受到非法干涉的，应当及时向财政、监察等部门举报。</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谈判小组成员应当按照客观、公正、审慎的原则，根据谈判文件规定的谈判程序、谈判方法和评定标准进行独立评定。未实质性响应谈判文件的响应文件按无效响应处理，谈判小组应当告知提交响应文件的供应商。</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谈判文件内容违反国家有关强制性规定的，谈判小组应当停止评定并向采购人或者采购代理机构说明情况。</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3.竞争性谈判小组成员的义务：</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遵纪守法，客观、公正、廉洁地履行职责；根据采购文件的规定独立进行评审，对个人的评定意见承担法律责任；参与评定报告的起草；配合采购人、采购中心答复供应商提出的质疑；配合财政部门的投诉处理和监督检查工作。</w:t>
      </w:r>
    </w:p>
    <w:p>
      <w:pPr>
        <w:pStyle w:val="30"/>
        <w:snapToGrid w:val="0"/>
        <w:spacing w:line="500" w:lineRule="exact"/>
        <w:ind w:firstLine="0" w:firstLineChars="0"/>
        <w:contextualSpacing/>
        <w:rPr>
          <w:rFonts w:ascii="仿宋" w:hAnsi="仿宋" w:eastAsia="仿宋" w:cs="仿宋"/>
          <w:b/>
          <w:szCs w:val="28"/>
        </w:rPr>
      </w:pPr>
      <w:r>
        <w:rPr>
          <w:rFonts w:hint="eastAsia" w:ascii="仿宋" w:hAnsi="仿宋" w:eastAsia="仿宋" w:cs="仿宋"/>
          <w:b/>
          <w:kern w:val="0"/>
          <w:szCs w:val="28"/>
          <w:lang w:val="zh-CN"/>
        </w:rPr>
        <w:t>二、</w:t>
      </w:r>
      <w:r>
        <w:rPr>
          <w:rFonts w:hint="eastAsia" w:ascii="仿宋" w:hAnsi="仿宋" w:eastAsia="仿宋" w:cs="仿宋"/>
          <w:b/>
          <w:szCs w:val="28"/>
        </w:rPr>
        <w:t>供应商的法定代表人或授权人须持身份证准时参加谈判。</w:t>
      </w:r>
    </w:p>
    <w:p>
      <w:pPr>
        <w:autoSpaceDE w:val="0"/>
        <w:autoSpaceDN w:val="0"/>
        <w:adjustRightInd w:val="0"/>
        <w:snapToGrid w:val="0"/>
        <w:spacing w:line="500" w:lineRule="exact"/>
        <w:ind w:right="210"/>
        <w:rPr>
          <w:rFonts w:ascii="仿宋" w:hAnsi="仿宋" w:eastAsia="仿宋" w:cs="仿宋"/>
          <w:b/>
          <w:sz w:val="28"/>
          <w:szCs w:val="28"/>
        </w:rPr>
      </w:pPr>
      <w:r>
        <w:rPr>
          <w:rFonts w:hint="eastAsia" w:ascii="仿宋" w:hAnsi="仿宋" w:eastAsia="仿宋" w:cs="仿宋"/>
          <w:b/>
          <w:sz w:val="28"/>
          <w:szCs w:val="28"/>
        </w:rPr>
        <w:t>三、谈判程序</w:t>
      </w:r>
    </w:p>
    <w:p>
      <w:pPr>
        <w:snapToGrid w:val="0"/>
        <w:spacing w:line="500" w:lineRule="exact"/>
        <w:ind w:firstLine="556"/>
        <w:rPr>
          <w:rFonts w:ascii="仿宋" w:hAnsi="仿宋" w:eastAsia="仿宋" w:cs="仿宋"/>
          <w:kern w:val="0"/>
          <w:sz w:val="28"/>
          <w:szCs w:val="28"/>
          <w:lang w:val="zh-CN"/>
        </w:rPr>
      </w:pPr>
      <w:r>
        <w:rPr>
          <w:rFonts w:hint="eastAsia" w:ascii="仿宋" w:hAnsi="仿宋" w:eastAsia="仿宋" w:cs="仿宋"/>
          <w:kern w:val="0"/>
          <w:sz w:val="28"/>
          <w:szCs w:val="28"/>
          <w:lang w:val="zh-CN"/>
        </w:rPr>
        <w:t>1.谈判小组</w:t>
      </w:r>
      <w:r>
        <w:rPr>
          <w:rFonts w:hint="eastAsia" w:ascii="仿宋" w:hAnsi="仿宋" w:eastAsia="仿宋" w:cs="仿宋"/>
          <w:sz w:val="28"/>
          <w:szCs w:val="28"/>
        </w:rPr>
        <w:t>首先对响应人资格是否合格进行评审，对合格响应人的</w:t>
      </w:r>
      <w:r>
        <w:rPr>
          <w:rFonts w:hint="eastAsia" w:ascii="仿宋" w:hAnsi="仿宋" w:eastAsia="仿宋" w:cs="仿宋"/>
          <w:kern w:val="0"/>
          <w:sz w:val="28"/>
          <w:szCs w:val="28"/>
          <w:lang w:val="zh-CN"/>
        </w:rPr>
        <w:t>响应文件进行评审，并根据谈判文件规定的程序、评定成交的标准等事项与实质性响应文件要求的供应商进行谈判。未实质性响应谈判文件的响应文件按无效处理，谈判小组应当告知有关供应商。 </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谈判小组要求供应商澄清、说明或者更正响应文件应当在谈判现场做出，并给予谈判记录。供应商的澄清、说明或者更正应当由法定代表人或其授权代表签字或者加盖公章。由授权代表签字的，应当附法定代表人授权书。供应商为自然人的，应当由本人签字并附身份证明。</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2.谈判小组所有成员应当集中与单一供应商分别进行谈判，并给予所有参加谈判的供应商平等的机会。</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3.在谈判过程中，谈判小组成员可以根据谈判文件和谈判情况实质性变动采购需求中的技术、服务要求以及合同草案条款，但不得变动谈判文件中的其他内容。实质性变动的内容，须经采购人代表确认。</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对谈判文件做出的实质性变动是谈判文件的有效组成部分，谈判小组应当及时以书面形式同时通知所有参加谈判的供应商。</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4.谈判文件能够详细列明采购标的的技术、服务要求的，谈判结束后，谈判小组应当要求所有实质性响应的供应商在规定时间内提交最后报价，提交最后报价的供应商不得少于3家。</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谈判文件不能详细列明采购标的技术、服务要求，需经谈判由供应商提供最终设计方案或解决方案的，谈判结束后，谈判小组应当按照少数服从多数的原则投票推荐不少于3家以上供应商的设计方案或者解决方案，并要求其在规定时间内提交最后报价。</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5.最后报价是供应商响应文件的有效组成部分。</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6.已提交响应文件的供应商，在提交最后报价之前，可以根据谈判情况退出谈判（提交最后报价的供应商少于3家的不得退出谈判）。采购人应当退还退出谈判的供应商的保证金。</w:t>
      </w:r>
    </w:p>
    <w:p>
      <w:pPr>
        <w:pStyle w:val="30"/>
        <w:snapToGrid w:val="0"/>
        <w:spacing w:line="500" w:lineRule="exact"/>
        <w:ind w:firstLine="560" w:firstLineChars="200"/>
        <w:contextualSpacing/>
        <w:rPr>
          <w:rFonts w:ascii="仿宋" w:hAnsi="仿宋" w:eastAsia="仿宋" w:cs="仿宋"/>
          <w:kern w:val="0"/>
          <w:szCs w:val="28"/>
          <w:lang w:val="zh-CN"/>
        </w:rPr>
      </w:pPr>
      <w:r>
        <w:rPr>
          <w:rFonts w:hint="eastAsia" w:ascii="仿宋" w:hAnsi="仿宋" w:eastAsia="仿宋" w:cs="仿宋"/>
          <w:kern w:val="0"/>
          <w:szCs w:val="28"/>
          <w:lang w:val="zh-CN"/>
        </w:rPr>
        <w:t>谈判时间由谈判小组掌握。</w:t>
      </w:r>
    </w:p>
    <w:p>
      <w:pPr>
        <w:widowControl/>
        <w:adjustRightInd w:val="0"/>
        <w:spacing w:line="500" w:lineRule="exact"/>
        <w:jc w:val="left"/>
        <w:rPr>
          <w:rFonts w:ascii="仿宋" w:hAnsi="仿宋" w:eastAsia="仿宋" w:cs="仿宋"/>
          <w:b/>
          <w:kern w:val="0"/>
          <w:sz w:val="28"/>
          <w:szCs w:val="28"/>
        </w:rPr>
      </w:pPr>
      <w:r>
        <w:rPr>
          <w:rFonts w:hint="eastAsia" w:ascii="仿宋" w:hAnsi="仿宋" w:eastAsia="仿宋" w:cs="仿宋"/>
          <w:b/>
          <w:sz w:val="28"/>
          <w:szCs w:val="28"/>
        </w:rPr>
        <w:t>四、谈判文件审查</w:t>
      </w:r>
      <w:r>
        <w:rPr>
          <w:rFonts w:hint="eastAsia" w:ascii="仿宋" w:hAnsi="仿宋" w:eastAsia="仿宋" w:cs="仿宋"/>
          <w:b/>
          <w:kern w:val="0"/>
          <w:sz w:val="28"/>
          <w:szCs w:val="28"/>
        </w:rPr>
        <w:t>内容：</w:t>
      </w:r>
    </w:p>
    <w:p>
      <w:pPr>
        <w:pStyle w:val="30"/>
        <w:snapToGrid w:val="0"/>
        <w:spacing w:line="500" w:lineRule="exact"/>
        <w:ind w:firstLine="579"/>
        <w:contextualSpacing/>
        <w:rPr>
          <w:rFonts w:ascii="仿宋" w:hAnsi="仿宋" w:eastAsia="仿宋" w:cs="仿宋"/>
          <w:b/>
          <w:szCs w:val="28"/>
        </w:rPr>
      </w:pPr>
      <w:r>
        <w:rPr>
          <w:rFonts w:hint="eastAsia" w:ascii="仿宋" w:hAnsi="仿宋" w:eastAsia="仿宋" w:cs="仿宋"/>
          <w:b/>
          <w:szCs w:val="28"/>
        </w:rPr>
        <w:t>（一）审查响应文件的有效性、完整性、响应程度</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1.要求的保证金是否已提供；</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2是否提交U盘响应文件，提交的U盘文件是否与纸质的一致；</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3.供应商资格是否符合；</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4.响应文件是否完整；</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5.响应文件是否恰当地签署；</w:t>
      </w:r>
    </w:p>
    <w:p>
      <w:pPr>
        <w:snapToGrid w:val="0"/>
        <w:spacing w:line="500" w:lineRule="exact"/>
        <w:ind w:firstLine="540"/>
        <w:rPr>
          <w:rFonts w:ascii="仿宋" w:hAnsi="仿宋" w:eastAsia="仿宋" w:cs="仿宋"/>
          <w:sz w:val="28"/>
          <w:szCs w:val="28"/>
        </w:rPr>
      </w:pPr>
      <w:r>
        <w:rPr>
          <w:rFonts w:hint="eastAsia" w:ascii="仿宋" w:hAnsi="仿宋" w:eastAsia="仿宋" w:cs="仿宋"/>
          <w:sz w:val="28"/>
          <w:szCs w:val="28"/>
        </w:rPr>
        <w:t>6.是否作出实质性响应（是否有实质性响应，只根据响应文件本身，而不寻求外部证据）；</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7.是否有计算错误。</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（二）误差纠正</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3．正本与副本有矛盾的，以正本为准；</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pPr>
        <w:tabs>
          <w:tab w:val="left" w:pos="6555"/>
          <w:tab w:val="right" w:pos="8306"/>
        </w:tabs>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（三）出现下列情形之一的，作无效响应处理</w:t>
      </w:r>
      <w:r>
        <w:rPr>
          <w:rFonts w:hint="eastAsia" w:ascii="仿宋" w:hAnsi="仿宋" w:eastAsia="仿宋" w:cs="仿宋"/>
          <w:b/>
          <w:sz w:val="28"/>
          <w:szCs w:val="28"/>
        </w:rPr>
        <w:tab/>
      </w:r>
      <w:r>
        <w:rPr>
          <w:rFonts w:hint="eastAsia" w:ascii="仿宋" w:hAnsi="仿宋" w:eastAsia="仿宋" w:cs="仿宋"/>
          <w:b/>
          <w:sz w:val="28"/>
          <w:szCs w:val="28"/>
        </w:rPr>
        <w:tab/>
      </w:r>
      <w:r>
        <w:rPr>
          <w:rFonts w:hint="eastAsia" w:ascii="仿宋" w:hAnsi="仿宋" w:eastAsia="仿宋" w:cs="仿宋"/>
          <w:b/>
          <w:sz w:val="28"/>
          <w:szCs w:val="28"/>
        </w:rPr>
        <w:t>;</w:t>
      </w:r>
    </w:p>
    <w:p>
      <w:pPr>
        <w:tabs>
          <w:tab w:val="left" w:pos="6555"/>
        </w:tabs>
        <w:snapToGrid w:val="0"/>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1．未提供原件包的；</w:t>
      </w:r>
    </w:p>
    <w:p>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2．未按照谈判文件规定要求装订、密封、签署、盖章的；</w:t>
      </w:r>
    </w:p>
    <w:p>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3．未完整提交U盘响应文件电子文档的,或提交的U盘的文件打不开的；</w:t>
      </w:r>
    </w:p>
    <w:p>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4．不具备谈判文件中规定的资格要求的；</w:t>
      </w:r>
    </w:p>
    <w:p>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5．响应报价超出预算的；</w:t>
      </w:r>
    </w:p>
    <w:p>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6．不符合法律、法规和招标文件中规定的其他实质性要求的。</w:t>
      </w:r>
    </w:p>
    <w:p>
      <w:pPr>
        <w:snapToGrid w:val="0"/>
        <w:spacing w:line="500" w:lineRule="exact"/>
        <w:ind w:firstLine="570"/>
        <w:rPr>
          <w:rFonts w:ascii="仿宋" w:hAnsi="仿宋" w:eastAsia="仿宋" w:cs="仿宋"/>
          <w:b/>
          <w:sz w:val="28"/>
          <w:szCs w:val="28"/>
        </w:rPr>
      </w:pPr>
      <w:r>
        <w:rPr>
          <w:rFonts w:hint="eastAsia" w:ascii="仿宋" w:hAnsi="仿宋" w:eastAsia="仿宋" w:cs="仿宋"/>
          <w:b/>
          <w:sz w:val="28"/>
          <w:szCs w:val="28"/>
        </w:rPr>
        <w:t>（四）出现下列情形之一的，谈判终止</w:t>
      </w:r>
    </w:p>
    <w:p>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1．符合条件的供应商或者对谈判文件作实质响应的供应商不足3家的；</w:t>
      </w:r>
    </w:p>
    <w:p>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2．出现影响采购公正的违法违规行为的；</w:t>
      </w:r>
    </w:p>
    <w:p>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3．供应商的最后报价均超过了采购预算，采购人不能支付的；</w:t>
      </w:r>
    </w:p>
    <w:p>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4．因重大变故，采购任务取消的。</w:t>
      </w:r>
    </w:p>
    <w:p>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除资格性检查认定错误、分值汇总计算错误、分项评分超出评分标准范围、客观分评分不一致、经谈判小组一致认定评分畸高、畸低的情形外，采购人不以任何理由组织重新评审。采购人发现谈判小组未按照谈判文件规定的谈判程序、评定标准进行谈判的，重新开展采购活动，并同时书面报告本级财政部门。</w:t>
      </w:r>
    </w:p>
    <w:p>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在确定成交人前，招标人不得与投标人就投标价格、谈判方案等实质性内容进行谈判。</w:t>
      </w:r>
    </w:p>
    <w:p>
      <w:pPr>
        <w:snapToGrid w:val="0"/>
        <w:spacing w:line="500" w:lineRule="exact"/>
        <w:ind w:firstLine="551" w:firstLineChars="196"/>
        <w:rPr>
          <w:rFonts w:ascii="仿宋" w:hAnsi="仿宋" w:eastAsia="仿宋" w:cs="仿宋"/>
          <w:b/>
          <w:sz w:val="28"/>
          <w:szCs w:val="28"/>
        </w:rPr>
      </w:pPr>
      <w:r>
        <w:rPr>
          <w:rFonts w:hint="eastAsia" w:ascii="仿宋" w:hAnsi="仿宋" w:eastAsia="仿宋" w:cs="仿宋"/>
          <w:b/>
          <w:sz w:val="28"/>
          <w:szCs w:val="28"/>
        </w:rPr>
        <w:t>八、成交及候选供应商的确定</w:t>
      </w:r>
    </w:p>
    <w:p>
      <w:pPr>
        <w:widowControl/>
        <w:spacing w:before="100" w:beforeAutospacing="1" w:after="240" w:line="440" w:lineRule="exact"/>
        <w:ind w:firstLine="700" w:firstLineChars="250"/>
        <w:jc w:val="left"/>
        <w:rPr>
          <w:rFonts w:ascii="仿宋" w:hAnsi="仿宋" w:eastAsia="仿宋" w:cs="仿宋"/>
          <w:sz w:val="28"/>
          <w:szCs w:val="28"/>
        </w:rPr>
      </w:pPr>
      <w:r>
        <w:rPr>
          <w:rFonts w:hint="eastAsia" w:ascii="仿宋" w:hAnsi="仿宋" w:eastAsia="仿宋" w:cs="仿宋"/>
          <w:sz w:val="28"/>
          <w:szCs w:val="28"/>
        </w:rPr>
        <w:t>由采购人从谈判小组推荐的成交候选供应商中按照谈判响应投标文件满足招标文件全部实质性要求，且最终投标报价最低的投标人为中标成交人，并出具成交通知书。</w:t>
      </w:r>
    </w:p>
    <w:p>
      <w:pPr>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九、成交通知</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成交结果在《南通市公共资源交易网》《南通网》公告，</w:t>
      </w:r>
      <w:r>
        <w:rPr>
          <w:rFonts w:hint="eastAsia" w:ascii="仿宋" w:hAnsi="仿宋" w:eastAsia="仿宋" w:cs="仿宋"/>
          <w:color w:val="000000"/>
          <w:sz w:val="28"/>
          <w:szCs w:val="28"/>
          <w:shd w:val="clear" w:color="auto" w:fill="FFFFFF"/>
        </w:rPr>
        <w:t>中标成交公告期限为1个工作日。</w:t>
      </w:r>
      <w:r>
        <w:rPr>
          <w:rFonts w:hint="eastAsia" w:ascii="仿宋" w:hAnsi="仿宋" w:eastAsia="仿宋" w:cs="仿宋"/>
          <w:sz w:val="28"/>
          <w:szCs w:val="28"/>
        </w:rPr>
        <w:t>《成交通知书》一经发出，如采购单位改变成交结果，或者成交供应商放弃成交的，各自承担相应的法律责任。《成交通知书》是磋商采购合同的组成部分。</w:t>
      </w:r>
    </w:p>
    <w:p>
      <w:pPr>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十、其他注意事项</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1.在响应、评审、谈判期间，供应商不得向谈判小组成员询问情况，不得进行旨在影响评审、谈判结果的活动。</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2.谈判小组不得向参与竞争性谈判采购活动供应商解释落选原因。</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3.在响应、谈判、评定过程中，如果响应供应商联合故意抬高报价或出现其他不正当行为，采购人有权中止响应或谈判、评定。</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凡在响应、谈判、评定过程中，采购人已提示是否异议的事项，响应人当时没有提出异议的，事后响应人不得针对上述事项提出质疑。比如：采购人在谈判评定中提示谈判小组成员是否回避，响应人现场未提出异议的，事后不得针对成员回避事项提出质疑。</w:t>
      </w:r>
    </w:p>
    <w:p>
      <w:pPr>
        <w:autoSpaceDE w:val="0"/>
        <w:autoSpaceDN w:val="0"/>
        <w:adjustRightInd w:val="0"/>
        <w:snapToGrid w:val="0"/>
        <w:spacing w:line="480" w:lineRule="exact"/>
        <w:jc w:val="center"/>
        <w:rPr>
          <w:rFonts w:ascii="仿宋" w:hAnsi="仿宋" w:eastAsia="仿宋" w:cs="仿宋"/>
          <w:sz w:val="28"/>
          <w:szCs w:val="28"/>
        </w:rPr>
      </w:pPr>
      <w:r>
        <w:rPr>
          <w:rFonts w:hint="eastAsia" w:ascii="仿宋" w:hAnsi="仿宋" w:eastAsia="仿宋" w:cs="仿宋"/>
          <w:sz w:val="28"/>
          <w:szCs w:val="28"/>
        </w:rPr>
        <w:t xml:space="preserve"> </w:t>
      </w:r>
      <w:bookmarkStart w:id="5" w:name="_Toc511997112"/>
    </w:p>
    <w:p>
      <w:pPr>
        <w:autoSpaceDE w:val="0"/>
        <w:autoSpaceDN w:val="0"/>
        <w:adjustRightInd w:val="0"/>
        <w:snapToGrid w:val="0"/>
        <w:spacing w:line="480" w:lineRule="exact"/>
        <w:jc w:val="center"/>
        <w:rPr>
          <w:rFonts w:ascii="仿宋" w:hAnsi="仿宋" w:eastAsia="仿宋" w:cs="仿宋"/>
          <w:sz w:val="28"/>
          <w:szCs w:val="28"/>
        </w:rPr>
      </w:pPr>
    </w:p>
    <w:p>
      <w:pPr>
        <w:autoSpaceDE w:val="0"/>
        <w:autoSpaceDN w:val="0"/>
        <w:adjustRightInd w:val="0"/>
        <w:snapToGrid w:val="0"/>
        <w:spacing w:line="480" w:lineRule="exact"/>
        <w:jc w:val="center"/>
        <w:rPr>
          <w:rFonts w:ascii="仿宋" w:hAnsi="仿宋" w:eastAsia="仿宋" w:cs="仿宋"/>
          <w:sz w:val="28"/>
          <w:szCs w:val="28"/>
        </w:rPr>
      </w:pPr>
    </w:p>
    <w:p>
      <w:pPr>
        <w:autoSpaceDE w:val="0"/>
        <w:autoSpaceDN w:val="0"/>
        <w:adjustRightInd w:val="0"/>
        <w:snapToGrid w:val="0"/>
        <w:spacing w:line="480" w:lineRule="exact"/>
        <w:jc w:val="center"/>
        <w:rPr>
          <w:rFonts w:ascii="仿宋" w:hAnsi="仿宋" w:eastAsia="仿宋" w:cs="仿宋"/>
          <w:sz w:val="28"/>
          <w:szCs w:val="28"/>
        </w:rPr>
      </w:pPr>
    </w:p>
    <w:p>
      <w:pPr>
        <w:autoSpaceDE w:val="0"/>
        <w:autoSpaceDN w:val="0"/>
        <w:adjustRightInd w:val="0"/>
        <w:snapToGrid w:val="0"/>
        <w:spacing w:line="480" w:lineRule="exact"/>
        <w:jc w:val="center"/>
        <w:rPr>
          <w:rFonts w:ascii="仿宋" w:hAnsi="仿宋" w:eastAsia="仿宋" w:cs="仿宋"/>
          <w:sz w:val="28"/>
          <w:szCs w:val="28"/>
        </w:rPr>
      </w:pPr>
    </w:p>
    <w:bookmarkEnd w:id="5"/>
    <w:p>
      <w:pPr>
        <w:pStyle w:val="4"/>
        <w:ind w:left="360" w:firstLine="1124" w:firstLineChars="400"/>
        <w:rPr>
          <w:rFonts w:ascii="仿宋" w:hAnsi="仿宋" w:eastAsia="仿宋" w:cs="仿宋"/>
          <w:sz w:val="28"/>
          <w:szCs w:val="28"/>
        </w:rPr>
      </w:pPr>
      <w:r>
        <w:rPr>
          <w:rFonts w:hint="eastAsia" w:ascii="仿宋" w:hAnsi="仿宋" w:eastAsia="仿宋" w:cs="仿宋"/>
          <w:sz w:val="28"/>
          <w:szCs w:val="28"/>
        </w:rPr>
        <w:t>第五部分  拟签订的合同文本格式及条款</w:t>
      </w:r>
    </w:p>
    <w:p>
      <w:pPr>
        <w:pStyle w:val="62"/>
        <w:spacing w:line="500" w:lineRule="exact"/>
        <w:jc w:val="center"/>
        <w:rPr>
          <w:rFonts w:ascii="仿宋" w:hAnsi="仿宋" w:eastAsia="仿宋" w:cs="仿宋"/>
          <w:kern w:val="2"/>
          <w:sz w:val="28"/>
          <w:szCs w:val="28"/>
        </w:rPr>
      </w:pPr>
      <w:r>
        <w:rPr>
          <w:rFonts w:hint="eastAsia" w:ascii="仿宋" w:hAnsi="仿宋" w:eastAsia="仿宋" w:cs="仿宋"/>
          <w:kern w:val="2"/>
          <w:sz w:val="28"/>
          <w:szCs w:val="28"/>
        </w:rPr>
        <w:t xml:space="preserve">                        合同签约地：南通市崇川区</w:t>
      </w:r>
    </w:p>
    <w:p>
      <w:pPr>
        <w:pStyle w:val="62"/>
        <w:spacing w:line="500" w:lineRule="exact"/>
        <w:jc w:val="center"/>
        <w:rPr>
          <w:rFonts w:ascii="仿宋" w:hAnsi="仿宋" w:eastAsia="仿宋" w:cs="仿宋"/>
          <w:kern w:val="2"/>
          <w:sz w:val="28"/>
          <w:szCs w:val="28"/>
        </w:rPr>
      </w:pPr>
      <w:r>
        <w:rPr>
          <w:rFonts w:hint="eastAsia" w:ascii="仿宋" w:hAnsi="仿宋" w:eastAsia="仿宋" w:cs="仿宋"/>
          <w:kern w:val="2"/>
          <w:sz w:val="28"/>
          <w:szCs w:val="28"/>
        </w:rPr>
        <w:t xml:space="preserve">                         签约日期：2020年 月 日</w:t>
      </w:r>
    </w:p>
    <w:p>
      <w:pPr>
        <w:pStyle w:val="62"/>
        <w:spacing w:line="500" w:lineRule="exact"/>
        <w:jc w:val="center"/>
        <w:rPr>
          <w:rFonts w:ascii="仿宋" w:hAnsi="仿宋" w:eastAsia="仿宋" w:cs="仿宋"/>
          <w:kern w:val="2"/>
          <w:sz w:val="28"/>
          <w:szCs w:val="28"/>
        </w:rPr>
      </w:pPr>
    </w:p>
    <w:p>
      <w:pPr>
        <w:pStyle w:val="62"/>
        <w:spacing w:line="500" w:lineRule="exact"/>
        <w:jc w:val="center"/>
        <w:rPr>
          <w:rFonts w:ascii="仿宋" w:hAnsi="仿宋" w:eastAsia="仿宋" w:cs="仿宋"/>
          <w:kern w:val="2"/>
          <w:sz w:val="28"/>
          <w:szCs w:val="28"/>
        </w:rPr>
      </w:pPr>
      <w:r>
        <w:rPr>
          <w:rFonts w:hint="eastAsia" w:ascii="仿宋" w:hAnsi="仿宋" w:eastAsia="仿宋" w:cs="仿宋"/>
          <w:kern w:val="2"/>
          <w:sz w:val="28"/>
          <w:szCs w:val="28"/>
        </w:rPr>
        <w:t xml:space="preserve">采购单位（全称）： </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（简称甲方）</w:t>
      </w:r>
    </w:p>
    <w:p>
      <w:pPr>
        <w:pStyle w:val="62"/>
        <w:spacing w:line="500" w:lineRule="exact"/>
        <w:rPr>
          <w:rFonts w:ascii="仿宋" w:hAnsi="仿宋" w:eastAsia="仿宋" w:cs="仿宋"/>
          <w:kern w:val="2"/>
          <w:sz w:val="28"/>
          <w:szCs w:val="28"/>
        </w:rPr>
      </w:pPr>
      <w:r>
        <w:rPr>
          <w:rFonts w:hint="eastAsia" w:ascii="仿宋" w:hAnsi="仿宋" w:eastAsia="仿宋" w:cs="仿宋"/>
          <w:kern w:val="2"/>
          <w:sz w:val="28"/>
          <w:szCs w:val="28"/>
        </w:rPr>
        <w:t>成交供应商（全称）：</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（简称乙方）</w:t>
      </w:r>
    </w:p>
    <w:p>
      <w:pPr>
        <w:pStyle w:val="2"/>
        <w:spacing w:line="500" w:lineRule="exact"/>
        <w:ind w:left="0" w:leftChars="0" w:firstLine="560"/>
        <w:rPr>
          <w:rFonts w:ascii="仿宋" w:hAnsi="仿宋" w:eastAsia="仿宋" w:cs="仿宋"/>
          <w:sz w:val="28"/>
          <w:szCs w:val="28"/>
        </w:rPr>
      </w:pPr>
      <w:r>
        <w:rPr>
          <w:rFonts w:hint="eastAsia" w:ascii="仿宋" w:hAnsi="仿宋" w:eastAsia="仿宋" w:cs="仿宋"/>
          <w:sz w:val="28"/>
          <w:szCs w:val="28"/>
        </w:rPr>
        <w:t>甲方通过南通市公共资源交易（中心）网发布平台，采用竞争性磋商采购方式，确定乙方为成交供应商。依照《中华人民共和国政府采购法》及其实施条例、《中华人民共和国合同法》及其他有关法律、行政法规，遵循平等、自愿、公平和诚实信用的原则，双方就</w:t>
      </w:r>
      <w:r>
        <w:rPr>
          <w:rFonts w:hint="eastAsia" w:ascii="仿宋" w:hAnsi="仿宋" w:eastAsia="仿宋" w:cs="仿宋"/>
          <w:color w:val="000000"/>
          <w:sz w:val="28"/>
          <w:szCs w:val="28"/>
        </w:rPr>
        <w:t>南通日报社（南通报业传媒集团）</w:t>
      </w:r>
      <w:r>
        <w:rPr>
          <w:rFonts w:hint="eastAsia" w:ascii="仿宋" w:hAnsi="仿宋" w:eastAsia="仿宋" w:cs="仿宋"/>
          <w:color w:val="000000"/>
          <w:sz w:val="28"/>
          <w:szCs w:val="28"/>
          <w:u w:val="single"/>
        </w:rPr>
        <w:t xml:space="preserve">                     </w:t>
      </w:r>
      <w:r>
        <w:rPr>
          <w:rFonts w:hint="eastAsia" w:ascii="仿宋" w:hAnsi="仿宋" w:eastAsia="仿宋" w:cs="仿宋"/>
          <w:bCs/>
          <w:sz w:val="28"/>
          <w:szCs w:val="28"/>
        </w:rPr>
        <w:t>相关</w:t>
      </w:r>
      <w:r>
        <w:rPr>
          <w:rFonts w:hint="eastAsia" w:ascii="仿宋" w:hAnsi="仿宋" w:eastAsia="仿宋" w:cs="仿宋"/>
          <w:sz w:val="28"/>
          <w:szCs w:val="28"/>
        </w:rPr>
        <w:t>事项协商一致，达成如下合同条款：</w:t>
      </w:r>
    </w:p>
    <w:p>
      <w:pPr>
        <w:snapToGrid w:val="0"/>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一</w:t>
      </w:r>
      <w:r>
        <w:rPr>
          <w:rFonts w:hint="eastAsia" w:ascii="仿宋" w:hAnsi="仿宋" w:eastAsia="仿宋" w:cs="仿宋"/>
          <w:sz w:val="28"/>
          <w:szCs w:val="28"/>
        </w:rPr>
        <w:t>、成交供应商（乙方）在接到采购人（甲方）《成交通知书》后5日内，按照采购文件确定的事项签订采购合同，合同签订后成交供应商方可履约，否则引起的一切后果由成交供应商自行承担。合同一式五份。</w:t>
      </w:r>
      <w:r>
        <w:rPr>
          <w:rFonts w:hint="eastAsia" w:ascii="仿宋" w:hAnsi="仿宋" w:eastAsia="仿宋" w:cs="仿宋"/>
          <w:sz w:val="28"/>
          <w:szCs w:val="28"/>
          <w:lang w:val="zh-CN"/>
        </w:rPr>
        <w:t>所签合同不得对采购文件作实质性修改</w:t>
      </w:r>
      <w:r>
        <w:rPr>
          <w:rFonts w:hint="eastAsia" w:ascii="仿宋" w:hAnsi="仿宋" w:eastAsia="仿宋" w:cs="仿宋"/>
          <w:sz w:val="28"/>
          <w:szCs w:val="28"/>
        </w:rPr>
        <w:t>。采购单位不得向成交供应商提出不合理的要求作为签订合同的条件，不得与成交供应商私下订立背离采购文件实质性内容的协议。</w:t>
      </w:r>
    </w:p>
    <w:p>
      <w:pPr>
        <w:snapToGrid w:val="0"/>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二</w:t>
      </w:r>
      <w:r>
        <w:rPr>
          <w:rFonts w:hint="eastAsia" w:ascii="仿宋" w:hAnsi="仿宋" w:eastAsia="仿宋" w:cs="仿宋"/>
          <w:sz w:val="28"/>
          <w:szCs w:val="28"/>
        </w:rPr>
        <w:t>、采购单位按合同约定积极配合成交供应商履约，成交供应商履约到位后，请以书面形式向采购单位提出验收申请，采购单位接到申请后原则上在5个工作日内及时组织相关专业技术人员，必要时邀请采购中心、质检等部门共同参与验收，并出具验收报告，验收合格的原则上14个工作日内支付相应款项。</w:t>
      </w:r>
    </w:p>
    <w:p>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三、采购单位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四、成交供应商出现违约情形，应当及时纠正或补偿；造成损失的，按合同约定追究违约责任；发现有假冒、伪劣、走私产品、商业贿赂等违法情形的，应由采购单位移交工商、质监、公安等行政执法部门依法查处。</w:t>
      </w:r>
    </w:p>
    <w:p>
      <w:pPr>
        <w:pStyle w:val="7"/>
        <w:kinsoku w:val="0"/>
        <w:topLinePunct/>
        <w:autoSpaceDE w:val="0"/>
        <w:autoSpaceDN w:val="0"/>
        <w:snapToGrid w:val="0"/>
        <w:spacing w:line="500" w:lineRule="exact"/>
        <w:ind w:right="210" w:firstLine="560" w:firstLineChars="200"/>
        <w:contextualSpacing/>
        <w:rPr>
          <w:rFonts w:ascii="仿宋" w:hAnsi="仿宋" w:eastAsia="仿宋" w:cs="仿宋"/>
          <w:sz w:val="28"/>
          <w:szCs w:val="28"/>
        </w:rPr>
      </w:pPr>
      <w:r>
        <w:rPr>
          <w:rFonts w:hint="eastAsia" w:ascii="仿宋" w:hAnsi="仿宋" w:eastAsia="仿宋" w:cs="仿宋"/>
          <w:sz w:val="28"/>
          <w:szCs w:val="28"/>
          <w:lang w:val="zh-CN"/>
        </w:rPr>
        <w:t>五、</w:t>
      </w:r>
      <w:r>
        <w:rPr>
          <w:rFonts w:hint="eastAsia" w:ascii="仿宋" w:hAnsi="仿宋" w:eastAsia="仿宋" w:cs="仿宋"/>
          <w:sz w:val="28"/>
          <w:szCs w:val="28"/>
        </w:rPr>
        <w:t>不响应付款方式的，视同响应文件无效处理。</w:t>
      </w:r>
    </w:p>
    <w:p>
      <w:pPr>
        <w:widowControl/>
        <w:shd w:val="clear" w:color="auto" w:fill="FFFFFF"/>
        <w:spacing w:line="390" w:lineRule="atLeast"/>
        <w:ind w:firstLine="480"/>
        <w:jc w:val="left"/>
        <w:rPr>
          <w:rFonts w:ascii="仿宋" w:hAnsi="仿宋" w:eastAsia="仿宋" w:cs="仿宋"/>
          <w:sz w:val="28"/>
          <w:szCs w:val="28"/>
        </w:rPr>
      </w:pPr>
      <w:r>
        <w:rPr>
          <w:rFonts w:hint="eastAsia" w:ascii="仿宋" w:hAnsi="仿宋" w:eastAsia="仿宋" w:cs="仿宋"/>
          <w:color w:val="000000"/>
          <w:sz w:val="28"/>
          <w:szCs w:val="28"/>
        </w:rPr>
        <w:t>六、</w:t>
      </w:r>
      <w:r>
        <w:rPr>
          <w:rFonts w:hint="eastAsia" w:ascii="仿宋" w:hAnsi="仿宋" w:eastAsia="仿宋" w:cs="仿宋"/>
          <w:sz w:val="28"/>
          <w:szCs w:val="28"/>
        </w:rPr>
        <w:t>付款方式：采购人通知成交人供货之日起7个工作日内，预付总款项45%，本项目安装调试验收合格后签字之日起14个工作日内支付总款项55%。</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七、项目实施期限：合同签订后，在接到甲方首付款20个工作日内，完成设备安装、调试、人员培训、验收合格并交付使用。</w:t>
      </w:r>
    </w:p>
    <w:p>
      <w:pPr>
        <w:snapToGrid w:val="0"/>
        <w:spacing w:line="500" w:lineRule="exact"/>
        <w:ind w:firstLine="560" w:firstLineChars="200"/>
        <w:rPr>
          <w:rFonts w:ascii="仿宋" w:hAnsi="仿宋" w:eastAsia="仿宋" w:cs="仿宋"/>
          <w:sz w:val="28"/>
          <w:szCs w:val="28"/>
        </w:rPr>
      </w:pPr>
      <w:bookmarkStart w:id="6" w:name="OLE_LINK2"/>
      <w:bookmarkStart w:id="7" w:name="OLE_LINK1"/>
      <w:r>
        <w:rPr>
          <w:rFonts w:hint="eastAsia" w:ascii="仿宋" w:hAnsi="仿宋" w:eastAsia="仿宋" w:cs="仿宋"/>
          <w:sz w:val="28"/>
          <w:szCs w:val="28"/>
        </w:rPr>
        <w:t>八、</w:t>
      </w:r>
      <w:r>
        <w:rPr>
          <w:rFonts w:hint="eastAsia" w:ascii="仿宋" w:hAnsi="仿宋" w:eastAsia="仿宋" w:cs="仿宋"/>
          <w:color w:val="000000"/>
          <w:sz w:val="28"/>
          <w:szCs w:val="28"/>
        </w:rPr>
        <w:t>合同签约有关条款原则上参照政府采购合同格式。</w:t>
      </w:r>
      <w:r>
        <w:rPr>
          <w:rFonts w:hint="eastAsia" w:ascii="仿宋" w:hAnsi="仿宋" w:eastAsia="仿宋" w:cs="仿宋"/>
          <w:sz w:val="28"/>
          <w:szCs w:val="28"/>
        </w:rPr>
        <w:t>合同格式在南通市公共资源交易中心采购网“下载中心--有关响应文件资料”下载。</w:t>
      </w:r>
    </w:p>
    <w:p>
      <w:pPr>
        <w:spacing w:afterLines="50" w:line="500" w:lineRule="exact"/>
        <w:ind w:firstLine="560" w:firstLineChars="200"/>
        <w:jc w:val="distribute"/>
        <w:rPr>
          <w:rFonts w:ascii="仿宋" w:hAnsi="仿宋" w:eastAsia="仿宋" w:cs="仿宋"/>
          <w:color w:val="000000"/>
          <w:sz w:val="28"/>
          <w:szCs w:val="28"/>
        </w:rPr>
      </w:pPr>
      <w:r>
        <w:rPr>
          <w:rFonts w:hint="eastAsia" w:ascii="仿宋" w:hAnsi="仿宋" w:eastAsia="仿宋" w:cs="仿宋"/>
          <w:color w:val="000000"/>
          <w:sz w:val="28"/>
          <w:szCs w:val="28"/>
        </w:rPr>
        <w:t>九、成交供应商应保证产品品质、规格、型号、数量、性能、功</w:t>
      </w:r>
    </w:p>
    <w:p>
      <w:pPr>
        <w:spacing w:afterLines="50" w:line="500" w:lineRule="exact"/>
        <w:jc w:val="distribute"/>
        <w:rPr>
          <w:rFonts w:ascii="仿宋" w:hAnsi="仿宋" w:eastAsia="仿宋" w:cs="仿宋"/>
          <w:color w:val="000000"/>
          <w:sz w:val="28"/>
          <w:szCs w:val="28"/>
        </w:rPr>
      </w:pPr>
      <w:r>
        <w:rPr>
          <w:rFonts w:hint="eastAsia" w:ascii="仿宋" w:hAnsi="仿宋" w:eastAsia="仿宋" w:cs="仿宋"/>
          <w:color w:val="000000"/>
          <w:sz w:val="28"/>
          <w:szCs w:val="28"/>
        </w:rPr>
        <w:t>能配置、技术参数标准等符合合同及采购文件规定的要求。不得使用假、冒、伪、劣产品替代，一经发现，按照退一赔一罚三处罚。</w:t>
      </w:r>
    </w:p>
    <w:p>
      <w:pPr>
        <w:widowControl/>
        <w:shd w:val="clear" w:color="auto" w:fill="FFFFFF"/>
        <w:spacing w:line="390" w:lineRule="atLeast"/>
        <w:ind w:firstLine="480"/>
        <w:jc w:val="left"/>
        <w:rPr>
          <w:rFonts w:ascii="仿宋" w:hAnsi="仿宋" w:eastAsia="仿宋" w:cs="仿宋"/>
          <w:color w:val="000000"/>
          <w:sz w:val="28"/>
          <w:szCs w:val="28"/>
        </w:rPr>
      </w:pPr>
      <w:r>
        <w:rPr>
          <w:rFonts w:hint="eastAsia" w:ascii="仿宋" w:hAnsi="仿宋" w:eastAsia="仿宋" w:cs="仿宋"/>
          <w:color w:val="000000"/>
          <w:sz w:val="28"/>
          <w:szCs w:val="28"/>
        </w:rPr>
        <w:t>十、自本项目设备供应到位、演播室局部改造安装调试验收合格签字之日起1.直播机设备满12个月内原厂免费质保，供应商三年维保，软件终生免费升级；2.演播室灯光改造36个月内原厂免费质保；3.配音间设备满12个月内原厂免费质保。</w:t>
      </w:r>
    </w:p>
    <w:p>
      <w:pPr>
        <w:tabs>
          <w:tab w:val="left" w:pos="420"/>
        </w:tabs>
        <w:spacing w:afterLines="50"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十一、违反本合同约定，违约方应当按照《中华人民共和国合同法》《中华人民共和国政府采购法》有关条款的规定，或按双方协商结果，承担违约责任。</w:t>
      </w:r>
    </w:p>
    <w:p>
      <w:pPr>
        <w:spacing w:line="500" w:lineRule="exact"/>
        <w:ind w:firstLine="560" w:firstLineChars="200"/>
        <w:jc w:val="distribute"/>
        <w:rPr>
          <w:rFonts w:ascii="仿宋" w:hAnsi="仿宋" w:eastAsia="仿宋" w:cs="仿宋"/>
          <w:color w:val="000000"/>
          <w:sz w:val="28"/>
          <w:szCs w:val="28"/>
        </w:rPr>
      </w:pPr>
      <w:r>
        <w:rPr>
          <w:rFonts w:hint="eastAsia" w:ascii="仿宋" w:hAnsi="仿宋" w:eastAsia="仿宋" w:cs="仿宋"/>
          <w:color w:val="000000"/>
          <w:sz w:val="28"/>
          <w:szCs w:val="28"/>
        </w:rPr>
        <w:t>十二、成交商不能按期提供服务，成交商付给采购方违约金（违约金的计算：合同总金额的5% ），每延迟到位服务壹日，另付采购方每日滞纳金（按合同总金额的万分之五计算）。</w:t>
      </w:r>
    </w:p>
    <w:p>
      <w:pPr>
        <w:spacing w:line="5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十三、成交商降低服务标准、服务品质，或不兑现服务承诺，支付给采购方合同总金额5%的违约金。</w:t>
      </w:r>
    </w:p>
    <w:p>
      <w:pPr>
        <w:jc w:val="distribute"/>
        <w:rPr>
          <w:rFonts w:ascii="仿宋" w:hAnsi="仿宋" w:eastAsia="仿宋" w:cs="仿宋"/>
          <w:color w:val="000000"/>
          <w:sz w:val="28"/>
          <w:szCs w:val="28"/>
        </w:rPr>
      </w:pPr>
      <w:r>
        <w:rPr>
          <w:rFonts w:hint="eastAsia" w:ascii="仿宋" w:hAnsi="仿宋" w:eastAsia="仿宋" w:cs="仿宋"/>
          <w:color w:val="000000"/>
          <w:sz w:val="28"/>
          <w:szCs w:val="28"/>
        </w:rPr>
        <w:t>十四、采购方除成交商所提供的产品、服务低于合同及附件原定项目产品品质、规格、型号、数量、性能、功能配置、技术参数或不可抗</w:t>
      </w:r>
    </w:p>
    <w:p>
      <w:pPr>
        <w:jc w:val="left"/>
        <w:rPr>
          <w:rFonts w:ascii="仿宋" w:hAnsi="仿宋" w:eastAsia="仿宋" w:cs="仿宋"/>
          <w:sz w:val="28"/>
          <w:szCs w:val="28"/>
        </w:rPr>
      </w:pPr>
      <w:r>
        <w:rPr>
          <w:rFonts w:hint="eastAsia" w:ascii="仿宋" w:hAnsi="仿宋" w:eastAsia="仿宋" w:cs="仿宋"/>
          <w:color w:val="000000"/>
          <w:sz w:val="28"/>
          <w:szCs w:val="28"/>
        </w:rPr>
        <w:t>力因素外，要求退货或不接受货物的，</w:t>
      </w:r>
      <w:r>
        <w:rPr>
          <w:rFonts w:hint="eastAsia" w:ascii="仿宋" w:hAnsi="仿宋" w:eastAsia="仿宋" w:cs="仿宋"/>
          <w:sz w:val="28"/>
          <w:szCs w:val="28"/>
        </w:rPr>
        <w:t>付给成交商合同总金额5%</w:t>
      </w:r>
      <w:bookmarkEnd w:id="6"/>
      <w:bookmarkEnd w:id="7"/>
      <w:r>
        <w:rPr>
          <w:rFonts w:hint="eastAsia" w:ascii="仿宋" w:hAnsi="仿宋" w:eastAsia="仿宋" w:cs="仿宋"/>
          <w:sz w:val="28"/>
          <w:szCs w:val="28"/>
        </w:rPr>
        <w:t>的违约金。</w:t>
      </w:r>
    </w:p>
    <w:p>
      <w:pPr>
        <w:jc w:val="left"/>
        <w:rPr>
          <w:rFonts w:ascii="仿宋" w:hAnsi="仿宋" w:eastAsia="仿宋" w:cs="仿宋"/>
          <w:color w:val="FF0000"/>
          <w:sz w:val="28"/>
          <w:szCs w:val="28"/>
        </w:rPr>
      </w:pPr>
      <w:r>
        <w:rPr>
          <w:rFonts w:hint="eastAsia" w:ascii="仿宋" w:hAnsi="仿宋" w:eastAsia="仿宋" w:cs="仿宋"/>
          <w:color w:val="000000"/>
          <w:sz w:val="28"/>
          <w:szCs w:val="28"/>
        </w:rPr>
        <w:t xml:space="preserve">    </w:t>
      </w:r>
      <w:r>
        <w:rPr>
          <w:rFonts w:hint="eastAsia" w:ascii="仿宋" w:hAnsi="仿宋" w:eastAsia="仿宋" w:cs="仿宋"/>
          <w:kern w:val="0"/>
          <w:sz w:val="28"/>
          <w:szCs w:val="28"/>
        </w:rPr>
        <w:t>十五、</w:t>
      </w:r>
      <w:r>
        <w:rPr>
          <w:rFonts w:hint="eastAsia" w:ascii="仿宋" w:hAnsi="仿宋" w:eastAsia="仿宋" w:cs="仿宋"/>
          <w:sz w:val="28"/>
          <w:szCs w:val="28"/>
        </w:rPr>
        <w:t>供应商须提供不低于三年的免费技术支持服务，</w:t>
      </w:r>
      <w:r>
        <w:rPr>
          <w:rFonts w:hint="eastAsia" w:ascii="仿宋" w:hAnsi="仿宋" w:eastAsia="仿宋" w:cs="仿宋"/>
          <w:bCs/>
          <w:color w:val="000000"/>
          <w:sz w:val="28"/>
          <w:szCs w:val="28"/>
        </w:rPr>
        <w:t>在合同三年有效期内（</w:t>
      </w:r>
      <w:r>
        <w:rPr>
          <w:rFonts w:hint="eastAsia" w:ascii="仿宋" w:hAnsi="仿宋" w:eastAsia="仿宋" w:cs="仿宋"/>
          <w:sz w:val="28"/>
          <w:szCs w:val="28"/>
          <w:lang w:val="zh-CN"/>
        </w:rPr>
        <w:t>自本</w:t>
      </w:r>
      <w:r>
        <w:rPr>
          <w:rFonts w:hint="eastAsia" w:ascii="仿宋" w:hAnsi="仿宋" w:eastAsia="仿宋" w:cs="仿宋"/>
          <w:color w:val="000000" w:themeColor="text1"/>
          <w:sz w:val="28"/>
          <w:szCs w:val="28"/>
        </w:rPr>
        <w:t>项目安装调试验收合格签字之日起满36个月）</w:t>
      </w:r>
      <w:r>
        <w:rPr>
          <w:rFonts w:hint="eastAsia" w:ascii="仿宋" w:hAnsi="仿宋" w:eastAsia="仿宋" w:cs="仿宋"/>
          <w:bCs/>
          <w:color w:val="000000"/>
          <w:sz w:val="28"/>
          <w:szCs w:val="28"/>
        </w:rPr>
        <w:t>免费提供产品（设备）的升级和维护，</w:t>
      </w:r>
      <w:r>
        <w:rPr>
          <w:rFonts w:hint="eastAsia" w:ascii="仿宋" w:hAnsi="仿宋" w:eastAsia="仿宋" w:cs="仿宋"/>
          <w:sz w:val="28"/>
          <w:szCs w:val="28"/>
        </w:rPr>
        <w:t>包含</w:t>
      </w:r>
      <w:r>
        <w:rPr>
          <w:rFonts w:hint="eastAsia" w:ascii="仿宋" w:hAnsi="仿宋" w:eastAsia="仿宋" w:cs="仿宋"/>
          <w:kern w:val="0"/>
          <w:sz w:val="28"/>
          <w:szCs w:val="28"/>
        </w:rPr>
        <w:t>软件升级服务，</w:t>
      </w:r>
      <w:r>
        <w:rPr>
          <w:rFonts w:hint="eastAsia" w:ascii="仿宋" w:hAnsi="仿宋" w:eastAsia="仿宋" w:cs="仿宋"/>
          <w:sz w:val="28"/>
          <w:szCs w:val="28"/>
        </w:rPr>
        <w:t>软硬件故障处理、坏件更换、不计次数的现场服务等。</w:t>
      </w:r>
    </w:p>
    <w:p>
      <w:pPr>
        <w:widowControl/>
        <w:shd w:val="clear" w:color="auto" w:fill="FFFFFF"/>
        <w:spacing w:line="390" w:lineRule="atLeast"/>
        <w:ind w:firstLine="48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十六、保修期内，供应商负责产品厂家对其提供的设备、软件进行定期巡检，其余每年不低于4次，并提供检测报告；如果设备在质保期内发生软、硬件故障，供应商应在30分钟内响应,2小时到达用户现场，并保证7*24小时远程技术支持。供应商须明确硬件设备出现故障时，应免费在6小时内用同等的品牌规格的部件更换到位。否则，采购人将自行采取必要的措施，由此产生风险和费用从成交人履约保证金中扣除。</w:t>
      </w:r>
    </w:p>
    <w:p>
      <w:pPr>
        <w:snapToGrid w:val="0"/>
        <w:spacing w:line="500" w:lineRule="exact"/>
        <w:ind w:firstLine="548" w:firstLineChars="196"/>
        <w:rPr>
          <w:rFonts w:ascii="仿宋" w:hAnsi="仿宋" w:eastAsia="仿宋" w:cs="仿宋"/>
          <w:sz w:val="28"/>
          <w:szCs w:val="28"/>
          <w:lang w:val="zh-CN"/>
        </w:rPr>
      </w:pPr>
      <w:r>
        <w:rPr>
          <w:rFonts w:hint="eastAsia" w:ascii="仿宋" w:hAnsi="仿宋" w:eastAsia="仿宋" w:cs="仿宋"/>
          <w:sz w:val="28"/>
          <w:szCs w:val="28"/>
        </w:rPr>
        <w:t>十七、履约担保：成交方</w:t>
      </w:r>
      <w:r>
        <w:rPr>
          <w:rFonts w:hint="eastAsia" w:ascii="仿宋" w:hAnsi="仿宋" w:eastAsia="仿宋" w:cs="仿宋"/>
          <w:sz w:val="28"/>
          <w:szCs w:val="28"/>
          <w:lang w:val="zh-CN"/>
        </w:rPr>
        <w:t>签约前须提交成交合同金额的5%作为履约保证金，自本</w:t>
      </w:r>
      <w:r>
        <w:rPr>
          <w:rFonts w:hint="eastAsia" w:ascii="仿宋" w:hAnsi="仿宋" w:eastAsia="仿宋" w:cs="仿宋"/>
          <w:color w:val="000000" w:themeColor="text1"/>
          <w:sz w:val="28"/>
          <w:szCs w:val="28"/>
        </w:rPr>
        <w:t>项目安装调试验收合格签字之日起满公历日36个月</w:t>
      </w:r>
      <w:r>
        <w:rPr>
          <w:rFonts w:hint="eastAsia" w:ascii="仿宋" w:hAnsi="仿宋" w:eastAsia="仿宋" w:cs="仿宋"/>
          <w:sz w:val="28"/>
          <w:szCs w:val="28"/>
          <w:lang w:val="zh-CN"/>
        </w:rPr>
        <w:t>，到期后无未完纠纷15日内无息退还。</w:t>
      </w:r>
    </w:p>
    <w:p>
      <w:p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十八、本项目竞争性谈判采购文件与供应商谈判响应文件及附件作为本合同的附件，与本合同具有同等法律效力。</w:t>
      </w:r>
    </w:p>
    <w:p>
      <w:pPr>
        <w:numPr>
          <w:ilvl w:val="1"/>
          <w:numId w:val="0"/>
        </w:numPr>
        <w:tabs>
          <w:tab w:val="left" w:pos="360"/>
          <w:tab w:val="left" w:pos="540"/>
        </w:tabs>
        <w:spacing w:after="60"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十九、不可抗力：</w:t>
      </w:r>
    </w:p>
    <w:p>
      <w:pPr>
        <w:tabs>
          <w:tab w:val="left" w:pos="360"/>
        </w:tabs>
        <w:spacing w:after="60" w:line="500" w:lineRule="exact"/>
        <w:ind w:firstLine="560" w:firstLineChars="200"/>
        <w:rPr>
          <w:rFonts w:ascii="仿宋" w:hAnsi="仿宋" w:eastAsia="仿宋" w:cs="仿宋"/>
          <w:sz w:val="28"/>
          <w:szCs w:val="28"/>
        </w:rPr>
      </w:pPr>
      <w:r>
        <w:rPr>
          <w:rFonts w:hint="eastAsia" w:ascii="仿宋" w:hAnsi="仿宋" w:eastAsia="仿宋" w:cs="仿宋"/>
          <w:sz w:val="28"/>
          <w:szCs w:val="28"/>
        </w:rPr>
        <w:t>19.1由于不可抗力因素（指火灾、地震、洪水、战争等）使乙方不能在合同规定的期限内履行合约时，乙方必须立即以书面形式通知甲方，并以书面形式向甲方提供有关行政机关所出具的不可抗力因素证明。</w:t>
      </w:r>
    </w:p>
    <w:p>
      <w:pPr>
        <w:tabs>
          <w:tab w:val="left" w:pos="360"/>
        </w:tabs>
        <w:spacing w:after="60" w:line="500" w:lineRule="exact"/>
        <w:ind w:firstLine="560" w:firstLineChars="200"/>
        <w:rPr>
          <w:rFonts w:ascii="仿宋" w:hAnsi="仿宋" w:eastAsia="仿宋" w:cs="仿宋"/>
          <w:sz w:val="28"/>
          <w:szCs w:val="28"/>
        </w:rPr>
      </w:pPr>
      <w:r>
        <w:rPr>
          <w:rFonts w:hint="eastAsia" w:ascii="仿宋" w:hAnsi="仿宋" w:eastAsia="仿宋" w:cs="仿宋"/>
          <w:sz w:val="28"/>
          <w:szCs w:val="28"/>
        </w:rPr>
        <w:t>19.2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bookmarkStart w:id="8" w:name="_Toc81879420"/>
    </w:p>
    <w:p>
      <w:pPr>
        <w:numPr>
          <w:ilvl w:val="1"/>
          <w:numId w:val="0"/>
        </w:numPr>
        <w:tabs>
          <w:tab w:val="left" w:pos="360"/>
          <w:tab w:val="left" w:pos="540"/>
        </w:tabs>
        <w:spacing w:after="60"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二十、合同其他约定条款：</w:t>
      </w:r>
      <w:bookmarkEnd w:id="8"/>
    </w:p>
    <w:p>
      <w:pPr>
        <w:pStyle w:val="62"/>
        <w:spacing w:line="500" w:lineRule="exact"/>
        <w:ind w:firstLine="560" w:firstLineChars="200"/>
        <w:rPr>
          <w:rFonts w:ascii="仿宋" w:hAnsi="仿宋" w:eastAsia="仿宋" w:cs="仿宋"/>
          <w:b/>
          <w:kern w:val="2"/>
          <w:sz w:val="28"/>
          <w:szCs w:val="28"/>
        </w:rPr>
      </w:pPr>
      <w:r>
        <w:rPr>
          <w:rFonts w:hint="eastAsia" w:ascii="仿宋" w:hAnsi="仿宋" w:eastAsia="仿宋" w:cs="仿宋"/>
          <w:kern w:val="2"/>
          <w:sz w:val="28"/>
          <w:szCs w:val="28"/>
        </w:rPr>
        <w:t>20.1乙方不按期完成合同约定的供应服务内容，应向甲方支付违约金，除乙方不可抗力造成原因外，按合同总价款的</w:t>
      </w:r>
      <w:r>
        <w:rPr>
          <w:rFonts w:hint="eastAsia" w:ascii="仿宋" w:hAnsi="仿宋" w:eastAsia="仿宋" w:cs="仿宋"/>
          <w:kern w:val="2"/>
          <w:sz w:val="28"/>
          <w:szCs w:val="28"/>
          <w:u w:val="single"/>
        </w:rPr>
        <w:t>1%%按日</w:t>
      </w:r>
      <w:r>
        <w:rPr>
          <w:rFonts w:hint="eastAsia" w:ascii="仿宋" w:hAnsi="仿宋" w:eastAsia="仿宋" w:cs="仿宋"/>
          <w:kern w:val="2"/>
          <w:sz w:val="28"/>
          <w:szCs w:val="28"/>
        </w:rPr>
        <w:t xml:space="preserve">向甲方支付违约金，违约金可直接从履约保证金中扣除;甲方有权单方面解除合同并没收履约保证金的30%金额。               </w:t>
      </w:r>
    </w:p>
    <w:p>
      <w:pPr>
        <w:pStyle w:val="62"/>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20.2乙方所供配件产品品种、型号、规格、质量不符合规定的，由其负责包换或包修，并承担修理、调换或退货而支付的实际费用。</w:t>
      </w:r>
    </w:p>
    <w:p>
      <w:pPr>
        <w:pStyle w:val="62"/>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20.3非因甲方原因，乙方不履行本合同规定的义务，致使工作延误，甲方有权要求其强制履行或解除合同，并要求乙方等额赔偿由此造成的一切损失。</w:t>
      </w:r>
    </w:p>
    <w:p>
      <w:pPr>
        <w:pStyle w:val="62"/>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20.4甲方未按约定期限付款的，除向乙方支付货款外，须按中国人民银行有关规定向乙方支付滞纳金。</w:t>
      </w:r>
    </w:p>
    <w:p>
      <w:pPr>
        <w:pStyle w:val="62"/>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20.5知识产权。乙方应保证甲方免除并承担由于甲方在其本国使用该项目时而引起第三方提出的侵犯专利权、知识产权或设计权的起诉、行动、行政程序索赔、请求等以及甲方为此而产生的损失和损害、费用和支出（包括律师费）。</w:t>
      </w:r>
    </w:p>
    <w:p>
      <w:pPr>
        <w:spacing w:after="60" w:line="500" w:lineRule="exact"/>
        <w:ind w:left="561" w:leftChars="267"/>
        <w:rPr>
          <w:rFonts w:ascii="仿宋" w:hAnsi="仿宋" w:eastAsia="仿宋" w:cs="仿宋"/>
          <w:b/>
          <w:bCs/>
          <w:sz w:val="28"/>
          <w:szCs w:val="28"/>
        </w:rPr>
      </w:pPr>
      <w:bookmarkStart w:id="9" w:name="_Toc81879421"/>
      <w:r>
        <w:rPr>
          <w:rFonts w:hint="eastAsia" w:ascii="仿宋" w:hAnsi="仿宋" w:eastAsia="仿宋" w:cs="仿宋"/>
          <w:b/>
          <w:bCs/>
          <w:sz w:val="28"/>
          <w:szCs w:val="28"/>
        </w:rPr>
        <w:t>二十一、争议解决：</w:t>
      </w:r>
      <w:bookmarkEnd w:id="9"/>
    </w:p>
    <w:p>
      <w:pPr>
        <w:spacing w:after="60" w:line="500" w:lineRule="exact"/>
        <w:ind w:firstLine="560" w:firstLineChars="200"/>
        <w:rPr>
          <w:rFonts w:ascii="仿宋" w:hAnsi="仿宋" w:eastAsia="仿宋" w:cs="仿宋"/>
          <w:sz w:val="28"/>
          <w:szCs w:val="28"/>
        </w:rPr>
      </w:pPr>
      <w:r>
        <w:rPr>
          <w:rFonts w:hint="eastAsia" w:ascii="仿宋" w:hAnsi="仿宋" w:eastAsia="仿宋" w:cs="仿宋"/>
          <w:sz w:val="28"/>
          <w:szCs w:val="28"/>
        </w:rPr>
        <w:t>本合同发生争议，由双方协商或调解解决，协商或调解不成时可以向人民法院起诉。</w:t>
      </w:r>
      <w:bookmarkStart w:id="10" w:name="_Toc81879422"/>
    </w:p>
    <w:p>
      <w:pPr>
        <w:spacing w:after="60"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二十二、合同构成：</w:t>
      </w:r>
      <w:bookmarkEnd w:id="10"/>
    </w:p>
    <w:p>
      <w:pPr>
        <w:spacing w:after="60" w:line="500" w:lineRule="exact"/>
        <w:ind w:firstLine="560" w:firstLineChars="200"/>
        <w:rPr>
          <w:rFonts w:ascii="仿宋" w:hAnsi="仿宋" w:eastAsia="仿宋" w:cs="仿宋"/>
          <w:sz w:val="28"/>
          <w:szCs w:val="28"/>
        </w:rPr>
      </w:pPr>
      <w:r>
        <w:rPr>
          <w:rFonts w:hint="eastAsia" w:ascii="仿宋" w:hAnsi="仿宋" w:eastAsia="仿宋" w:cs="仿宋"/>
          <w:sz w:val="28"/>
          <w:szCs w:val="28"/>
        </w:rPr>
        <w:t>22.1下述文件是构成合同不可分割的部分，具有同等的法律效力，</w:t>
      </w:r>
    </w:p>
    <w:p>
      <w:pPr>
        <w:spacing w:after="60" w:line="500" w:lineRule="exact"/>
        <w:rPr>
          <w:rFonts w:ascii="仿宋" w:hAnsi="仿宋" w:eastAsia="仿宋" w:cs="仿宋"/>
          <w:sz w:val="28"/>
          <w:szCs w:val="28"/>
        </w:rPr>
      </w:pPr>
      <w:r>
        <w:rPr>
          <w:rFonts w:hint="eastAsia" w:ascii="仿宋" w:hAnsi="仿宋" w:eastAsia="仿宋" w:cs="仿宋"/>
          <w:sz w:val="28"/>
          <w:szCs w:val="28"/>
        </w:rPr>
        <w:t>应一并阅读和理解。</w:t>
      </w:r>
    </w:p>
    <w:p>
      <w:pPr>
        <w:numPr>
          <w:ilvl w:val="0"/>
          <w:numId w:val="3"/>
        </w:numPr>
        <w:spacing w:after="60" w:line="500" w:lineRule="exact"/>
        <w:rPr>
          <w:rFonts w:ascii="仿宋" w:hAnsi="仿宋" w:eastAsia="仿宋" w:cs="仿宋"/>
          <w:sz w:val="28"/>
          <w:szCs w:val="28"/>
        </w:rPr>
      </w:pPr>
      <w:r>
        <w:rPr>
          <w:rFonts w:hint="eastAsia" w:ascii="仿宋" w:hAnsi="仿宋" w:eastAsia="仿宋" w:cs="仿宋"/>
          <w:sz w:val="28"/>
          <w:szCs w:val="28"/>
        </w:rPr>
        <w:t>本合同协议书；</w:t>
      </w:r>
    </w:p>
    <w:p>
      <w:pPr>
        <w:numPr>
          <w:ilvl w:val="0"/>
          <w:numId w:val="3"/>
        </w:numPr>
        <w:spacing w:after="60" w:line="500" w:lineRule="exact"/>
        <w:rPr>
          <w:rFonts w:ascii="仿宋" w:hAnsi="仿宋" w:eastAsia="仿宋" w:cs="仿宋"/>
          <w:sz w:val="28"/>
          <w:szCs w:val="28"/>
        </w:rPr>
      </w:pPr>
      <w:r>
        <w:rPr>
          <w:rFonts w:hint="eastAsia" w:ascii="仿宋" w:hAnsi="仿宋" w:eastAsia="仿宋" w:cs="仿宋"/>
          <w:sz w:val="28"/>
          <w:szCs w:val="28"/>
        </w:rPr>
        <w:t>中标成交通知书；</w:t>
      </w:r>
    </w:p>
    <w:p>
      <w:pPr>
        <w:numPr>
          <w:ilvl w:val="0"/>
          <w:numId w:val="3"/>
        </w:numPr>
        <w:spacing w:after="60" w:line="500" w:lineRule="exact"/>
        <w:rPr>
          <w:rFonts w:ascii="仿宋" w:hAnsi="仿宋" w:eastAsia="仿宋" w:cs="仿宋"/>
          <w:sz w:val="28"/>
          <w:szCs w:val="28"/>
        </w:rPr>
      </w:pPr>
      <w:r>
        <w:rPr>
          <w:rFonts w:hint="eastAsia" w:ascii="仿宋" w:hAnsi="仿宋" w:eastAsia="仿宋" w:cs="仿宋"/>
          <w:sz w:val="28"/>
          <w:szCs w:val="28"/>
        </w:rPr>
        <w:t>采购文件及附件；</w:t>
      </w:r>
    </w:p>
    <w:p>
      <w:pPr>
        <w:numPr>
          <w:ilvl w:val="0"/>
          <w:numId w:val="3"/>
        </w:numPr>
        <w:spacing w:after="60" w:line="500" w:lineRule="exact"/>
        <w:rPr>
          <w:rFonts w:ascii="仿宋" w:hAnsi="仿宋" w:eastAsia="仿宋" w:cs="仿宋"/>
          <w:sz w:val="28"/>
          <w:szCs w:val="28"/>
        </w:rPr>
      </w:pPr>
      <w:r>
        <w:rPr>
          <w:rFonts w:hint="eastAsia" w:ascii="仿宋" w:hAnsi="仿宋" w:eastAsia="仿宋" w:cs="仿宋"/>
          <w:sz w:val="28"/>
          <w:szCs w:val="28"/>
        </w:rPr>
        <w:t>投标文件及附件；</w:t>
      </w:r>
    </w:p>
    <w:p>
      <w:pPr>
        <w:numPr>
          <w:ilvl w:val="0"/>
          <w:numId w:val="3"/>
        </w:numPr>
        <w:spacing w:after="60" w:line="500" w:lineRule="exact"/>
        <w:rPr>
          <w:rFonts w:ascii="仿宋" w:hAnsi="仿宋" w:eastAsia="仿宋" w:cs="仿宋"/>
          <w:sz w:val="28"/>
          <w:szCs w:val="28"/>
        </w:rPr>
      </w:pPr>
      <w:r>
        <w:rPr>
          <w:rFonts w:hint="eastAsia" w:ascii="仿宋" w:hAnsi="仿宋" w:eastAsia="仿宋" w:cs="仿宋"/>
          <w:sz w:val="28"/>
          <w:szCs w:val="28"/>
        </w:rPr>
        <w:t>经双方协商一致达成的补充协议。</w:t>
      </w:r>
    </w:p>
    <w:p>
      <w:pPr>
        <w:tabs>
          <w:tab w:val="left" w:pos="360"/>
        </w:tabs>
        <w:spacing w:after="60" w:line="500" w:lineRule="exact"/>
        <w:ind w:firstLine="560" w:firstLineChars="200"/>
        <w:rPr>
          <w:rFonts w:ascii="仿宋" w:hAnsi="仿宋" w:eastAsia="仿宋" w:cs="仿宋"/>
          <w:sz w:val="28"/>
          <w:szCs w:val="28"/>
        </w:rPr>
      </w:pPr>
      <w:r>
        <w:rPr>
          <w:rFonts w:hint="eastAsia" w:ascii="仿宋" w:hAnsi="仿宋" w:eastAsia="仿宋" w:cs="仿宋"/>
          <w:sz w:val="28"/>
          <w:szCs w:val="28"/>
        </w:rPr>
        <w:t>22.2上述文件应认为是互为补充和解释的，若有不明确及不一致之处，以上面所列顺序在前及时间在后者为准。</w:t>
      </w:r>
      <w:bookmarkStart w:id="11" w:name="_Toc81879423"/>
    </w:p>
    <w:p>
      <w:pPr>
        <w:tabs>
          <w:tab w:val="left" w:pos="360"/>
        </w:tabs>
        <w:spacing w:after="60"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二十三、合同期限与份数：</w:t>
      </w:r>
      <w:bookmarkEnd w:id="11"/>
    </w:p>
    <w:p>
      <w:pPr>
        <w:tabs>
          <w:tab w:val="left" w:pos="360"/>
        </w:tabs>
        <w:spacing w:after="60" w:line="500" w:lineRule="exact"/>
        <w:ind w:firstLine="560" w:firstLineChars="200"/>
        <w:rPr>
          <w:rFonts w:ascii="仿宋" w:hAnsi="仿宋" w:eastAsia="仿宋" w:cs="仿宋"/>
          <w:sz w:val="28"/>
          <w:szCs w:val="28"/>
        </w:rPr>
      </w:pPr>
      <w:r>
        <w:rPr>
          <w:rFonts w:hint="eastAsia" w:ascii="仿宋" w:hAnsi="仿宋" w:eastAsia="仿宋" w:cs="仿宋"/>
          <w:sz w:val="28"/>
          <w:szCs w:val="28"/>
        </w:rPr>
        <w:t>23.1本合同期限为3年，自20</w:t>
      </w:r>
      <w:r>
        <w:rPr>
          <w:rFonts w:hint="eastAsia" w:ascii="仿宋" w:hAnsi="仿宋" w:eastAsia="仿宋" w:cs="仿宋"/>
          <w:sz w:val="28"/>
          <w:szCs w:val="28"/>
          <w:u w:val="single"/>
        </w:rPr>
        <w:t>20年 月 日</w:t>
      </w:r>
      <w:r>
        <w:rPr>
          <w:rFonts w:hint="eastAsia" w:ascii="仿宋" w:hAnsi="仿宋" w:eastAsia="仿宋" w:cs="仿宋"/>
          <w:sz w:val="28"/>
          <w:szCs w:val="28"/>
        </w:rPr>
        <w:t>起始至</w:t>
      </w:r>
      <w:r>
        <w:rPr>
          <w:rFonts w:hint="eastAsia" w:ascii="仿宋" w:hAnsi="仿宋" w:eastAsia="仿宋" w:cs="仿宋"/>
          <w:sz w:val="28"/>
          <w:szCs w:val="28"/>
          <w:u w:val="single"/>
        </w:rPr>
        <w:t>2023年  月 日</w:t>
      </w:r>
      <w:r>
        <w:rPr>
          <w:rFonts w:hint="eastAsia" w:ascii="仿宋" w:hAnsi="仿宋" w:eastAsia="仿宋" w:cs="仿宋"/>
          <w:sz w:val="28"/>
          <w:szCs w:val="28"/>
        </w:rPr>
        <w:t>止。</w:t>
      </w:r>
    </w:p>
    <w:p>
      <w:pPr>
        <w:tabs>
          <w:tab w:val="left" w:pos="360"/>
        </w:tabs>
        <w:spacing w:after="60" w:line="500" w:lineRule="exact"/>
        <w:ind w:firstLine="560" w:firstLineChars="200"/>
        <w:rPr>
          <w:rFonts w:ascii="仿宋" w:hAnsi="仿宋" w:eastAsia="仿宋" w:cs="仿宋"/>
          <w:sz w:val="28"/>
          <w:szCs w:val="28"/>
        </w:rPr>
      </w:pPr>
      <w:r>
        <w:rPr>
          <w:rFonts w:hint="eastAsia" w:ascii="仿宋" w:hAnsi="仿宋" w:eastAsia="仿宋" w:cs="仿宋"/>
          <w:sz w:val="28"/>
          <w:szCs w:val="28"/>
        </w:rPr>
        <w:t>23.2本合同一式伍份，具有同等法律效力，甲方执叁份、乙方执贰份。</w:t>
      </w:r>
      <w:bookmarkStart w:id="12" w:name="_Toc81879424"/>
    </w:p>
    <w:p>
      <w:pPr>
        <w:tabs>
          <w:tab w:val="left" w:pos="360"/>
        </w:tabs>
        <w:spacing w:after="60"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二十四、合同未尽事宜：</w:t>
      </w:r>
      <w:bookmarkEnd w:id="12"/>
    </w:p>
    <w:p>
      <w:pPr>
        <w:tabs>
          <w:tab w:val="left" w:pos="420"/>
        </w:tabs>
        <w:spacing w:afterLines="50" w:line="50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合同中未尽事宜，甲乙双方应友好协商，按国家有关法律、法规执行。</w:t>
      </w:r>
      <w:r>
        <w:rPr>
          <w:rFonts w:hint="eastAsia" w:ascii="仿宋" w:hAnsi="仿宋" w:eastAsia="仿宋" w:cs="仿宋"/>
          <w:color w:val="000000"/>
          <w:sz w:val="28"/>
          <w:szCs w:val="28"/>
        </w:rPr>
        <w:t>违反本合同约定，违约方应当按照《中华人民共和国合同法》《中华人民共和国政府采购法》有关条款的规定，或按双方协商结果，承担违约责任。</w:t>
      </w:r>
    </w:p>
    <w:p>
      <w:pPr>
        <w:pStyle w:val="62"/>
        <w:spacing w:line="500" w:lineRule="exact"/>
        <w:ind w:firstLine="562" w:firstLineChars="200"/>
        <w:rPr>
          <w:rFonts w:ascii="仿宋" w:hAnsi="仿宋" w:eastAsia="仿宋" w:cs="仿宋"/>
          <w:b/>
          <w:kern w:val="2"/>
          <w:sz w:val="28"/>
          <w:szCs w:val="28"/>
        </w:rPr>
      </w:pPr>
      <w:r>
        <w:rPr>
          <w:rFonts w:hint="eastAsia" w:ascii="仿宋" w:hAnsi="仿宋" w:eastAsia="仿宋" w:cs="仿宋"/>
          <w:b/>
          <w:kern w:val="2"/>
          <w:sz w:val="28"/>
          <w:szCs w:val="28"/>
        </w:rPr>
        <w:t>二十五、合同生效及审核</w:t>
      </w:r>
    </w:p>
    <w:p>
      <w:pPr>
        <w:pStyle w:val="62"/>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本合同经甲方、乙方授权代表签字盖章后生效，合同签订的内容不能超出谈判（招标）文件和响应（投标）文件的实质性内容。</w:t>
      </w:r>
    </w:p>
    <w:p>
      <w:pPr>
        <w:widowControl/>
        <w:shd w:val="clear" w:color="auto" w:fill="FFFFFF"/>
        <w:adjustRightInd w:val="0"/>
        <w:snapToGrid w:val="0"/>
        <w:spacing w:line="500" w:lineRule="exact"/>
        <w:ind w:firstLine="2389" w:firstLineChars="850"/>
        <w:jc w:val="left"/>
        <w:rPr>
          <w:rFonts w:ascii="仿宋" w:hAnsi="仿宋" w:eastAsia="仿宋" w:cs="仿宋"/>
          <w:b/>
          <w:sz w:val="28"/>
          <w:szCs w:val="28"/>
        </w:rPr>
      </w:pPr>
      <w:r>
        <w:rPr>
          <w:rFonts w:hint="eastAsia" w:ascii="仿宋" w:hAnsi="仿宋" w:eastAsia="仿宋" w:cs="仿宋"/>
          <w:b/>
          <w:sz w:val="28"/>
          <w:szCs w:val="28"/>
        </w:rPr>
        <w:br w:type="page"/>
      </w:r>
      <w:bookmarkStart w:id="13" w:name="_Toc511997113"/>
      <w:r>
        <w:rPr>
          <w:rFonts w:hint="eastAsia" w:ascii="仿宋" w:hAnsi="仿宋" w:eastAsia="仿宋" w:cs="仿宋"/>
          <w:b/>
          <w:sz w:val="28"/>
          <w:szCs w:val="28"/>
        </w:rPr>
        <w:t>第六部分  质疑提出和处理</w:t>
      </w:r>
      <w:bookmarkEnd w:id="13"/>
    </w:p>
    <w:p>
      <w:pPr>
        <w:autoSpaceDE w:val="0"/>
        <w:autoSpaceDN w:val="0"/>
        <w:adjustRightInd w:val="0"/>
        <w:snapToGrid w:val="0"/>
        <w:spacing w:line="500" w:lineRule="exact"/>
        <w:ind w:firstLine="562" w:firstLineChars="200"/>
        <w:contextualSpacing/>
        <w:rPr>
          <w:rFonts w:ascii="仿宋" w:hAnsi="仿宋" w:eastAsia="仿宋" w:cs="仿宋"/>
          <w:b/>
          <w:kern w:val="0"/>
          <w:sz w:val="28"/>
          <w:szCs w:val="28"/>
        </w:rPr>
      </w:pPr>
      <w:r>
        <w:rPr>
          <w:rFonts w:hint="eastAsia" w:ascii="仿宋" w:hAnsi="仿宋" w:eastAsia="仿宋" w:cs="仿宋"/>
          <w:b/>
          <w:kern w:val="0"/>
          <w:sz w:val="28"/>
          <w:szCs w:val="28"/>
        </w:rPr>
        <w:t>一、质疑的提出</w:t>
      </w:r>
    </w:p>
    <w:p>
      <w:pPr>
        <w:autoSpaceDE w:val="0"/>
        <w:autoSpaceDN w:val="0"/>
        <w:adjustRightInd w:val="0"/>
        <w:snapToGrid w:val="0"/>
        <w:spacing w:line="500" w:lineRule="exact"/>
        <w:ind w:firstLine="560" w:firstLineChars="200"/>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1.质疑人必须是直接参加本次谈判采购活动的当事人。</w:t>
      </w:r>
    </w:p>
    <w:p>
      <w:pPr>
        <w:autoSpaceDE w:val="0"/>
        <w:autoSpaceDN w:val="0"/>
        <w:adjustRightInd w:val="0"/>
        <w:snapToGrid w:val="0"/>
        <w:spacing w:line="500" w:lineRule="exact"/>
        <w:ind w:firstLine="560" w:firstLineChars="200"/>
        <w:contextualSpacing/>
        <w:rPr>
          <w:rFonts w:ascii="仿宋" w:hAnsi="仿宋" w:eastAsia="仿宋" w:cs="仿宋"/>
          <w:kern w:val="0"/>
          <w:sz w:val="28"/>
          <w:szCs w:val="28"/>
          <w:lang w:val="zh-CN"/>
        </w:rPr>
      </w:pPr>
      <w:r>
        <w:rPr>
          <w:rFonts w:hint="eastAsia" w:ascii="仿宋" w:hAnsi="仿宋" w:eastAsia="仿宋" w:cs="仿宋"/>
          <w:sz w:val="28"/>
          <w:szCs w:val="28"/>
        </w:rPr>
        <w:t>2.领取谈判采购文件的供应商应根据第二部分“供应商谈判须知”中</w:t>
      </w:r>
      <w:r>
        <w:rPr>
          <w:rFonts w:hint="eastAsia" w:ascii="仿宋" w:hAnsi="仿宋" w:eastAsia="仿宋" w:cs="仿宋"/>
          <w:color w:val="000000" w:themeColor="text1"/>
          <w:sz w:val="28"/>
          <w:szCs w:val="28"/>
        </w:rPr>
        <w:t>“第一款”“第14项、15项”</w:t>
      </w:r>
      <w:r>
        <w:rPr>
          <w:rFonts w:hint="eastAsia" w:ascii="仿宋" w:hAnsi="仿宋" w:eastAsia="仿宋" w:cs="仿宋"/>
          <w:sz w:val="28"/>
          <w:szCs w:val="28"/>
        </w:rPr>
        <w:t>的约定提出；响应文件接收截止后，供应商未进行响应登记的，不能就响应文件接收截止后的采购过程、成交结果提出质疑；在开标谈判过程中，凡主持人或谈判小组明确提出须由响应人确认的事项，响应人当场无异议的，事后不得提出质疑。</w:t>
      </w:r>
    </w:p>
    <w:p>
      <w:pPr>
        <w:autoSpaceDE w:val="0"/>
        <w:autoSpaceDN w:val="0"/>
        <w:adjustRightInd w:val="0"/>
        <w:snapToGrid w:val="0"/>
        <w:spacing w:line="500" w:lineRule="exact"/>
        <w:ind w:firstLine="560" w:firstLineChars="200"/>
        <w:contextualSpacing/>
        <w:rPr>
          <w:rFonts w:ascii="仿宋" w:hAnsi="仿宋" w:eastAsia="仿宋" w:cs="仿宋"/>
          <w:kern w:val="0"/>
          <w:sz w:val="28"/>
          <w:szCs w:val="28"/>
          <w:lang w:val="zh-CN"/>
        </w:rPr>
      </w:pPr>
      <w:r>
        <w:rPr>
          <w:rFonts w:hint="eastAsia" w:ascii="仿宋" w:hAnsi="仿宋" w:eastAsia="仿宋" w:cs="仿宋"/>
          <w:kern w:val="0"/>
          <w:sz w:val="28"/>
          <w:szCs w:val="28"/>
        </w:rPr>
        <w:t>3</w:t>
      </w:r>
      <w:r>
        <w:rPr>
          <w:rFonts w:hint="eastAsia" w:ascii="仿宋" w:hAnsi="仿宋" w:eastAsia="仿宋" w:cs="仿宋"/>
          <w:kern w:val="0"/>
          <w:sz w:val="28"/>
          <w:szCs w:val="28"/>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及采购单位不具有法定调查、认定权限。</w:t>
      </w:r>
    </w:p>
    <w:p>
      <w:pPr>
        <w:snapToGrid w:val="0"/>
        <w:spacing w:line="500" w:lineRule="exact"/>
        <w:ind w:firstLine="560" w:firstLineChars="200"/>
        <w:contextualSpacing/>
        <w:rPr>
          <w:rFonts w:ascii="仿宋" w:hAnsi="仿宋" w:eastAsia="仿宋" w:cs="仿宋"/>
          <w:kern w:val="0"/>
          <w:sz w:val="28"/>
          <w:szCs w:val="28"/>
        </w:rPr>
      </w:pPr>
      <w:r>
        <w:rPr>
          <w:rFonts w:hint="eastAsia" w:ascii="仿宋" w:hAnsi="仿宋" w:eastAsia="仿宋" w:cs="仿宋"/>
          <w:sz w:val="28"/>
          <w:szCs w:val="28"/>
        </w:rPr>
        <w:t>4.对本次谈判采购有质疑的，实行实名制，不得进行虚假、恶意质疑。质疑人应在质疑有效期内以书面形式</w:t>
      </w:r>
      <w:r>
        <w:rPr>
          <w:rFonts w:hint="eastAsia" w:ascii="仿宋" w:hAnsi="仿宋" w:eastAsia="仿宋" w:cs="仿宋"/>
          <w:kern w:val="0"/>
          <w:sz w:val="28"/>
          <w:szCs w:val="28"/>
          <w:lang w:val="zh-CN"/>
        </w:rPr>
        <w:t>提出《质疑函》（格式请到南通政府采购网上下载）</w:t>
      </w:r>
      <w:r>
        <w:rPr>
          <w:rFonts w:hint="eastAsia" w:ascii="仿宋" w:hAnsi="仿宋" w:eastAsia="仿宋" w:cs="仿宋"/>
          <w:sz w:val="28"/>
          <w:szCs w:val="28"/>
        </w:rPr>
        <w:t>，《质疑函》内容应</w:t>
      </w:r>
      <w:r>
        <w:rPr>
          <w:rFonts w:hint="eastAsia" w:ascii="仿宋" w:hAnsi="仿宋" w:eastAsia="仿宋" w:cs="仿宋"/>
          <w:kern w:val="0"/>
          <w:sz w:val="28"/>
          <w:szCs w:val="28"/>
          <w:lang w:val="zh-CN"/>
        </w:rPr>
        <w:t>包括</w:t>
      </w:r>
      <w:r>
        <w:rPr>
          <w:rFonts w:hint="eastAsia" w:ascii="仿宋" w:hAnsi="仿宋" w:eastAsia="仿宋" w:cs="仿宋"/>
          <w:sz w:val="28"/>
          <w:szCs w:val="28"/>
        </w:rPr>
        <w:t>质疑事项、主要内容、事实依据、适应法规条款、佐证材料等。同时，</w:t>
      </w:r>
      <w:r>
        <w:rPr>
          <w:rFonts w:hint="eastAsia" w:ascii="仿宋" w:hAnsi="仿宋" w:eastAsia="仿宋" w:cs="仿宋"/>
          <w:kern w:val="0"/>
          <w:sz w:val="28"/>
          <w:szCs w:val="28"/>
        </w:rPr>
        <w:t>质疑人应保证其提出的质疑内容及</w:t>
      </w:r>
      <w:r>
        <w:rPr>
          <w:rFonts w:hint="eastAsia" w:ascii="仿宋" w:hAnsi="仿宋" w:eastAsia="仿宋" w:cs="仿宋"/>
          <w:sz w:val="28"/>
          <w:szCs w:val="28"/>
        </w:rPr>
        <w:t>相关佐证材料</w:t>
      </w:r>
      <w:r>
        <w:rPr>
          <w:rFonts w:hint="eastAsia" w:ascii="仿宋" w:hAnsi="仿宋" w:eastAsia="仿宋" w:cs="仿宋"/>
          <w:kern w:val="0"/>
          <w:sz w:val="28"/>
          <w:szCs w:val="28"/>
        </w:rPr>
        <w:t>的真实性及来源的合法性，并承担相应的法律责任。</w:t>
      </w:r>
    </w:p>
    <w:p>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kern w:val="0"/>
          <w:sz w:val="28"/>
          <w:szCs w:val="28"/>
          <w:lang w:val="zh-CN"/>
        </w:rPr>
        <w:t>对不能提供</w:t>
      </w:r>
      <w:r>
        <w:rPr>
          <w:rFonts w:hint="eastAsia" w:ascii="仿宋" w:hAnsi="仿宋" w:eastAsia="仿宋" w:cs="仿宋"/>
          <w:sz w:val="28"/>
          <w:szCs w:val="28"/>
        </w:rPr>
        <w:t>相关佐证材料的、涉及商业秘密的、非书面形式的、非送达的、匿名的《质疑函》将不予受理。</w:t>
      </w:r>
    </w:p>
    <w:p>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相关佐证材料要具备客观性、关联性、合法性，无法查实的（如宣传册、媒体报道、猜测、推理等）不能作为佐证材料。</w:t>
      </w:r>
    </w:p>
    <w:p>
      <w:pPr>
        <w:snapToGrid w:val="0"/>
        <w:spacing w:line="500" w:lineRule="exact"/>
        <w:ind w:firstLine="560" w:firstLineChars="200"/>
        <w:contextualSpacing/>
        <w:rPr>
          <w:rFonts w:ascii="仿宋" w:hAnsi="仿宋" w:eastAsia="仿宋" w:cs="仿宋"/>
          <w:kern w:val="0"/>
          <w:sz w:val="28"/>
          <w:szCs w:val="28"/>
        </w:rPr>
      </w:pPr>
      <w:r>
        <w:rPr>
          <w:rFonts w:hint="eastAsia" w:ascii="仿宋" w:hAnsi="仿宋" w:eastAsia="仿宋" w:cs="仿宋"/>
          <w:sz w:val="28"/>
          <w:szCs w:val="28"/>
        </w:rPr>
        <w:t>采购人及采购单位</w:t>
      </w:r>
      <w:r>
        <w:rPr>
          <w:rFonts w:hint="eastAsia" w:ascii="仿宋" w:hAnsi="仿宋" w:eastAsia="仿宋" w:cs="仿宋"/>
          <w:kern w:val="0"/>
          <w:sz w:val="28"/>
          <w:szCs w:val="28"/>
        </w:rPr>
        <w:t>不负责搜集相关佐证材料等工作。</w:t>
      </w:r>
    </w:p>
    <w:p>
      <w:pPr>
        <w:autoSpaceDE w:val="0"/>
        <w:autoSpaceDN w:val="0"/>
        <w:adjustRightInd w:val="0"/>
        <w:snapToGrid w:val="0"/>
        <w:spacing w:line="50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二、《质疑函》的受理和回复</w:t>
      </w:r>
    </w:p>
    <w:p>
      <w:pPr>
        <w:autoSpaceDE w:val="0"/>
        <w:autoSpaceDN w:val="0"/>
        <w:adjustRightInd w:val="0"/>
        <w:snapToGrid w:val="0"/>
        <w:spacing w:line="500" w:lineRule="exact"/>
        <w:ind w:firstLine="560" w:firstLineChars="200"/>
        <w:contextualSpacing/>
        <w:rPr>
          <w:rFonts w:ascii="仿宋" w:hAnsi="仿宋" w:eastAsia="仿宋" w:cs="仿宋"/>
          <w:kern w:val="0"/>
          <w:sz w:val="28"/>
          <w:szCs w:val="28"/>
          <w:lang w:val="zh-CN"/>
        </w:rPr>
      </w:pPr>
      <w:r>
        <w:rPr>
          <w:rFonts w:hint="eastAsia" w:ascii="仿宋" w:hAnsi="仿宋" w:eastAsia="仿宋" w:cs="仿宋"/>
          <w:sz w:val="28"/>
          <w:szCs w:val="28"/>
        </w:rPr>
        <w:t>1.《质疑函》须由质疑人的法定代表人或参加本次谈判授权人</w:t>
      </w:r>
      <w:r>
        <w:rPr>
          <w:rFonts w:hint="eastAsia" w:ascii="仿宋" w:hAnsi="仿宋" w:eastAsia="仿宋" w:cs="仿宋"/>
          <w:kern w:val="0"/>
          <w:sz w:val="28"/>
          <w:szCs w:val="28"/>
          <w:lang w:val="zh-CN"/>
        </w:rPr>
        <w:t>送达采购单位及采购人。</w:t>
      </w:r>
    </w:p>
    <w:p>
      <w:pPr>
        <w:autoSpaceDE w:val="0"/>
        <w:autoSpaceDN w:val="0"/>
        <w:adjustRightInd w:val="0"/>
        <w:snapToGrid w:val="0"/>
        <w:spacing w:line="500" w:lineRule="exact"/>
        <w:ind w:firstLine="560" w:firstLineChars="200"/>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2.对符合提出质疑要求的，采购人及采购单位签收并出具《质疑受理通知书》。在处理过程中，发现需要质疑人进一步补充相关佐证材料的，请质疑人在规定的时间内提供，质疑回复时间相应顺延。质疑人不能按时提供相关佐证材料的，视同放弃质疑。</w:t>
      </w:r>
    </w:p>
    <w:p>
      <w:pPr>
        <w:autoSpaceDE w:val="0"/>
        <w:autoSpaceDN w:val="0"/>
        <w:adjustRightInd w:val="0"/>
        <w:snapToGrid w:val="0"/>
        <w:spacing w:line="500" w:lineRule="exact"/>
        <w:ind w:firstLine="560" w:firstLineChars="200"/>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3.对不符合提出质疑要求的，出具《质疑退回通知书》并提出相关补充材料要求，质疑人未在规定的时间内提供补充佐证材料的，视同放弃质疑。</w:t>
      </w:r>
    </w:p>
    <w:p>
      <w:pPr>
        <w:autoSpaceDE w:val="0"/>
        <w:autoSpaceDN w:val="0"/>
        <w:adjustRightInd w:val="0"/>
        <w:snapToGrid w:val="0"/>
        <w:spacing w:line="500" w:lineRule="exact"/>
        <w:ind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lang w:val="zh-CN"/>
        </w:rPr>
        <w:t>4.采购</w:t>
      </w:r>
      <w:r>
        <w:rPr>
          <w:rFonts w:hint="eastAsia" w:ascii="仿宋" w:hAnsi="仿宋" w:eastAsia="仿宋" w:cs="仿宋"/>
          <w:kern w:val="0"/>
          <w:sz w:val="28"/>
          <w:szCs w:val="28"/>
        </w:rPr>
        <w:t>人及</w:t>
      </w:r>
      <w:r>
        <w:rPr>
          <w:rFonts w:hint="eastAsia" w:ascii="仿宋" w:hAnsi="仿宋" w:eastAsia="仿宋" w:cs="仿宋"/>
          <w:kern w:val="0"/>
          <w:sz w:val="28"/>
          <w:szCs w:val="28"/>
          <w:lang w:val="zh-CN"/>
        </w:rPr>
        <w:t>采购单位</w:t>
      </w:r>
      <w:r>
        <w:rPr>
          <w:rFonts w:hint="eastAsia" w:ascii="仿宋" w:hAnsi="仿宋" w:eastAsia="仿宋" w:cs="仿宋"/>
          <w:kern w:val="0"/>
          <w:sz w:val="28"/>
          <w:szCs w:val="28"/>
        </w:rPr>
        <w:t>负责将质疑人提出的质疑相关材料提供给相关专家或评委审核，并将审核意见回复质疑人。</w:t>
      </w:r>
    </w:p>
    <w:p>
      <w:pPr>
        <w:widowControl/>
        <w:tabs>
          <w:tab w:val="left" w:pos="0"/>
        </w:tabs>
        <w:snapToGrid w:val="0"/>
        <w:spacing w:line="500" w:lineRule="exact"/>
        <w:ind w:firstLine="560" w:firstLineChars="200"/>
        <w:contextualSpacing/>
        <w:rPr>
          <w:rFonts w:ascii="仿宋" w:hAnsi="仿宋" w:eastAsia="仿宋" w:cs="仿宋"/>
          <w:kern w:val="0"/>
          <w:sz w:val="28"/>
          <w:szCs w:val="28"/>
        </w:rPr>
      </w:pPr>
      <w:r>
        <w:rPr>
          <w:rFonts w:hint="eastAsia" w:ascii="仿宋" w:hAnsi="仿宋" w:eastAsia="仿宋" w:cs="仿宋"/>
          <w:sz w:val="28"/>
          <w:szCs w:val="28"/>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pPr>
        <w:autoSpaceDE w:val="0"/>
        <w:autoSpaceDN w:val="0"/>
        <w:adjustRightInd w:val="0"/>
        <w:snapToGrid w:val="0"/>
        <w:spacing w:line="500" w:lineRule="exact"/>
        <w:ind w:firstLine="560" w:firstLineChars="200"/>
        <w:contextualSpacing/>
        <w:rPr>
          <w:rFonts w:ascii="仿宋" w:hAnsi="仿宋" w:eastAsia="仿宋" w:cs="仿宋"/>
          <w:kern w:val="0"/>
          <w:sz w:val="28"/>
          <w:szCs w:val="28"/>
          <w:lang w:val="zh-CN"/>
        </w:rPr>
      </w:pPr>
      <w:r>
        <w:rPr>
          <w:rFonts w:hint="eastAsia" w:ascii="仿宋" w:hAnsi="仿宋" w:eastAsia="仿宋" w:cs="仿宋"/>
          <w:kern w:val="0"/>
          <w:sz w:val="28"/>
          <w:szCs w:val="28"/>
        </w:rPr>
        <w:t>5.</w:t>
      </w:r>
      <w:r>
        <w:rPr>
          <w:rFonts w:hint="eastAsia" w:ascii="仿宋" w:hAnsi="仿宋" w:eastAsia="仿宋" w:cs="仿宋"/>
          <w:kern w:val="0"/>
          <w:sz w:val="28"/>
          <w:szCs w:val="28"/>
          <w:lang w:val="zh-CN"/>
        </w:rPr>
        <w:t>因质疑情况复杂，组织论证或审查时间较长的，采购人及采购单位以书面形式通知质疑人，可适当延长质疑回复处理时间。</w:t>
      </w:r>
    </w:p>
    <w:p>
      <w:pPr>
        <w:autoSpaceDE w:val="0"/>
        <w:autoSpaceDN w:val="0"/>
        <w:adjustRightInd w:val="0"/>
        <w:snapToGrid w:val="0"/>
        <w:spacing w:line="500" w:lineRule="exact"/>
        <w:ind w:firstLine="562" w:firstLineChars="200"/>
        <w:contextualSpacing/>
        <w:rPr>
          <w:rFonts w:ascii="仿宋" w:hAnsi="仿宋" w:eastAsia="仿宋" w:cs="仿宋"/>
          <w:b/>
          <w:kern w:val="0"/>
          <w:sz w:val="28"/>
          <w:szCs w:val="28"/>
          <w:lang w:val="zh-CN"/>
        </w:rPr>
      </w:pPr>
      <w:r>
        <w:rPr>
          <w:rFonts w:hint="eastAsia" w:ascii="仿宋" w:hAnsi="仿宋" w:eastAsia="仿宋" w:cs="仿宋"/>
          <w:b/>
          <w:kern w:val="0"/>
          <w:sz w:val="28"/>
          <w:szCs w:val="28"/>
          <w:lang w:val="zh-CN"/>
        </w:rPr>
        <w:t>三、质疑处理</w:t>
      </w:r>
    </w:p>
    <w:p>
      <w:pPr>
        <w:autoSpaceDE w:val="0"/>
        <w:autoSpaceDN w:val="0"/>
        <w:adjustRightInd w:val="0"/>
        <w:snapToGrid w:val="0"/>
        <w:spacing w:line="500" w:lineRule="exact"/>
        <w:ind w:firstLine="700" w:firstLineChars="250"/>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1.质疑成立的处理。采购人终止采购，并建议有关部门给相关当事人予以处理。</w:t>
      </w:r>
    </w:p>
    <w:p>
      <w:pPr>
        <w:snapToGrid w:val="0"/>
        <w:spacing w:line="500" w:lineRule="exact"/>
        <w:ind w:firstLine="570"/>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2.质疑不成立的处理。</w:t>
      </w:r>
    </w:p>
    <w:p>
      <w:pPr>
        <w:snapToGrid w:val="0"/>
        <w:spacing w:line="500" w:lineRule="exact"/>
        <w:ind w:firstLine="570"/>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1）质疑人书面《申请撤回质疑函》的，不作违约处理。</w:t>
      </w:r>
    </w:p>
    <w:p>
      <w:pPr>
        <w:snapToGrid w:val="0"/>
        <w:spacing w:line="500" w:lineRule="exact"/>
        <w:ind w:firstLine="560" w:firstLineChars="200"/>
        <w:contextualSpacing/>
        <w:rPr>
          <w:rFonts w:ascii="仿宋" w:hAnsi="仿宋" w:eastAsia="仿宋" w:cs="仿宋"/>
          <w:kern w:val="0"/>
          <w:sz w:val="28"/>
          <w:szCs w:val="28"/>
          <w:lang w:val="zh-CN"/>
        </w:rPr>
      </w:pPr>
      <w:r>
        <w:rPr>
          <w:rFonts w:hint="eastAsia" w:ascii="仿宋" w:hAnsi="仿宋" w:eastAsia="仿宋" w:cs="仿宋"/>
          <w:sz w:val="28"/>
          <w:szCs w:val="28"/>
        </w:rPr>
        <w:t>2）质疑人在规定的时间内不配合进行质疑调查处理的，按自动撤回《质疑函》处理。</w:t>
      </w:r>
    </w:p>
    <w:p>
      <w:pPr>
        <w:snapToGrid w:val="0"/>
        <w:spacing w:line="500" w:lineRule="exact"/>
        <w:ind w:firstLine="560" w:firstLineChars="200"/>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3）质疑人不按《质疑函》格式就提出质疑的，作违约处理。采购</w:t>
      </w:r>
      <w:r>
        <w:rPr>
          <w:rFonts w:hint="eastAsia" w:ascii="仿宋" w:hAnsi="仿宋" w:eastAsia="仿宋" w:cs="仿宋"/>
          <w:sz w:val="28"/>
          <w:szCs w:val="28"/>
        </w:rPr>
        <w:t>人有权收取其保证金的10%作为违约金；同时，视情</w:t>
      </w:r>
      <w:r>
        <w:rPr>
          <w:rFonts w:hint="eastAsia" w:ascii="仿宋" w:hAnsi="仿宋" w:eastAsia="仿宋" w:cs="仿宋"/>
          <w:kern w:val="0"/>
          <w:sz w:val="28"/>
          <w:szCs w:val="28"/>
          <w:lang w:val="zh-CN"/>
        </w:rPr>
        <w:t>列入不良供应商名单。</w:t>
      </w:r>
    </w:p>
    <w:p>
      <w:pPr>
        <w:snapToGrid w:val="0"/>
        <w:spacing w:line="500" w:lineRule="exact"/>
        <w:ind w:firstLine="537" w:firstLineChars="192"/>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4）质疑人虽提供了相关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，但不能证明其质疑成立的，采购人请质疑人补充相关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，仍不能证明其质疑成立的，作违约处理。采购</w:t>
      </w:r>
      <w:r>
        <w:rPr>
          <w:rFonts w:hint="eastAsia" w:ascii="仿宋" w:hAnsi="仿宋" w:eastAsia="仿宋" w:cs="仿宋"/>
          <w:sz w:val="28"/>
          <w:szCs w:val="28"/>
        </w:rPr>
        <w:t>人有权收取其保证金的50%作为违约金；同时，</w:t>
      </w:r>
      <w:r>
        <w:rPr>
          <w:rFonts w:hint="eastAsia" w:ascii="仿宋" w:hAnsi="仿宋" w:eastAsia="仿宋" w:cs="仿宋"/>
          <w:kern w:val="0"/>
          <w:sz w:val="28"/>
          <w:szCs w:val="28"/>
          <w:lang w:val="zh-CN"/>
        </w:rPr>
        <w:t>列入不良供应商名单。</w:t>
      </w:r>
    </w:p>
    <w:p>
      <w:pPr>
        <w:snapToGrid w:val="0"/>
        <w:spacing w:line="500" w:lineRule="exact"/>
        <w:ind w:firstLine="537" w:firstLineChars="192"/>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5）质疑人不能提供相关</w:t>
      </w:r>
      <w:r>
        <w:rPr>
          <w:rFonts w:hint="eastAsia" w:ascii="仿宋" w:hAnsi="仿宋" w:eastAsia="仿宋" w:cs="仿宋"/>
          <w:sz w:val="28"/>
          <w:szCs w:val="28"/>
        </w:rPr>
        <w:t>佐证材料</w:t>
      </w:r>
      <w:r>
        <w:rPr>
          <w:rFonts w:hint="eastAsia" w:ascii="仿宋" w:hAnsi="仿宋" w:eastAsia="仿宋" w:cs="仿宋"/>
          <w:kern w:val="0"/>
          <w:sz w:val="28"/>
          <w:szCs w:val="28"/>
          <w:lang w:val="zh-CN"/>
        </w:rPr>
        <w:t>的，采购人已指出，质疑人仍然坚持提出质疑的，作违约处理。采购</w:t>
      </w:r>
      <w:r>
        <w:rPr>
          <w:rFonts w:hint="eastAsia" w:ascii="仿宋" w:hAnsi="仿宋" w:eastAsia="仿宋" w:cs="仿宋"/>
          <w:sz w:val="28"/>
          <w:szCs w:val="28"/>
        </w:rPr>
        <w:t>人有权收取其保证金的100%作为违约金；取消相应会员资格6个月，同时，</w:t>
      </w:r>
      <w:r>
        <w:rPr>
          <w:rFonts w:hint="eastAsia" w:ascii="仿宋" w:hAnsi="仿宋" w:eastAsia="仿宋" w:cs="仿宋"/>
          <w:kern w:val="0"/>
          <w:sz w:val="28"/>
          <w:szCs w:val="28"/>
          <w:lang w:val="zh-CN"/>
        </w:rPr>
        <w:t>列入不良供应商名单。</w:t>
      </w:r>
    </w:p>
    <w:p>
      <w:pPr>
        <w:snapToGrid w:val="0"/>
        <w:spacing w:line="500" w:lineRule="exact"/>
        <w:ind w:firstLine="537" w:firstLineChars="192"/>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6）对明显有违背事实的、经相关专家或评委认定无依据的、经其他响应人举证无依据的质疑，作违约处理，采购</w:t>
      </w:r>
      <w:r>
        <w:rPr>
          <w:rFonts w:hint="eastAsia" w:ascii="仿宋" w:hAnsi="仿宋" w:eastAsia="仿宋" w:cs="仿宋"/>
          <w:sz w:val="28"/>
          <w:szCs w:val="28"/>
        </w:rPr>
        <w:t>人有权取消其会员资格，收取其保证金的100%作为违约金，</w:t>
      </w:r>
      <w:r>
        <w:rPr>
          <w:rFonts w:hint="eastAsia" w:ascii="仿宋" w:hAnsi="仿宋" w:eastAsia="仿宋" w:cs="仿宋"/>
          <w:kern w:val="0"/>
          <w:sz w:val="28"/>
          <w:szCs w:val="28"/>
          <w:lang w:val="zh-CN"/>
        </w:rPr>
        <w:t>列入不良供应商名单；</w:t>
      </w:r>
      <w:r>
        <w:rPr>
          <w:rFonts w:hint="eastAsia" w:ascii="仿宋" w:hAnsi="仿宋" w:eastAsia="仿宋" w:cs="仿宋"/>
          <w:sz w:val="28"/>
          <w:szCs w:val="28"/>
        </w:rPr>
        <w:t>同时，</w:t>
      </w:r>
      <w:r>
        <w:rPr>
          <w:rFonts w:hint="eastAsia" w:ascii="仿宋" w:hAnsi="仿宋" w:eastAsia="仿宋" w:cs="仿宋"/>
          <w:kern w:val="0"/>
          <w:sz w:val="28"/>
          <w:szCs w:val="28"/>
          <w:lang w:val="zh-CN"/>
        </w:rPr>
        <w:t>对其中每一项不成立的质疑给予质疑人1年内禁入由采购人组织的采购活动的违约处理，依次类推；视情在南通相关媒体予以披露。</w:t>
      </w:r>
    </w:p>
    <w:p>
      <w:pPr>
        <w:snapToGrid w:val="0"/>
        <w:spacing w:line="500" w:lineRule="exact"/>
        <w:ind w:firstLine="537" w:firstLineChars="192"/>
        <w:contextualSpacing/>
        <w:rPr>
          <w:rFonts w:ascii="仿宋" w:hAnsi="仿宋" w:eastAsia="仿宋" w:cs="仿宋"/>
          <w:kern w:val="0"/>
          <w:sz w:val="28"/>
          <w:szCs w:val="28"/>
          <w:lang w:val="zh-CN"/>
        </w:rPr>
      </w:pPr>
      <w:r>
        <w:rPr>
          <w:rFonts w:hint="eastAsia" w:ascii="仿宋" w:hAnsi="仿宋" w:eastAsia="仿宋" w:cs="仿宋"/>
          <w:kern w:val="0"/>
          <w:sz w:val="28"/>
          <w:szCs w:val="28"/>
          <w:lang w:val="zh-CN"/>
        </w:rPr>
        <w:t>7）</w:t>
      </w:r>
      <w:r>
        <w:rPr>
          <w:rFonts w:hint="eastAsia" w:ascii="仿宋" w:hAnsi="仿宋" w:eastAsia="仿宋" w:cs="仿宋"/>
          <w:sz w:val="28"/>
          <w:szCs w:val="28"/>
        </w:rPr>
        <w:t>质疑人</w:t>
      </w:r>
      <w:r>
        <w:rPr>
          <w:rFonts w:hint="eastAsia" w:ascii="仿宋" w:hAnsi="仿宋" w:eastAsia="仿宋" w:cs="仿宋"/>
          <w:kern w:val="0"/>
          <w:sz w:val="28"/>
          <w:szCs w:val="28"/>
          <w:lang w:val="zh-CN"/>
        </w:rPr>
        <w:t>承担使用虚假材料或恶意方式质疑的法律责任。</w:t>
      </w:r>
    </w:p>
    <w:p>
      <w:pPr>
        <w:autoSpaceDE w:val="0"/>
        <w:autoSpaceDN w:val="0"/>
        <w:adjustRightInd w:val="0"/>
        <w:snapToGrid w:val="0"/>
        <w:spacing w:line="500" w:lineRule="exact"/>
        <w:contextualSpacing/>
        <w:rPr>
          <w:rFonts w:ascii="仿宋" w:hAnsi="仿宋" w:eastAsia="仿宋" w:cs="仿宋"/>
          <w:b/>
          <w:kern w:val="0"/>
          <w:sz w:val="28"/>
          <w:szCs w:val="28"/>
          <w:lang w:val="zh-CN"/>
        </w:rPr>
      </w:pPr>
      <w:r>
        <w:rPr>
          <w:rFonts w:hint="eastAsia" w:ascii="仿宋" w:hAnsi="仿宋" w:eastAsia="仿宋" w:cs="仿宋"/>
          <w:kern w:val="0"/>
          <w:sz w:val="28"/>
          <w:szCs w:val="28"/>
          <w:lang w:val="zh-CN"/>
        </w:rPr>
        <w:t xml:space="preserve">    </w:t>
      </w:r>
      <w:r>
        <w:rPr>
          <w:rFonts w:hint="eastAsia" w:ascii="仿宋" w:hAnsi="仿宋" w:eastAsia="仿宋" w:cs="仿宋"/>
          <w:b/>
          <w:kern w:val="0"/>
          <w:sz w:val="28"/>
          <w:szCs w:val="28"/>
          <w:lang w:val="zh-CN"/>
        </w:rPr>
        <w:t>四、无佐证材料的举报作违约处理。</w:t>
      </w:r>
      <w:r>
        <w:rPr>
          <w:rFonts w:hint="eastAsia" w:ascii="仿宋" w:hAnsi="仿宋" w:eastAsia="仿宋" w:cs="仿宋"/>
          <w:kern w:val="0"/>
          <w:sz w:val="28"/>
          <w:szCs w:val="28"/>
          <w:lang w:val="zh-CN"/>
        </w:rPr>
        <w:t>供应商不得进行不提供相关佐证材料（含无法查实的</w:t>
      </w:r>
      <w:r>
        <w:rPr>
          <w:rFonts w:hint="eastAsia" w:ascii="仿宋" w:hAnsi="仿宋" w:eastAsia="仿宋" w:cs="仿宋"/>
          <w:sz w:val="28"/>
          <w:szCs w:val="28"/>
        </w:rPr>
        <w:t>如宣传册、媒体报道、猜测、推理等）</w:t>
      </w:r>
      <w:r>
        <w:rPr>
          <w:rFonts w:hint="eastAsia" w:ascii="仿宋" w:hAnsi="仿宋" w:eastAsia="仿宋" w:cs="仿宋"/>
          <w:kern w:val="0"/>
          <w:sz w:val="28"/>
          <w:szCs w:val="28"/>
          <w:lang w:val="zh-CN"/>
        </w:rPr>
        <w:t>向有关部门的举报，否则作违约处理。采购人有权取消其相应的供应商资格，同时对其在1至3年内禁入由采购人组织的采购活动的违约处理。</w:t>
      </w:r>
    </w:p>
    <w:p>
      <w:pPr>
        <w:snapToGrid w:val="0"/>
        <w:spacing w:line="500" w:lineRule="exact"/>
        <w:ind w:firstLine="562" w:firstLineChars="200"/>
        <w:contextualSpacing/>
        <w:rPr>
          <w:rFonts w:ascii="仿宋" w:hAnsi="仿宋" w:eastAsia="仿宋" w:cs="仿宋"/>
          <w:kern w:val="0"/>
          <w:sz w:val="28"/>
          <w:szCs w:val="28"/>
          <w:lang w:val="zh-CN"/>
        </w:rPr>
      </w:pPr>
      <w:r>
        <w:rPr>
          <w:rFonts w:hint="eastAsia" w:ascii="仿宋" w:hAnsi="仿宋" w:eastAsia="仿宋" w:cs="仿宋"/>
          <w:b/>
          <w:sz w:val="28"/>
          <w:szCs w:val="28"/>
        </w:rPr>
        <w:t>五、投诉不成立的作违约处理。</w:t>
      </w:r>
      <w:r>
        <w:rPr>
          <w:rFonts w:hint="eastAsia" w:ascii="仿宋" w:hAnsi="仿宋" w:eastAsia="仿宋" w:cs="仿宋"/>
          <w:sz w:val="28"/>
          <w:szCs w:val="28"/>
        </w:rPr>
        <w:t>供应商进行质疑后，采购人及采购单位回复质疑不成立，供应商仍进行投诉的，并最终投诉不成立的，作违约处理。采购</w:t>
      </w:r>
      <w:r>
        <w:rPr>
          <w:rFonts w:hint="eastAsia" w:ascii="仿宋" w:hAnsi="仿宋" w:eastAsia="仿宋" w:cs="仿宋"/>
          <w:kern w:val="0"/>
          <w:sz w:val="28"/>
          <w:szCs w:val="28"/>
          <w:lang w:val="zh-CN"/>
        </w:rPr>
        <w:t>人及采购单位有权取消其相应的供应商资格，同时对其在1至3年内禁入由采购人组织的采购活动的违约处理。</w:t>
      </w:r>
    </w:p>
    <w:p>
      <w:pPr>
        <w:snapToGrid w:val="0"/>
        <w:spacing w:line="500" w:lineRule="exact"/>
        <w:ind w:firstLine="570"/>
        <w:contextualSpacing/>
        <w:rPr>
          <w:rFonts w:ascii="仿宋" w:hAnsi="仿宋" w:eastAsia="仿宋" w:cs="仿宋"/>
          <w:sz w:val="28"/>
          <w:szCs w:val="28"/>
        </w:rPr>
      </w:pPr>
      <w:r>
        <w:rPr>
          <w:rFonts w:hint="eastAsia" w:ascii="仿宋" w:hAnsi="仿宋" w:eastAsia="仿宋" w:cs="仿宋"/>
          <w:b/>
          <w:sz w:val="28"/>
          <w:szCs w:val="28"/>
        </w:rPr>
        <w:t>六、《质疑函》、《质疑回复函》，质疑、举报、投诉不成立的</w:t>
      </w:r>
      <w:r>
        <w:rPr>
          <w:rFonts w:hint="eastAsia" w:ascii="仿宋" w:hAnsi="仿宋" w:eastAsia="仿宋" w:cs="仿宋"/>
          <w:sz w:val="28"/>
          <w:szCs w:val="28"/>
        </w:rPr>
        <w:t>等相关情况，视情在南通相关媒体予以披露。并建议相关政府采购机构对该供应商同步实施1至3年内禁入。</w:t>
      </w:r>
    </w:p>
    <w:p>
      <w:pPr>
        <w:widowControl/>
        <w:ind w:firstLine="1265" w:firstLineChars="450"/>
        <w:jc w:val="left"/>
        <w:rPr>
          <w:rFonts w:ascii="仿宋" w:hAnsi="仿宋" w:eastAsia="仿宋" w:cs="仿宋"/>
          <w:b/>
          <w:sz w:val="28"/>
          <w:szCs w:val="28"/>
        </w:rPr>
      </w:pPr>
      <w:bookmarkStart w:id="14" w:name="_Toc511997114"/>
    </w:p>
    <w:p>
      <w:pPr>
        <w:widowControl/>
        <w:ind w:firstLine="1265" w:firstLineChars="450"/>
        <w:jc w:val="left"/>
        <w:rPr>
          <w:rFonts w:ascii="仿宋" w:hAnsi="仿宋" w:eastAsia="仿宋" w:cs="仿宋"/>
          <w:b/>
          <w:sz w:val="28"/>
          <w:szCs w:val="28"/>
        </w:rPr>
      </w:pPr>
    </w:p>
    <w:p>
      <w:pPr>
        <w:widowControl/>
        <w:ind w:firstLine="1265" w:firstLineChars="450"/>
        <w:jc w:val="left"/>
        <w:rPr>
          <w:rFonts w:ascii="仿宋" w:hAnsi="仿宋" w:eastAsia="仿宋" w:cs="仿宋"/>
          <w:b/>
          <w:sz w:val="28"/>
          <w:szCs w:val="28"/>
        </w:rPr>
      </w:pPr>
    </w:p>
    <w:p>
      <w:pPr>
        <w:widowControl/>
        <w:ind w:firstLine="1265" w:firstLineChars="450"/>
        <w:jc w:val="left"/>
        <w:rPr>
          <w:rFonts w:ascii="仿宋" w:hAnsi="仿宋" w:eastAsia="仿宋" w:cs="仿宋"/>
          <w:b/>
          <w:sz w:val="28"/>
          <w:szCs w:val="28"/>
        </w:rPr>
      </w:pPr>
    </w:p>
    <w:p>
      <w:pPr>
        <w:widowControl/>
        <w:ind w:firstLine="1265" w:firstLineChars="450"/>
        <w:jc w:val="left"/>
        <w:rPr>
          <w:rFonts w:ascii="仿宋" w:hAnsi="仿宋" w:eastAsia="仿宋" w:cs="仿宋"/>
          <w:b/>
          <w:bCs/>
          <w:sz w:val="28"/>
          <w:szCs w:val="28"/>
        </w:rPr>
      </w:pPr>
      <w:r>
        <w:rPr>
          <w:rFonts w:hint="eastAsia" w:ascii="仿宋" w:hAnsi="仿宋" w:eastAsia="仿宋" w:cs="仿宋"/>
          <w:b/>
          <w:sz w:val="28"/>
          <w:szCs w:val="28"/>
        </w:rPr>
        <w:t>第七部分  响应文件组成</w:t>
      </w:r>
      <w:r>
        <w:rPr>
          <w:rFonts w:hint="eastAsia" w:ascii="仿宋" w:hAnsi="仿宋" w:eastAsia="仿宋" w:cs="仿宋"/>
          <w:b/>
          <w:bCs/>
          <w:sz w:val="28"/>
          <w:szCs w:val="28"/>
        </w:rPr>
        <w:t>及编制要求</w:t>
      </w:r>
      <w:bookmarkEnd w:id="14"/>
    </w:p>
    <w:p>
      <w:pPr>
        <w:snapToGrid w:val="0"/>
        <w:spacing w:line="300" w:lineRule="auto"/>
        <w:ind w:firstLine="555"/>
        <w:jc w:val="center"/>
        <w:rPr>
          <w:rFonts w:ascii="仿宋" w:hAnsi="仿宋" w:eastAsia="仿宋" w:cs="仿宋"/>
          <w:b/>
          <w:sz w:val="28"/>
          <w:szCs w:val="28"/>
        </w:rPr>
      </w:pPr>
    </w:p>
    <w:p>
      <w:pPr>
        <w:snapToGrid w:val="0"/>
        <w:spacing w:line="300" w:lineRule="auto"/>
        <w:ind w:firstLine="555"/>
        <w:jc w:val="left"/>
        <w:rPr>
          <w:rFonts w:ascii="仿宋" w:hAnsi="仿宋" w:eastAsia="仿宋" w:cs="仿宋"/>
          <w:b/>
          <w:sz w:val="28"/>
          <w:szCs w:val="28"/>
        </w:rPr>
      </w:pPr>
      <w:r>
        <w:rPr>
          <w:rFonts w:hint="eastAsia" w:ascii="仿宋" w:hAnsi="仿宋" w:eastAsia="仿宋" w:cs="仿宋"/>
          <w:b/>
          <w:sz w:val="28"/>
          <w:szCs w:val="28"/>
        </w:rPr>
        <w:t>响应文件由原件包、资格审查证明材料、商务技术响应文件、价格响应文件四部分组成。</w:t>
      </w:r>
    </w:p>
    <w:p>
      <w:pPr>
        <w:pStyle w:val="39"/>
        <w:snapToGrid w:val="0"/>
        <w:spacing w:line="300" w:lineRule="auto"/>
        <w:ind w:left="549"/>
        <w:contextualSpacing/>
        <w:rPr>
          <w:rFonts w:ascii="仿宋" w:hAnsi="仿宋" w:eastAsia="仿宋" w:cs="仿宋"/>
          <w:b/>
          <w:sz w:val="28"/>
          <w:szCs w:val="28"/>
        </w:rPr>
      </w:pPr>
      <w:r>
        <w:rPr>
          <w:rFonts w:hint="eastAsia" w:ascii="仿宋" w:hAnsi="仿宋" w:eastAsia="仿宋" w:cs="仿宋"/>
          <w:b/>
          <w:sz w:val="28"/>
          <w:szCs w:val="28"/>
        </w:rPr>
        <w:t>一、原件包（单独密封）：</w:t>
      </w:r>
    </w:p>
    <w:p>
      <w:pPr>
        <w:snapToGrid w:val="0"/>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提供本项目所需的证明材料原件，并在密封袋上加盖单位公章，没有递交原件包或包中资料不全的，将作无效响应处理。</w:t>
      </w:r>
    </w:p>
    <w:p>
      <w:pPr>
        <w:snapToGrid w:val="0"/>
        <w:spacing w:line="300" w:lineRule="auto"/>
        <w:ind w:firstLine="560" w:firstLineChars="200"/>
        <w:rPr>
          <w:rFonts w:ascii="仿宋" w:hAnsi="仿宋" w:eastAsia="仿宋" w:cs="仿宋"/>
          <w:sz w:val="28"/>
          <w:szCs w:val="28"/>
        </w:rPr>
      </w:pPr>
      <w:r>
        <w:rPr>
          <w:rFonts w:hint="eastAsia" w:ascii="仿宋" w:hAnsi="仿宋" w:eastAsia="仿宋" w:cs="仿宋"/>
          <w:kern w:val="0"/>
          <w:sz w:val="28"/>
          <w:szCs w:val="28"/>
        </w:rPr>
        <w:t>如遇特殊情况部分原件不能提供的，</w:t>
      </w:r>
      <w:r>
        <w:rPr>
          <w:rFonts w:hint="eastAsia" w:ascii="仿宋" w:hAnsi="仿宋" w:eastAsia="仿宋" w:cs="仿宋"/>
          <w:sz w:val="28"/>
          <w:szCs w:val="28"/>
        </w:rPr>
        <w:t>则响应人也可以提供经注册地公证机构的公证书或原发证机构出具的相关证明材料。</w:t>
      </w:r>
    </w:p>
    <w:p>
      <w:pPr>
        <w:snapToGrid w:val="0"/>
        <w:spacing w:line="300" w:lineRule="auto"/>
        <w:ind w:left="549"/>
        <w:contextualSpacing/>
        <w:rPr>
          <w:rFonts w:ascii="仿宋" w:hAnsi="仿宋" w:eastAsia="仿宋" w:cs="仿宋"/>
          <w:b/>
          <w:sz w:val="28"/>
          <w:szCs w:val="28"/>
        </w:rPr>
      </w:pPr>
      <w:r>
        <w:rPr>
          <w:rFonts w:hint="eastAsia" w:ascii="仿宋" w:hAnsi="仿宋" w:eastAsia="仿宋" w:cs="仿宋"/>
          <w:b/>
          <w:sz w:val="28"/>
          <w:szCs w:val="28"/>
        </w:rPr>
        <w:t>二、资格审查证明材料：</w:t>
      </w:r>
    </w:p>
    <w:p>
      <w:pPr>
        <w:snapToGrid w:val="0"/>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1．关于资格的声明函；</w:t>
      </w:r>
    </w:p>
    <w:p>
      <w:pPr>
        <w:pStyle w:val="30"/>
        <w:snapToGrid w:val="0"/>
        <w:spacing w:line="300" w:lineRule="auto"/>
        <w:ind w:firstLine="560" w:firstLineChars="200"/>
        <w:rPr>
          <w:rFonts w:ascii="仿宋" w:hAnsi="仿宋" w:eastAsia="仿宋" w:cs="仿宋"/>
          <w:szCs w:val="28"/>
        </w:rPr>
      </w:pPr>
      <w:r>
        <w:rPr>
          <w:rFonts w:hint="eastAsia" w:ascii="仿宋" w:hAnsi="仿宋" w:eastAsia="仿宋" w:cs="仿宋"/>
          <w:szCs w:val="28"/>
        </w:rPr>
        <w:t>2．法定代表人身份证明书（提供复印件并加盖公章）;</w:t>
      </w:r>
    </w:p>
    <w:p>
      <w:pPr>
        <w:tabs>
          <w:tab w:val="left" w:pos="3375"/>
        </w:tabs>
        <w:autoSpaceDE w:val="0"/>
        <w:autoSpaceDN w:val="0"/>
        <w:adjustRightInd w:val="0"/>
        <w:snapToGrid w:val="0"/>
        <w:spacing w:line="300" w:lineRule="auto"/>
        <w:ind w:left="1" w:firstLine="560" w:firstLineChars="200"/>
        <w:rPr>
          <w:rFonts w:ascii="仿宋" w:hAnsi="仿宋" w:eastAsia="仿宋" w:cs="仿宋"/>
          <w:sz w:val="28"/>
          <w:szCs w:val="28"/>
          <w:lang w:val="zh-CN"/>
        </w:rPr>
      </w:pPr>
      <w:r>
        <w:rPr>
          <w:rFonts w:hint="eastAsia" w:ascii="仿宋" w:hAnsi="仿宋" w:eastAsia="仿宋" w:cs="仿宋"/>
          <w:sz w:val="28"/>
          <w:szCs w:val="28"/>
          <w:lang w:val="zh-CN"/>
        </w:rPr>
        <w:t>3．法定代表人授权委托书原件，磋商代表本人身份证复印件（原件随身备查）；</w:t>
      </w:r>
    </w:p>
    <w:p>
      <w:pPr>
        <w:tabs>
          <w:tab w:val="left" w:pos="3375"/>
        </w:tabs>
        <w:autoSpaceDE w:val="0"/>
        <w:autoSpaceDN w:val="0"/>
        <w:adjustRightInd w:val="0"/>
        <w:snapToGrid w:val="0"/>
        <w:spacing w:line="300" w:lineRule="auto"/>
        <w:ind w:left="1" w:firstLine="560" w:firstLineChars="200"/>
        <w:rPr>
          <w:rFonts w:ascii="仿宋" w:hAnsi="仿宋" w:eastAsia="仿宋" w:cs="仿宋"/>
          <w:sz w:val="28"/>
          <w:szCs w:val="28"/>
        </w:rPr>
      </w:pPr>
      <w:r>
        <w:rPr>
          <w:rFonts w:hint="eastAsia" w:ascii="仿宋" w:hAnsi="仿宋" w:eastAsia="仿宋" w:cs="仿宋"/>
          <w:sz w:val="28"/>
          <w:szCs w:val="28"/>
        </w:rPr>
        <w:t>4．请按竞争性谈判公告资格要求中的4至5提供相应的佐证材料（提供复印件并加盖公章，原件放入原件包备查）；</w:t>
      </w:r>
    </w:p>
    <w:p>
      <w:pPr>
        <w:tabs>
          <w:tab w:val="left" w:pos="3375"/>
        </w:tabs>
        <w:autoSpaceDE w:val="0"/>
        <w:autoSpaceDN w:val="0"/>
        <w:adjustRightInd w:val="0"/>
        <w:snapToGrid w:val="0"/>
        <w:spacing w:line="300" w:lineRule="auto"/>
        <w:ind w:left="1" w:firstLine="560" w:firstLineChars="200"/>
        <w:rPr>
          <w:rFonts w:ascii="仿宋" w:hAnsi="仿宋" w:eastAsia="仿宋" w:cs="仿宋"/>
          <w:sz w:val="28"/>
          <w:szCs w:val="28"/>
        </w:rPr>
      </w:pPr>
      <w:r>
        <w:rPr>
          <w:rFonts w:hint="eastAsia" w:ascii="仿宋" w:hAnsi="仿宋" w:eastAsia="仿宋" w:cs="仿宋"/>
          <w:sz w:val="28"/>
          <w:szCs w:val="28"/>
        </w:rPr>
        <w:t>5．其它在谈判文件中需要提交的原件。</w:t>
      </w:r>
    </w:p>
    <w:p>
      <w:pPr>
        <w:pStyle w:val="30"/>
        <w:snapToGrid w:val="0"/>
        <w:spacing w:line="300" w:lineRule="auto"/>
        <w:ind w:firstLine="579"/>
        <w:rPr>
          <w:rFonts w:ascii="仿宋" w:hAnsi="仿宋" w:eastAsia="仿宋" w:cs="仿宋"/>
          <w:szCs w:val="28"/>
        </w:rPr>
      </w:pPr>
      <w:r>
        <w:rPr>
          <w:rFonts w:hint="eastAsia" w:ascii="仿宋" w:hAnsi="仿宋" w:eastAsia="仿宋" w:cs="仿宋"/>
          <w:b/>
          <w:szCs w:val="28"/>
        </w:rPr>
        <w:t>三、商务技术响应文件（不能出现报价、单独密封）：</w:t>
      </w:r>
    </w:p>
    <w:p>
      <w:pPr>
        <w:tabs>
          <w:tab w:val="left" w:pos="1260"/>
        </w:tabs>
        <w:snapToGrid w:val="0"/>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1．供应商情况一览表</w:t>
      </w:r>
    </w:p>
    <w:p>
      <w:pPr>
        <w:pStyle w:val="30"/>
        <w:snapToGrid w:val="0"/>
        <w:spacing w:line="300" w:lineRule="auto"/>
        <w:ind w:firstLine="560" w:firstLineChars="200"/>
        <w:rPr>
          <w:rFonts w:ascii="仿宋" w:hAnsi="仿宋" w:eastAsia="仿宋" w:cs="仿宋"/>
          <w:szCs w:val="28"/>
        </w:rPr>
      </w:pPr>
      <w:r>
        <w:rPr>
          <w:rFonts w:hint="eastAsia" w:ascii="仿宋" w:hAnsi="仿宋" w:eastAsia="仿宋" w:cs="仿宋"/>
          <w:szCs w:val="28"/>
        </w:rPr>
        <w:t>2．商务部分正负偏离表</w:t>
      </w:r>
    </w:p>
    <w:p>
      <w:pPr>
        <w:pStyle w:val="30"/>
        <w:snapToGrid w:val="0"/>
        <w:spacing w:line="300" w:lineRule="auto"/>
        <w:ind w:firstLine="560" w:firstLineChars="200"/>
        <w:rPr>
          <w:rFonts w:ascii="仿宋" w:hAnsi="仿宋" w:eastAsia="仿宋" w:cs="仿宋"/>
          <w:szCs w:val="28"/>
        </w:rPr>
      </w:pPr>
      <w:r>
        <w:rPr>
          <w:rFonts w:hint="eastAsia" w:ascii="仿宋" w:hAnsi="仿宋" w:eastAsia="仿宋" w:cs="仿宋"/>
          <w:szCs w:val="28"/>
        </w:rPr>
        <w:t>3．技术部分正负偏离表</w:t>
      </w:r>
    </w:p>
    <w:p>
      <w:pPr>
        <w:pStyle w:val="30"/>
        <w:snapToGrid w:val="0"/>
        <w:spacing w:line="300" w:lineRule="auto"/>
        <w:ind w:firstLine="562" w:firstLineChars="200"/>
        <w:rPr>
          <w:rFonts w:ascii="仿宋" w:hAnsi="仿宋" w:eastAsia="仿宋" w:cs="仿宋"/>
          <w:b/>
          <w:szCs w:val="28"/>
        </w:rPr>
      </w:pPr>
      <w:r>
        <w:rPr>
          <w:rFonts w:hint="eastAsia" w:ascii="仿宋" w:hAnsi="仿宋" w:eastAsia="仿宋" w:cs="仿宋"/>
          <w:b/>
          <w:szCs w:val="28"/>
        </w:rPr>
        <w:t>填制正负偏离表，完全响应的，请以空白表列示。不完全响应的，必须在偏离表中列示；列示不全的，视同故意隐瞒。</w:t>
      </w:r>
    </w:p>
    <w:p>
      <w:pPr>
        <w:pStyle w:val="30"/>
        <w:snapToGrid w:val="0"/>
        <w:spacing w:line="300" w:lineRule="auto"/>
        <w:ind w:firstLine="577"/>
        <w:rPr>
          <w:rFonts w:ascii="仿宋" w:hAnsi="仿宋" w:eastAsia="仿宋" w:cs="仿宋"/>
          <w:szCs w:val="28"/>
        </w:rPr>
      </w:pPr>
      <w:r>
        <w:rPr>
          <w:rFonts w:hint="eastAsia" w:ascii="仿宋" w:hAnsi="仿宋" w:eastAsia="仿宋" w:cs="仿宋"/>
          <w:szCs w:val="28"/>
        </w:rPr>
        <w:t>4．响应方案、货物（服务）清单。具有项目、数量、品牌、型号、配置性能等</w:t>
      </w:r>
    </w:p>
    <w:p>
      <w:pPr>
        <w:pStyle w:val="30"/>
        <w:snapToGrid w:val="0"/>
        <w:spacing w:line="300" w:lineRule="auto"/>
        <w:ind w:firstLine="577"/>
        <w:rPr>
          <w:rFonts w:ascii="仿宋" w:hAnsi="仿宋" w:eastAsia="仿宋" w:cs="仿宋"/>
          <w:szCs w:val="28"/>
        </w:rPr>
      </w:pPr>
      <w:r>
        <w:rPr>
          <w:rFonts w:hint="eastAsia" w:ascii="仿宋" w:hAnsi="仿宋" w:eastAsia="仿宋" w:cs="仿宋"/>
          <w:szCs w:val="28"/>
        </w:rPr>
        <w:t>5．为方便评委评审，请供应商按评审办法中所涉及的事项顺序进行编制，可以补充相关材料。</w:t>
      </w:r>
    </w:p>
    <w:p>
      <w:pPr>
        <w:pStyle w:val="30"/>
        <w:snapToGrid w:val="0"/>
        <w:spacing w:line="300" w:lineRule="auto"/>
        <w:ind w:firstLine="577"/>
        <w:rPr>
          <w:rFonts w:ascii="仿宋" w:hAnsi="仿宋" w:eastAsia="仿宋" w:cs="仿宋"/>
          <w:szCs w:val="28"/>
        </w:rPr>
      </w:pPr>
      <w:r>
        <w:rPr>
          <w:rFonts w:hint="eastAsia" w:ascii="仿宋" w:hAnsi="仿宋" w:eastAsia="仿宋" w:cs="仿宋"/>
          <w:szCs w:val="28"/>
        </w:rPr>
        <w:t>6．评审办法中未涉及的事项，供应商认为需要提交的其他资料</w:t>
      </w:r>
    </w:p>
    <w:p>
      <w:pPr>
        <w:pStyle w:val="30"/>
        <w:snapToGrid w:val="0"/>
        <w:spacing w:line="300" w:lineRule="auto"/>
        <w:ind w:firstLine="579"/>
        <w:rPr>
          <w:rFonts w:ascii="仿宋" w:hAnsi="仿宋" w:eastAsia="仿宋" w:cs="仿宋"/>
          <w:b/>
          <w:szCs w:val="28"/>
        </w:rPr>
      </w:pPr>
      <w:r>
        <w:rPr>
          <w:rFonts w:hint="eastAsia" w:ascii="仿宋" w:hAnsi="仿宋" w:eastAsia="仿宋" w:cs="仿宋"/>
          <w:b/>
          <w:szCs w:val="28"/>
        </w:rPr>
        <w:t>四、价格响应文件，正本一份副本伍份（单独密封），不得出现在商务技术响应文件部分：</w:t>
      </w:r>
    </w:p>
    <w:p>
      <w:pPr>
        <w:pStyle w:val="30"/>
        <w:snapToGrid w:val="0"/>
        <w:spacing w:line="300" w:lineRule="auto"/>
        <w:ind w:firstLine="577"/>
        <w:rPr>
          <w:rFonts w:ascii="仿宋" w:hAnsi="仿宋" w:eastAsia="仿宋" w:cs="仿宋"/>
          <w:szCs w:val="28"/>
        </w:rPr>
      </w:pPr>
      <w:r>
        <w:rPr>
          <w:rFonts w:hint="eastAsia" w:ascii="仿宋" w:hAnsi="仿宋" w:eastAsia="仿宋" w:cs="仿宋"/>
          <w:szCs w:val="28"/>
        </w:rPr>
        <w:t>1．报价总表；</w:t>
      </w:r>
    </w:p>
    <w:p>
      <w:pPr>
        <w:pStyle w:val="30"/>
        <w:snapToGrid w:val="0"/>
        <w:spacing w:line="300" w:lineRule="auto"/>
        <w:ind w:firstLine="577"/>
        <w:rPr>
          <w:rFonts w:ascii="仿宋" w:hAnsi="仿宋" w:eastAsia="仿宋" w:cs="仿宋"/>
          <w:szCs w:val="28"/>
        </w:rPr>
      </w:pPr>
      <w:r>
        <w:rPr>
          <w:rFonts w:hint="eastAsia" w:ascii="仿宋" w:hAnsi="仿宋" w:eastAsia="仿宋" w:cs="仿宋"/>
          <w:szCs w:val="28"/>
        </w:rPr>
        <w:t>2．报价明细表。</w:t>
      </w:r>
    </w:p>
    <w:p>
      <w:pPr>
        <w:spacing w:line="500" w:lineRule="exact"/>
        <w:ind w:firstLine="551" w:firstLineChars="196"/>
        <w:rPr>
          <w:rFonts w:ascii="仿宋" w:hAnsi="仿宋" w:eastAsia="仿宋" w:cs="仿宋"/>
          <w:b/>
          <w:sz w:val="28"/>
          <w:szCs w:val="28"/>
        </w:rPr>
      </w:pPr>
      <w:r>
        <w:rPr>
          <w:rFonts w:hint="eastAsia" w:ascii="仿宋" w:hAnsi="仿宋" w:eastAsia="仿宋" w:cs="仿宋"/>
          <w:b/>
          <w:color w:val="000000" w:themeColor="text1"/>
          <w:kern w:val="0"/>
          <w:sz w:val="28"/>
          <w:szCs w:val="28"/>
          <w:lang w:val="zh-CN"/>
        </w:rPr>
        <w:t>响应文件须随附响应文件电子U盘密封文档及含另起页面注明报价单的电子U盘文档。</w:t>
      </w:r>
    </w:p>
    <w:p>
      <w:pPr>
        <w:spacing w:line="500" w:lineRule="exact"/>
        <w:ind w:firstLine="548" w:firstLineChars="196"/>
        <w:rPr>
          <w:rFonts w:ascii="仿宋" w:hAnsi="仿宋" w:eastAsia="仿宋" w:cs="仿宋"/>
          <w:b/>
          <w:sz w:val="28"/>
          <w:szCs w:val="28"/>
        </w:rPr>
      </w:pPr>
      <w:r>
        <w:rPr>
          <w:rFonts w:hint="eastAsia" w:ascii="仿宋" w:hAnsi="仿宋" w:eastAsia="仿宋" w:cs="仿宋"/>
          <w:sz w:val="28"/>
          <w:szCs w:val="28"/>
        </w:rPr>
        <w:t>（请在南通市公共资源交易中心网下载中心平台—下载有关采购文件提交资料格式或参考随附附件）。</w:t>
      </w:r>
    </w:p>
    <w:p>
      <w:pPr>
        <w:snapToGrid w:val="0"/>
        <w:spacing w:line="500" w:lineRule="exact"/>
        <w:ind w:firstLine="555"/>
        <w:jc w:val="center"/>
        <w:rPr>
          <w:rFonts w:ascii="仿宋" w:hAnsi="仿宋" w:eastAsia="仿宋" w:cs="仿宋"/>
          <w:sz w:val="28"/>
          <w:szCs w:val="28"/>
        </w:rPr>
      </w:pPr>
    </w:p>
    <w:p>
      <w:pPr>
        <w:snapToGrid w:val="0"/>
        <w:spacing w:line="300" w:lineRule="auto"/>
        <w:jc w:val="center"/>
        <w:rPr>
          <w:rFonts w:ascii="仿宋" w:hAnsi="仿宋" w:eastAsia="仿宋" w:cs="仿宋"/>
          <w:sz w:val="28"/>
          <w:szCs w:val="28"/>
        </w:rPr>
      </w:pPr>
    </w:p>
    <w:p>
      <w:pPr>
        <w:pStyle w:val="43"/>
        <w:ind w:left="0" w:firstLine="281" w:firstLineChars="100"/>
        <w:rPr>
          <w:rFonts w:ascii="仿宋" w:hAnsi="仿宋" w:eastAsia="仿宋" w:cs="仿宋"/>
          <w:b/>
          <w:color w:val="auto"/>
        </w:rPr>
      </w:pPr>
    </w:p>
    <w:p>
      <w:pPr>
        <w:pStyle w:val="43"/>
        <w:ind w:left="0" w:firstLine="1807" w:firstLineChars="643"/>
        <w:rPr>
          <w:rFonts w:ascii="宋体" w:eastAsia="宋体"/>
          <w:color w:val="auto"/>
          <w:sz w:val="32"/>
          <w:szCs w:val="32"/>
        </w:rPr>
      </w:pPr>
      <w:r>
        <w:rPr>
          <w:rFonts w:hint="eastAsia" w:ascii="仿宋" w:hAnsi="仿宋" w:eastAsia="仿宋" w:cs="仿宋"/>
          <w:b/>
        </w:rPr>
        <w:br w:type="page"/>
      </w:r>
      <w:r>
        <w:rPr>
          <w:rFonts w:hint="eastAsia" w:ascii="宋体" w:eastAsia="宋体"/>
          <w:b/>
          <w:color w:val="auto"/>
          <w:sz w:val="32"/>
          <w:szCs w:val="32"/>
        </w:rPr>
        <w:t>在响应文件密封袋上标明以下内容</w:t>
      </w:r>
    </w:p>
    <w:p>
      <w:pPr>
        <w:pStyle w:val="44"/>
        <w:ind w:left="0" w:leftChars="0" w:firstLine="643" w:firstLineChars="200"/>
        <w:rPr>
          <w:rFonts w:ascii="宋体" w:eastAsia="宋体"/>
          <w:b/>
          <w:color w:val="auto"/>
          <w:sz w:val="32"/>
          <w:szCs w:val="32"/>
        </w:rPr>
      </w:pPr>
    </w:p>
    <w:p>
      <w:pPr>
        <w:pStyle w:val="44"/>
        <w:ind w:left="0" w:leftChars="0" w:firstLine="600" w:firstLineChars="249"/>
        <w:rPr>
          <w:rFonts w:ascii="宋体" w:eastAsia="宋体"/>
          <w:b/>
          <w:color w:val="auto"/>
          <w:sz w:val="24"/>
          <w:szCs w:val="24"/>
        </w:rPr>
      </w:pPr>
      <w:r>
        <w:rPr>
          <w:rFonts w:hint="eastAsia" w:ascii="宋体" w:eastAsia="宋体"/>
          <w:b/>
          <w:color w:val="auto"/>
          <w:sz w:val="24"/>
          <w:szCs w:val="24"/>
        </w:rPr>
        <w:t xml:space="preserve">项目名称：             </w:t>
      </w:r>
    </w:p>
    <w:p>
      <w:pPr>
        <w:pStyle w:val="44"/>
        <w:ind w:left="0" w:leftChars="0" w:firstLine="482" w:firstLineChars="200"/>
        <w:rPr>
          <w:rFonts w:ascii="宋体" w:eastAsia="宋体"/>
          <w:b/>
          <w:color w:val="auto"/>
          <w:sz w:val="24"/>
          <w:szCs w:val="24"/>
        </w:rPr>
      </w:pPr>
      <w:r>
        <w:rPr>
          <w:rFonts w:hint="eastAsia" w:ascii="宋体" w:eastAsia="宋体"/>
          <w:b/>
          <w:color w:val="auto"/>
          <w:sz w:val="24"/>
          <w:szCs w:val="24"/>
        </w:rPr>
        <w:t xml:space="preserve">                 </w:t>
      </w:r>
    </w:p>
    <w:p>
      <w:pPr>
        <w:pStyle w:val="44"/>
        <w:ind w:left="0" w:leftChars="0" w:firstLine="482" w:firstLineChars="200"/>
        <w:rPr>
          <w:rFonts w:ascii="宋体" w:eastAsia="宋体"/>
          <w:b/>
          <w:color w:val="auto"/>
          <w:sz w:val="24"/>
          <w:szCs w:val="24"/>
          <w:u w:val="single"/>
        </w:rPr>
      </w:pPr>
    </w:p>
    <w:p>
      <w:pPr>
        <w:pStyle w:val="44"/>
        <w:ind w:left="0" w:leftChars="0" w:firstLine="482" w:firstLineChars="200"/>
        <w:rPr>
          <w:rFonts w:ascii="宋体" w:eastAsia="宋体"/>
          <w:b/>
          <w:color w:val="auto"/>
          <w:sz w:val="24"/>
          <w:szCs w:val="24"/>
        </w:rPr>
      </w:pPr>
      <w:r>
        <w:rPr>
          <w:rFonts w:ascii="宋体" w:eastAsia="宋体"/>
          <w:b/>
          <w:color w:val="auto"/>
          <w:sz w:val="24"/>
          <w:szCs w:val="24"/>
          <w:u w:val="single"/>
        </w:rPr>
        <w:t xml:space="preserve">    </w:t>
      </w:r>
      <w:r>
        <w:rPr>
          <w:rFonts w:hint="eastAsia" w:ascii="宋体" w:eastAsia="宋体"/>
          <w:b/>
          <w:color w:val="auto"/>
          <w:sz w:val="24"/>
          <w:szCs w:val="24"/>
          <w:u w:val="single"/>
        </w:rPr>
        <w:t xml:space="preserve">   </w:t>
      </w:r>
      <w:r>
        <w:rPr>
          <w:rFonts w:ascii="宋体" w:eastAsia="宋体"/>
          <w:b/>
          <w:color w:val="auto"/>
          <w:sz w:val="24"/>
          <w:szCs w:val="24"/>
          <w:u w:val="single"/>
        </w:rPr>
        <w:t xml:space="preserve"> </w:t>
      </w:r>
      <w:r>
        <w:rPr>
          <w:rFonts w:hint="eastAsia" w:ascii="宋体" w:eastAsia="宋体"/>
          <w:b/>
          <w:color w:val="auto"/>
          <w:sz w:val="24"/>
          <w:szCs w:val="24"/>
        </w:rPr>
        <w:t>年</w:t>
      </w:r>
      <w:r>
        <w:rPr>
          <w:rFonts w:ascii="宋体" w:eastAsia="宋体"/>
          <w:b/>
          <w:color w:val="auto"/>
          <w:sz w:val="24"/>
          <w:szCs w:val="24"/>
          <w:u w:val="single"/>
        </w:rPr>
        <w:t xml:space="preserve">  </w:t>
      </w:r>
      <w:r>
        <w:rPr>
          <w:rFonts w:hint="eastAsia" w:ascii="宋体" w:eastAsia="宋体"/>
          <w:b/>
          <w:color w:val="auto"/>
          <w:sz w:val="24"/>
          <w:szCs w:val="24"/>
        </w:rPr>
        <w:t>月</w:t>
      </w:r>
      <w:r>
        <w:rPr>
          <w:rFonts w:ascii="宋体" w:eastAsia="宋体"/>
          <w:b/>
          <w:color w:val="auto"/>
          <w:sz w:val="24"/>
          <w:szCs w:val="24"/>
          <w:u w:val="single"/>
        </w:rPr>
        <w:t xml:space="preserve">  </w:t>
      </w:r>
      <w:r>
        <w:rPr>
          <w:rFonts w:hint="eastAsia" w:ascii="宋体" w:eastAsia="宋体"/>
          <w:b/>
          <w:color w:val="auto"/>
          <w:sz w:val="24"/>
          <w:szCs w:val="24"/>
        </w:rPr>
        <w:t>日</w:t>
      </w:r>
      <w:r>
        <w:rPr>
          <w:rFonts w:ascii="宋体" w:eastAsia="宋体"/>
          <w:b/>
          <w:color w:val="auto"/>
          <w:sz w:val="24"/>
          <w:szCs w:val="24"/>
          <w:u w:val="single"/>
        </w:rPr>
        <w:t xml:space="preserve">  </w:t>
      </w:r>
      <w:r>
        <w:rPr>
          <w:rFonts w:hint="eastAsia" w:ascii="宋体" w:eastAsia="宋体"/>
          <w:b/>
          <w:color w:val="auto"/>
          <w:sz w:val="24"/>
          <w:szCs w:val="24"/>
        </w:rPr>
        <w:t>时</w:t>
      </w:r>
      <w:r>
        <w:rPr>
          <w:rFonts w:ascii="宋体" w:eastAsia="宋体"/>
          <w:b/>
          <w:color w:val="auto"/>
          <w:sz w:val="24"/>
          <w:szCs w:val="24"/>
          <w:u w:val="single"/>
        </w:rPr>
        <w:t xml:space="preserve">  </w:t>
      </w:r>
      <w:r>
        <w:rPr>
          <w:rFonts w:hint="eastAsia" w:ascii="宋体" w:eastAsia="宋体"/>
          <w:b/>
          <w:color w:val="auto"/>
          <w:sz w:val="24"/>
          <w:szCs w:val="24"/>
        </w:rPr>
        <w:t xml:space="preserve">分以前不得开封。 </w:t>
      </w:r>
    </w:p>
    <w:p>
      <w:pPr>
        <w:pStyle w:val="43"/>
        <w:ind w:firstLine="463"/>
        <w:rPr>
          <w:rFonts w:ascii="宋体" w:eastAsia="宋体"/>
          <w:b/>
          <w:color w:val="auto"/>
          <w:sz w:val="24"/>
          <w:szCs w:val="24"/>
        </w:rPr>
      </w:pPr>
      <w:r>
        <w:rPr>
          <w:rFonts w:hint="eastAsia" w:ascii="宋体" w:eastAsia="宋体"/>
          <w:b/>
          <w:color w:val="auto"/>
          <w:sz w:val="24"/>
          <w:szCs w:val="24"/>
        </w:rPr>
        <w:t>响应人</w:t>
      </w:r>
      <w:r>
        <w:rPr>
          <w:rFonts w:ascii="宋体" w:eastAsia="宋体"/>
          <w:b/>
          <w:color w:val="auto"/>
          <w:sz w:val="24"/>
          <w:szCs w:val="24"/>
        </w:rPr>
        <w:t>名称</w:t>
      </w:r>
      <w:r>
        <w:rPr>
          <w:rFonts w:hint="eastAsia" w:ascii="宋体" w:eastAsia="宋体"/>
          <w:b/>
          <w:color w:val="auto"/>
          <w:sz w:val="24"/>
          <w:szCs w:val="24"/>
        </w:rPr>
        <w:t>、</w:t>
      </w:r>
      <w:r>
        <w:rPr>
          <w:rFonts w:ascii="宋体" w:eastAsia="宋体"/>
          <w:b/>
          <w:color w:val="auto"/>
          <w:sz w:val="24"/>
          <w:szCs w:val="24"/>
        </w:rPr>
        <w:t>地址</w:t>
      </w:r>
      <w:r>
        <w:rPr>
          <w:rFonts w:hint="eastAsia" w:ascii="宋体" w:eastAsia="宋体"/>
          <w:b/>
          <w:color w:val="auto"/>
          <w:sz w:val="24"/>
          <w:szCs w:val="24"/>
        </w:rPr>
        <w:t>和X项目响应文件的正本或副本</w:t>
      </w:r>
    </w:p>
    <w:p>
      <w:pPr>
        <w:widowControl/>
        <w:jc w:val="left"/>
        <w:rPr>
          <w:rFonts w:ascii="宋体" w:hAnsi="宋体" w:eastAsia="宋体"/>
          <w:b/>
          <w:bCs/>
          <w:sz w:val="24"/>
          <w:szCs w:val="24"/>
        </w:rPr>
      </w:pPr>
    </w:p>
    <w:p>
      <w:pPr>
        <w:widowControl/>
        <w:jc w:val="left"/>
        <w:rPr>
          <w:rFonts w:ascii="宋体" w:hAnsi="宋体" w:eastAsia="宋体"/>
          <w:b/>
          <w:bCs/>
          <w:sz w:val="24"/>
          <w:szCs w:val="24"/>
        </w:rPr>
      </w:pPr>
      <w:r>
        <w:rPr>
          <w:rFonts w:ascii="宋体" w:hAnsi="宋体" w:eastAsia="宋体"/>
          <w:b/>
          <w:bCs/>
          <w:sz w:val="24"/>
          <w:szCs w:val="24"/>
        </w:rPr>
        <w:br w:type="page"/>
      </w:r>
    </w:p>
    <w:p>
      <w:pPr>
        <w:widowControl/>
        <w:jc w:val="left"/>
        <w:rPr>
          <w:rFonts w:ascii="宋体" w:hAnsi="宋体" w:eastAsia="宋体" w:cs="Times New Roman"/>
          <w:b/>
          <w:sz w:val="24"/>
          <w:szCs w:val="24"/>
        </w:rPr>
      </w:pPr>
    </w:p>
    <w:p>
      <w:pPr>
        <w:spacing w:after="60" w:line="360" w:lineRule="auto"/>
        <w:jc w:val="center"/>
        <w:rPr>
          <w:rFonts w:ascii="宋体" w:hAnsi="宋体" w:eastAsia="宋体"/>
          <w:b/>
          <w:bCs/>
          <w:sz w:val="32"/>
          <w:szCs w:val="32"/>
        </w:rPr>
      </w:pPr>
      <w:r>
        <w:rPr>
          <w:rFonts w:hint="eastAsia" w:ascii="宋体" w:hAnsi="宋体" w:eastAsia="宋体"/>
          <w:b/>
          <w:bCs/>
          <w:sz w:val="32"/>
          <w:szCs w:val="32"/>
        </w:rPr>
        <w:t>供应商资格审查证明材料文件</w:t>
      </w:r>
    </w:p>
    <w:p>
      <w:pPr>
        <w:spacing w:after="60" w:line="360" w:lineRule="auto"/>
        <w:ind w:firstLine="3196" w:firstLineChars="995"/>
        <w:rPr>
          <w:rFonts w:ascii="宋体" w:hAnsi="宋体" w:eastAsia="宋体"/>
          <w:b/>
          <w:sz w:val="32"/>
          <w:szCs w:val="32"/>
        </w:rPr>
      </w:pPr>
      <w:r>
        <w:rPr>
          <w:rFonts w:hint="eastAsia" w:ascii="宋体" w:hAnsi="宋体" w:eastAsia="宋体"/>
          <w:b/>
          <w:sz w:val="32"/>
          <w:szCs w:val="32"/>
        </w:rPr>
        <w:t>正本或副本</w:t>
      </w:r>
    </w:p>
    <w:p>
      <w:pPr>
        <w:spacing w:after="60"/>
        <w:jc w:val="center"/>
        <w:rPr>
          <w:rFonts w:ascii="宋体" w:hAnsi="宋体" w:eastAsia="宋体"/>
          <w:b/>
          <w:bCs/>
          <w:sz w:val="24"/>
          <w:szCs w:val="24"/>
        </w:rPr>
      </w:pPr>
    </w:p>
    <w:p>
      <w:pPr>
        <w:spacing w:after="60" w:line="600" w:lineRule="auto"/>
        <w:jc w:val="center"/>
        <w:rPr>
          <w:rFonts w:ascii="宋体" w:hAnsi="宋体" w:eastAsia="宋体"/>
          <w:b/>
          <w:bCs/>
          <w:sz w:val="24"/>
          <w:szCs w:val="24"/>
        </w:rPr>
      </w:pPr>
    </w:p>
    <w:p>
      <w:pPr>
        <w:spacing w:after="60" w:line="600" w:lineRule="auto"/>
        <w:ind w:left="1579" w:leftChars="171" w:hanging="1220" w:hangingChars="533"/>
        <w:rPr>
          <w:rFonts w:ascii="宋体" w:hAnsi="宋体" w:eastAsia="宋体"/>
          <w:b/>
          <w:sz w:val="24"/>
          <w:szCs w:val="24"/>
          <w:u w:val="single"/>
        </w:rPr>
      </w:pPr>
      <w:r>
        <w:rPr>
          <w:rFonts w:hint="eastAsia" w:ascii="宋体" w:hAnsi="宋体" w:eastAsia="宋体"/>
          <w:b/>
          <w:bCs/>
          <w:spacing w:val="-6"/>
          <w:sz w:val="24"/>
          <w:szCs w:val="24"/>
        </w:rPr>
        <w:t>项目名称:</w:t>
      </w:r>
      <w:r>
        <w:rPr>
          <w:rFonts w:hint="eastAsia" w:ascii="宋体" w:hAnsi="宋体" w:eastAsia="宋体"/>
          <w:b/>
          <w:sz w:val="24"/>
          <w:szCs w:val="24"/>
          <w:u w:val="single"/>
        </w:rPr>
        <w:t xml:space="preserve">                             </w:t>
      </w:r>
    </w:p>
    <w:p>
      <w:pPr>
        <w:spacing w:line="600" w:lineRule="auto"/>
        <w:ind w:left="1282" w:leftChars="171" w:hanging="923" w:hangingChars="383"/>
        <w:rPr>
          <w:rFonts w:ascii="宋体" w:hAnsi="宋体" w:eastAsia="宋体"/>
          <w:b/>
          <w:sz w:val="24"/>
          <w:szCs w:val="24"/>
        </w:rPr>
      </w:pPr>
      <w:r>
        <w:rPr>
          <w:rFonts w:hint="eastAsia" w:ascii="宋体" w:hAnsi="宋体" w:eastAsia="宋体"/>
          <w:b/>
          <w:sz w:val="24"/>
          <w:szCs w:val="24"/>
        </w:rPr>
        <w:t>供应商：</w:t>
      </w:r>
      <w:r>
        <w:rPr>
          <w:rFonts w:hint="eastAsia" w:ascii="宋体" w:hAnsi="宋体" w:eastAsia="宋体"/>
          <w:b/>
          <w:sz w:val="24"/>
          <w:szCs w:val="24"/>
          <w:u w:val="single"/>
        </w:rPr>
        <w:t xml:space="preserve">                                    </w:t>
      </w:r>
    </w:p>
    <w:p>
      <w:pPr>
        <w:spacing w:line="600" w:lineRule="auto"/>
        <w:ind w:left="1282" w:leftChars="171" w:hanging="923" w:hangingChars="383"/>
        <w:rPr>
          <w:rFonts w:ascii="宋体" w:hAnsi="宋体" w:eastAsia="宋体"/>
          <w:b/>
          <w:sz w:val="24"/>
          <w:szCs w:val="24"/>
        </w:rPr>
      </w:pPr>
      <w:r>
        <w:rPr>
          <w:rFonts w:hint="eastAsia" w:ascii="宋体" w:hAnsi="宋体" w:eastAsia="宋体"/>
          <w:b/>
          <w:sz w:val="24"/>
          <w:szCs w:val="24"/>
        </w:rPr>
        <w:t>（盖公章）</w:t>
      </w:r>
    </w:p>
    <w:p>
      <w:pPr>
        <w:spacing w:line="600" w:lineRule="auto"/>
        <w:ind w:left="1282" w:leftChars="171" w:hanging="923" w:hangingChars="383"/>
        <w:rPr>
          <w:rFonts w:ascii="宋体" w:hAnsi="宋体" w:eastAsia="宋体"/>
          <w:b/>
          <w:sz w:val="24"/>
          <w:szCs w:val="24"/>
          <w:u w:val="single"/>
        </w:rPr>
      </w:pPr>
      <w:r>
        <w:rPr>
          <w:rFonts w:hint="eastAsia" w:ascii="宋体" w:hAnsi="宋体" w:eastAsia="宋体"/>
          <w:b/>
          <w:sz w:val="24"/>
          <w:szCs w:val="24"/>
        </w:rPr>
        <w:t>法定代表人签字：</w:t>
      </w:r>
      <w:r>
        <w:rPr>
          <w:rFonts w:hint="eastAsia" w:ascii="宋体" w:hAnsi="宋体" w:eastAsia="宋体"/>
          <w:b/>
          <w:sz w:val="24"/>
          <w:szCs w:val="24"/>
          <w:u w:val="single"/>
        </w:rPr>
        <w:t xml:space="preserve">                              </w:t>
      </w:r>
    </w:p>
    <w:p>
      <w:pPr>
        <w:spacing w:line="600" w:lineRule="auto"/>
        <w:ind w:left="1282" w:leftChars="171" w:hanging="923" w:hangingChars="383"/>
        <w:rPr>
          <w:rFonts w:ascii="宋体" w:hAnsi="宋体" w:eastAsia="宋体"/>
          <w:b/>
          <w:sz w:val="24"/>
          <w:szCs w:val="24"/>
        </w:rPr>
      </w:pPr>
      <w:r>
        <w:rPr>
          <w:rFonts w:hint="eastAsia" w:ascii="宋体" w:hAnsi="宋体" w:eastAsia="宋体"/>
          <w:b/>
          <w:sz w:val="24"/>
          <w:szCs w:val="24"/>
        </w:rPr>
        <w:t>（或委托授权代表）</w:t>
      </w:r>
      <w:bookmarkStart w:id="15" w:name="_Toc454435681"/>
    </w:p>
    <w:p>
      <w:pPr>
        <w:spacing w:line="600" w:lineRule="auto"/>
        <w:ind w:left="1278" w:leftChars="171" w:hanging="919" w:hangingChars="383"/>
        <w:rPr>
          <w:rFonts w:ascii="宋体" w:hAnsi="宋体" w:eastAsia="宋体"/>
          <w:b/>
          <w:sz w:val="24"/>
          <w:szCs w:val="24"/>
        </w:rPr>
      </w:pPr>
      <w:r>
        <w:rPr>
          <w:rFonts w:ascii="宋体" w:hAnsi="宋体" w:eastAsia="宋体"/>
          <w:sz w:val="24"/>
          <w:szCs w:val="24"/>
        </w:rPr>
        <w:t>响应人地址：</w:t>
      </w:r>
      <w:bookmarkEnd w:id="15"/>
      <w:r>
        <w:rPr>
          <w:rFonts w:ascii="宋体" w:hAnsi="宋体" w:eastAsia="宋体"/>
          <w:sz w:val="24"/>
          <w:szCs w:val="24"/>
          <w:u w:val="single"/>
        </w:rPr>
        <w:t xml:space="preserve">                         </w:t>
      </w:r>
      <w:bookmarkStart w:id="16" w:name="_Toc454435682"/>
    </w:p>
    <w:p>
      <w:pPr>
        <w:spacing w:line="600" w:lineRule="auto"/>
        <w:ind w:left="1278" w:leftChars="171" w:hanging="919" w:hangingChars="383"/>
        <w:rPr>
          <w:rFonts w:ascii="宋体" w:hAnsi="宋体" w:eastAsia="宋体"/>
          <w:b/>
          <w:sz w:val="24"/>
          <w:szCs w:val="24"/>
        </w:rPr>
      </w:pPr>
      <w:r>
        <w:rPr>
          <w:rFonts w:ascii="宋体" w:hAnsi="宋体" w:eastAsia="宋体"/>
          <w:sz w:val="24"/>
          <w:szCs w:val="24"/>
        </w:rPr>
        <w:t>联系电话：</w:t>
      </w:r>
      <w:r>
        <w:rPr>
          <w:rFonts w:ascii="宋体" w:hAnsi="宋体" w:eastAsia="宋体"/>
          <w:sz w:val="24"/>
          <w:szCs w:val="24"/>
          <w:u w:val="single"/>
        </w:rPr>
        <w:t xml:space="preserve">                     </w:t>
      </w:r>
      <w:r>
        <w:rPr>
          <w:rFonts w:ascii="宋体" w:hAnsi="宋体" w:eastAsia="宋体"/>
          <w:sz w:val="24"/>
          <w:szCs w:val="24"/>
        </w:rPr>
        <w:t>(传真)</w:t>
      </w:r>
      <w:bookmarkEnd w:id="16"/>
    </w:p>
    <w:p>
      <w:pPr>
        <w:spacing w:line="600" w:lineRule="auto"/>
        <w:rPr>
          <w:rFonts w:ascii="宋体" w:hAnsi="宋体" w:eastAsia="宋体"/>
          <w:b/>
          <w:sz w:val="24"/>
          <w:szCs w:val="24"/>
        </w:rPr>
      </w:pPr>
    </w:p>
    <w:p>
      <w:pPr>
        <w:spacing w:line="600" w:lineRule="auto"/>
        <w:ind w:firstLine="236" w:firstLineChars="98"/>
        <w:rPr>
          <w:rFonts w:ascii="宋体" w:hAnsi="宋体" w:eastAsia="宋体"/>
          <w:b/>
          <w:sz w:val="24"/>
          <w:szCs w:val="24"/>
          <w:u w:val="single"/>
        </w:rPr>
      </w:pPr>
      <w:r>
        <w:rPr>
          <w:rFonts w:hint="eastAsia" w:ascii="宋体" w:hAnsi="宋体" w:eastAsia="宋体"/>
          <w:b/>
          <w:sz w:val="24"/>
          <w:szCs w:val="24"/>
        </w:rPr>
        <w:t>日    期：</w:t>
      </w:r>
      <w:r>
        <w:rPr>
          <w:rFonts w:hint="eastAsia" w:ascii="宋体" w:hAnsi="宋体" w:eastAsia="宋体"/>
          <w:b/>
          <w:sz w:val="24"/>
          <w:szCs w:val="24"/>
          <w:u w:val="single"/>
        </w:rPr>
        <w:t xml:space="preserve">                                    </w:t>
      </w:r>
    </w:p>
    <w:p>
      <w:pPr>
        <w:pStyle w:val="30"/>
        <w:spacing w:line="600" w:lineRule="auto"/>
        <w:ind w:firstLine="0" w:firstLineChars="0"/>
        <w:jc w:val="center"/>
        <w:rPr>
          <w:rFonts w:ascii="宋体" w:eastAsia="宋体"/>
          <w:b/>
          <w:sz w:val="32"/>
          <w:szCs w:val="32"/>
        </w:rPr>
      </w:pPr>
      <w:r>
        <w:rPr>
          <w:rFonts w:ascii="宋体" w:eastAsia="宋体"/>
          <w:b/>
          <w:sz w:val="24"/>
          <w:szCs w:val="24"/>
        </w:rPr>
        <w:br w:type="page"/>
      </w:r>
      <w:r>
        <w:rPr>
          <w:rFonts w:hint="eastAsia" w:ascii="宋体" w:eastAsia="宋体"/>
          <w:b/>
          <w:sz w:val="32"/>
          <w:szCs w:val="32"/>
        </w:rPr>
        <w:t>目      录</w:t>
      </w:r>
    </w:p>
    <w:p>
      <w:pPr>
        <w:pStyle w:val="30"/>
        <w:ind w:firstLine="494"/>
        <w:rPr>
          <w:rFonts w:ascii="宋体" w:eastAsia="宋体"/>
          <w:sz w:val="24"/>
          <w:szCs w:val="24"/>
        </w:rPr>
      </w:pPr>
    </w:p>
    <w:p>
      <w:pPr>
        <w:pStyle w:val="30"/>
        <w:snapToGrid w:val="0"/>
        <w:spacing w:line="500" w:lineRule="exact"/>
        <w:ind w:firstLine="496"/>
        <w:contextualSpacing/>
        <w:rPr>
          <w:rFonts w:ascii="宋体" w:eastAsia="宋体"/>
          <w:b/>
          <w:sz w:val="24"/>
          <w:szCs w:val="24"/>
        </w:rPr>
      </w:pPr>
      <w:r>
        <w:rPr>
          <w:rFonts w:hint="eastAsia" w:ascii="宋体" w:eastAsia="宋体"/>
          <w:b/>
          <w:sz w:val="24"/>
          <w:szCs w:val="24"/>
        </w:rPr>
        <w:t>请按照竞争性谈判采购公告及采购文件供应商资格要求提交响应供应商资格审查证明材料组成内容编制目录，单独密封包装。</w:t>
      </w:r>
    </w:p>
    <w:p>
      <w:pPr>
        <w:pStyle w:val="30"/>
        <w:snapToGrid w:val="0"/>
        <w:spacing w:line="500" w:lineRule="exact"/>
        <w:ind w:firstLine="496"/>
        <w:contextualSpacing/>
        <w:rPr>
          <w:rFonts w:ascii="宋体" w:eastAsia="宋体"/>
          <w:b/>
          <w:sz w:val="24"/>
          <w:szCs w:val="24"/>
        </w:rPr>
      </w:pPr>
      <w:r>
        <w:rPr>
          <w:rFonts w:hint="eastAsia" w:ascii="宋体" w:eastAsia="宋体"/>
          <w:b/>
          <w:sz w:val="24"/>
          <w:szCs w:val="24"/>
        </w:rPr>
        <w:t>例如格式，仅供参考：</w:t>
      </w:r>
    </w:p>
    <w:p>
      <w:pPr>
        <w:snapToGrid w:val="0"/>
        <w:spacing w:line="500" w:lineRule="exact"/>
        <w:ind w:firstLine="480" w:firstLineChars="200"/>
        <w:rPr>
          <w:rFonts w:ascii="宋体" w:hAnsi="宋体" w:eastAsia="宋体"/>
          <w:sz w:val="24"/>
          <w:szCs w:val="24"/>
        </w:rPr>
      </w:pPr>
      <w:r>
        <w:rPr>
          <w:rFonts w:hint="eastAsia" w:ascii="宋体" w:hAnsi="宋体" w:eastAsia="宋体"/>
          <w:sz w:val="24"/>
          <w:szCs w:val="24"/>
        </w:rPr>
        <w:t>1.关于资格的声明函；</w:t>
      </w:r>
    </w:p>
    <w:p>
      <w:pPr>
        <w:pStyle w:val="30"/>
        <w:snapToGrid w:val="0"/>
        <w:spacing w:line="500" w:lineRule="exact"/>
        <w:ind w:firstLine="480" w:firstLineChars="200"/>
        <w:rPr>
          <w:rFonts w:ascii="宋体" w:eastAsia="宋体"/>
          <w:sz w:val="24"/>
          <w:szCs w:val="24"/>
        </w:rPr>
      </w:pPr>
      <w:r>
        <w:rPr>
          <w:rFonts w:hint="eastAsia" w:ascii="宋体" w:eastAsia="宋体"/>
          <w:sz w:val="24"/>
          <w:szCs w:val="24"/>
        </w:rPr>
        <w:t>2.法定代表人身份证明书（提供复印件并加盖公章）;</w:t>
      </w:r>
    </w:p>
    <w:p>
      <w:pPr>
        <w:tabs>
          <w:tab w:val="left" w:pos="3375"/>
        </w:tabs>
        <w:autoSpaceDE w:val="0"/>
        <w:autoSpaceDN w:val="0"/>
        <w:adjustRightInd w:val="0"/>
        <w:snapToGrid w:val="0"/>
        <w:spacing w:line="500" w:lineRule="exact"/>
        <w:ind w:left="1" w:firstLine="480" w:firstLineChars="200"/>
        <w:rPr>
          <w:rFonts w:ascii="宋体" w:hAnsi="宋体" w:eastAsia="宋体"/>
          <w:sz w:val="24"/>
          <w:szCs w:val="24"/>
          <w:lang w:val="zh-CN"/>
        </w:rPr>
      </w:pPr>
      <w:r>
        <w:rPr>
          <w:rFonts w:hint="eastAsia" w:ascii="宋体" w:hAnsi="宋体" w:eastAsia="宋体"/>
          <w:sz w:val="24"/>
          <w:szCs w:val="24"/>
          <w:lang w:val="zh-CN"/>
        </w:rPr>
        <w:t>3.法定代表人授权委托书原件，投标代表本人身份证复印件（原件随身备查）；</w:t>
      </w:r>
    </w:p>
    <w:p>
      <w:pPr>
        <w:pStyle w:val="30"/>
        <w:snapToGrid w:val="0"/>
        <w:spacing w:line="500" w:lineRule="exact"/>
        <w:ind w:left="140" w:firstLine="360" w:firstLineChars="150"/>
        <w:contextualSpacing/>
        <w:rPr>
          <w:rFonts w:ascii="宋体" w:eastAsia="宋体"/>
          <w:color w:val="000000" w:themeColor="text1"/>
          <w:sz w:val="24"/>
          <w:szCs w:val="24"/>
        </w:rPr>
      </w:pPr>
      <w:r>
        <w:rPr>
          <w:rFonts w:hint="eastAsia" w:ascii="宋体" w:eastAsia="宋体"/>
          <w:sz w:val="24"/>
          <w:szCs w:val="24"/>
        </w:rPr>
        <w:t>4.</w:t>
      </w:r>
      <w:r>
        <w:rPr>
          <w:rFonts w:hint="eastAsia" w:ascii="宋体" w:eastAsia="宋体" w:cs="Times New Roman"/>
          <w:color w:val="000000" w:themeColor="text1"/>
          <w:sz w:val="24"/>
          <w:szCs w:val="24"/>
        </w:rPr>
        <w:t>法人或者其他组织的营业执照等</w:t>
      </w:r>
      <w:r>
        <w:rPr>
          <w:rFonts w:hint="eastAsia" w:ascii="宋体" w:eastAsia="宋体"/>
          <w:color w:val="000000" w:themeColor="text1"/>
          <w:sz w:val="24"/>
          <w:szCs w:val="24"/>
        </w:rPr>
        <w:t>相关证明、佐证材料</w:t>
      </w:r>
      <w:r>
        <w:rPr>
          <w:rFonts w:hint="eastAsia" w:ascii="宋体" w:eastAsia="宋体" w:cs="Times New Roman"/>
          <w:color w:val="000000" w:themeColor="text1"/>
          <w:sz w:val="24"/>
          <w:szCs w:val="24"/>
        </w:rPr>
        <w:t>或者情况说明</w:t>
      </w:r>
      <w:r>
        <w:rPr>
          <w:rFonts w:hint="eastAsia" w:ascii="宋体" w:eastAsia="宋体"/>
          <w:color w:val="000000" w:themeColor="text1"/>
          <w:sz w:val="24"/>
          <w:szCs w:val="24"/>
        </w:rPr>
        <w:t>。</w:t>
      </w:r>
    </w:p>
    <w:p>
      <w:pPr>
        <w:pStyle w:val="30"/>
        <w:snapToGrid w:val="0"/>
        <w:spacing w:line="300" w:lineRule="auto"/>
        <w:ind w:left="140" w:firstLine="361" w:firstLineChars="150"/>
        <w:contextualSpacing/>
        <w:rPr>
          <w:rFonts w:ascii="宋体" w:eastAsia="宋体"/>
          <w:b/>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p>
      <w:pPr>
        <w:pStyle w:val="30"/>
        <w:snapToGrid w:val="0"/>
        <w:spacing w:line="300" w:lineRule="auto"/>
        <w:ind w:firstLine="0" w:firstLineChars="0"/>
        <w:contextualSpacing/>
        <w:rPr>
          <w:rFonts w:ascii="宋体" w:eastAsia="宋体"/>
          <w:sz w:val="32"/>
          <w:szCs w:val="32"/>
        </w:rPr>
      </w:pPr>
      <w:r>
        <w:rPr>
          <w:rFonts w:hint="eastAsia" w:ascii="宋体" w:eastAsia="宋体"/>
          <w:sz w:val="24"/>
          <w:szCs w:val="24"/>
        </w:rPr>
        <w:t>附件1</w:t>
      </w:r>
    </w:p>
    <w:p>
      <w:pPr>
        <w:pStyle w:val="30"/>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关于资格的声明函</w:t>
      </w:r>
    </w:p>
    <w:p>
      <w:pPr>
        <w:snapToGrid w:val="0"/>
        <w:spacing w:line="300" w:lineRule="auto"/>
        <w:contextualSpacing/>
        <w:rPr>
          <w:rFonts w:ascii="宋体" w:hAnsi="宋体" w:eastAsia="宋体"/>
          <w:b/>
          <w:sz w:val="24"/>
          <w:szCs w:val="24"/>
        </w:rPr>
      </w:pPr>
    </w:p>
    <w:p>
      <w:pPr>
        <w:snapToGrid w:val="0"/>
        <w:spacing w:line="300" w:lineRule="auto"/>
        <w:contextualSpacing/>
        <w:rPr>
          <w:rFonts w:ascii="宋体" w:hAnsi="宋体" w:eastAsia="宋体"/>
          <w:b/>
          <w:sz w:val="24"/>
          <w:szCs w:val="24"/>
        </w:rPr>
      </w:pPr>
      <w:r>
        <w:rPr>
          <w:rFonts w:hint="eastAsia" w:ascii="宋体" w:hAnsi="宋体" w:eastAsia="宋体"/>
          <w:b/>
          <w:sz w:val="24"/>
          <w:szCs w:val="24"/>
        </w:rPr>
        <w:t>南通日报社（南通报业传媒集团）：</w:t>
      </w:r>
    </w:p>
    <w:p>
      <w:pPr>
        <w:snapToGrid w:val="0"/>
        <w:spacing w:line="500" w:lineRule="exact"/>
        <w:ind w:firstLine="480" w:firstLineChars="200"/>
        <w:contextualSpacing/>
        <w:rPr>
          <w:rFonts w:ascii="宋体" w:hAnsi="宋体" w:eastAsia="宋体"/>
          <w:sz w:val="24"/>
          <w:szCs w:val="24"/>
        </w:rPr>
      </w:pPr>
      <w:r>
        <w:rPr>
          <w:rFonts w:hint="eastAsia" w:ascii="宋体" w:hAnsi="宋体" w:eastAsia="宋体"/>
          <w:sz w:val="24"/>
          <w:szCs w:val="24"/>
        </w:rPr>
        <w:t>我公司认真对照竞争性谈判采购公告及文件，符合贵方提出的资格要求，自愿报名参加响应，并保证提供的资料文件是准确的和真实的。提供虚假材料的愿意承担相应的法律责任。</w:t>
      </w:r>
    </w:p>
    <w:p>
      <w:pPr>
        <w:pStyle w:val="12"/>
        <w:snapToGrid w:val="0"/>
        <w:spacing w:line="500" w:lineRule="exact"/>
        <w:ind w:firstLine="240" w:firstLineChars="100"/>
        <w:contextualSpacing/>
        <w:jc w:val="left"/>
        <w:rPr>
          <w:rFonts w:hAnsi="宋体"/>
          <w:sz w:val="24"/>
          <w:szCs w:val="24"/>
        </w:rPr>
      </w:pPr>
      <w:r>
        <w:rPr>
          <w:rFonts w:hint="eastAsia" w:hAnsi="宋体"/>
          <w:sz w:val="24"/>
          <w:szCs w:val="24"/>
        </w:rPr>
        <w:t xml:space="preserve">   附：公司响应之前3年内有无</w:t>
      </w:r>
      <w:r>
        <w:rPr>
          <w:rFonts w:asciiTheme="minorEastAsia" w:hAnsiTheme="minorEastAsia"/>
          <w:sz w:val="24"/>
          <w:szCs w:val="24"/>
        </w:rPr>
        <w:t>在经营活动中重大违法记录</w:t>
      </w:r>
      <w:r>
        <w:rPr>
          <w:rFonts w:hint="eastAsia" w:asciiTheme="minorEastAsia" w:hAnsiTheme="minorEastAsia"/>
          <w:sz w:val="24"/>
          <w:szCs w:val="24"/>
        </w:rPr>
        <w:t>和企业被列入“不良信誉黑名单”</w:t>
      </w:r>
      <w:r>
        <w:rPr>
          <w:rFonts w:hint="eastAsia" w:hAnsi="宋体"/>
          <w:sz w:val="24"/>
          <w:szCs w:val="24"/>
        </w:rPr>
        <w:t>受各级管理部门的处分或处罚（含其授权服务的子公司、分公司等），如果不主动填报而被事后发现的，将取消其响应资格，并按有关规定从重处理；没有受处罚的响应人，要填写“没有受到任何处罚”，此表不能空白。</w:t>
      </w:r>
    </w:p>
    <w:p>
      <w:pPr>
        <w:pStyle w:val="12"/>
        <w:snapToGrid w:val="0"/>
        <w:spacing w:line="300" w:lineRule="auto"/>
        <w:ind w:firstLine="240" w:firstLineChars="100"/>
        <w:contextualSpacing/>
        <w:jc w:val="left"/>
        <w:rPr>
          <w:rFonts w:hAnsi="宋体"/>
          <w:sz w:val="24"/>
          <w:szCs w:val="24"/>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2995"/>
        <w:gridCol w:w="2995"/>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733" w:type="pct"/>
            <w:vAlign w:val="center"/>
          </w:tcPr>
          <w:p>
            <w:pPr>
              <w:pStyle w:val="7"/>
              <w:snapToGrid w:val="0"/>
              <w:spacing w:line="300" w:lineRule="auto"/>
              <w:ind w:firstLine="0"/>
              <w:contextualSpacing/>
              <w:jc w:val="center"/>
              <w:rPr>
                <w:rFonts w:ascii="宋体" w:hAnsi="宋体"/>
                <w:b/>
                <w:sz w:val="24"/>
                <w:szCs w:val="24"/>
              </w:rPr>
            </w:pPr>
            <w:r>
              <w:rPr>
                <w:rFonts w:hint="eastAsia" w:ascii="宋体" w:hAnsi="宋体"/>
                <w:b/>
                <w:sz w:val="24"/>
                <w:szCs w:val="24"/>
              </w:rPr>
              <w:t>时 间</w:t>
            </w:r>
          </w:p>
        </w:tc>
        <w:tc>
          <w:tcPr>
            <w:tcW w:w="1757" w:type="pct"/>
            <w:vAlign w:val="center"/>
          </w:tcPr>
          <w:p>
            <w:pPr>
              <w:pStyle w:val="7"/>
              <w:snapToGrid w:val="0"/>
              <w:spacing w:line="300" w:lineRule="auto"/>
              <w:ind w:firstLine="0"/>
              <w:contextualSpacing/>
              <w:jc w:val="center"/>
              <w:rPr>
                <w:rFonts w:ascii="宋体" w:hAnsi="宋体"/>
                <w:b/>
                <w:sz w:val="24"/>
                <w:szCs w:val="24"/>
              </w:rPr>
            </w:pPr>
            <w:r>
              <w:rPr>
                <w:rFonts w:hint="eastAsia" w:ascii="宋体" w:hAnsi="宋体"/>
                <w:b/>
                <w:sz w:val="24"/>
                <w:szCs w:val="24"/>
              </w:rPr>
              <w:t>受处理的原因</w:t>
            </w:r>
          </w:p>
          <w:p>
            <w:pPr>
              <w:pStyle w:val="7"/>
              <w:snapToGrid w:val="0"/>
              <w:spacing w:line="300" w:lineRule="auto"/>
              <w:ind w:firstLine="0"/>
              <w:contextualSpacing/>
              <w:jc w:val="center"/>
              <w:rPr>
                <w:rFonts w:ascii="宋体" w:hAnsi="宋体"/>
                <w:sz w:val="24"/>
                <w:szCs w:val="24"/>
              </w:rPr>
            </w:pPr>
            <w:r>
              <w:rPr>
                <w:rFonts w:hint="eastAsia" w:ascii="宋体" w:hAnsi="宋体"/>
                <w:sz w:val="24"/>
                <w:szCs w:val="24"/>
              </w:rPr>
              <w:t>（如在政府采购活动中受处理的，注明采购项目名称及处理原因）</w:t>
            </w:r>
          </w:p>
        </w:tc>
        <w:tc>
          <w:tcPr>
            <w:tcW w:w="1757" w:type="pct"/>
            <w:vAlign w:val="center"/>
          </w:tcPr>
          <w:p>
            <w:pPr>
              <w:pStyle w:val="7"/>
              <w:snapToGrid w:val="0"/>
              <w:spacing w:line="300" w:lineRule="auto"/>
              <w:ind w:firstLine="0"/>
              <w:contextualSpacing/>
              <w:jc w:val="center"/>
              <w:rPr>
                <w:rFonts w:ascii="宋体" w:hAnsi="宋体"/>
                <w:b/>
                <w:sz w:val="24"/>
                <w:szCs w:val="24"/>
              </w:rPr>
            </w:pPr>
            <w:r>
              <w:rPr>
                <w:rFonts w:hint="eastAsia" w:ascii="宋体" w:hAnsi="宋体"/>
                <w:b/>
                <w:sz w:val="24"/>
                <w:szCs w:val="24"/>
              </w:rPr>
              <w:t>处理的内容</w:t>
            </w:r>
          </w:p>
          <w:p>
            <w:pPr>
              <w:pStyle w:val="7"/>
              <w:snapToGrid w:val="0"/>
              <w:spacing w:line="300" w:lineRule="auto"/>
              <w:ind w:firstLine="0"/>
              <w:contextualSpacing/>
              <w:jc w:val="center"/>
              <w:rPr>
                <w:rFonts w:ascii="宋体" w:hAnsi="宋体"/>
                <w:sz w:val="24"/>
                <w:szCs w:val="24"/>
              </w:rPr>
            </w:pPr>
            <w:r>
              <w:rPr>
                <w:rFonts w:hint="eastAsia" w:ascii="宋体" w:hAnsi="宋体"/>
                <w:sz w:val="24"/>
                <w:szCs w:val="24"/>
              </w:rPr>
              <w:t>（如受到禁止一段时期参加某种项目的政府采购活动的，要说明解禁时间）</w:t>
            </w:r>
          </w:p>
        </w:tc>
        <w:tc>
          <w:tcPr>
            <w:tcW w:w="753" w:type="pct"/>
            <w:vAlign w:val="center"/>
          </w:tcPr>
          <w:p>
            <w:pPr>
              <w:pStyle w:val="7"/>
              <w:snapToGrid w:val="0"/>
              <w:spacing w:line="300" w:lineRule="auto"/>
              <w:ind w:firstLine="0"/>
              <w:contextualSpacing/>
              <w:jc w:val="center"/>
              <w:rPr>
                <w:rFonts w:ascii="宋体" w:hAnsi="宋体"/>
                <w:b/>
                <w:sz w:val="24"/>
                <w:szCs w:val="24"/>
              </w:rPr>
            </w:pPr>
            <w:r>
              <w:rPr>
                <w:rFonts w:hint="eastAsia" w:ascii="宋体" w:hAnsi="宋体"/>
                <w:b/>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733" w:type="pct"/>
          </w:tcPr>
          <w:p>
            <w:pPr>
              <w:pStyle w:val="7"/>
              <w:snapToGrid w:val="0"/>
              <w:spacing w:line="300" w:lineRule="auto"/>
              <w:ind w:firstLine="0"/>
              <w:contextualSpacing/>
              <w:rPr>
                <w:rFonts w:ascii="宋体" w:hAnsi="宋体"/>
                <w:sz w:val="24"/>
                <w:szCs w:val="24"/>
              </w:rPr>
            </w:pPr>
          </w:p>
        </w:tc>
        <w:tc>
          <w:tcPr>
            <w:tcW w:w="1757" w:type="pct"/>
          </w:tcPr>
          <w:p>
            <w:pPr>
              <w:pStyle w:val="7"/>
              <w:snapToGrid w:val="0"/>
              <w:spacing w:line="300" w:lineRule="auto"/>
              <w:ind w:firstLine="0"/>
              <w:contextualSpacing/>
              <w:rPr>
                <w:rFonts w:ascii="宋体" w:hAnsi="宋体"/>
                <w:sz w:val="24"/>
                <w:szCs w:val="24"/>
              </w:rPr>
            </w:pPr>
          </w:p>
        </w:tc>
        <w:tc>
          <w:tcPr>
            <w:tcW w:w="1757" w:type="pct"/>
          </w:tcPr>
          <w:p>
            <w:pPr>
              <w:pStyle w:val="7"/>
              <w:snapToGrid w:val="0"/>
              <w:spacing w:line="300" w:lineRule="auto"/>
              <w:ind w:firstLine="0"/>
              <w:contextualSpacing/>
              <w:rPr>
                <w:rFonts w:ascii="宋体" w:hAnsi="宋体"/>
                <w:sz w:val="24"/>
                <w:szCs w:val="24"/>
              </w:rPr>
            </w:pPr>
          </w:p>
        </w:tc>
        <w:tc>
          <w:tcPr>
            <w:tcW w:w="753" w:type="pct"/>
          </w:tcPr>
          <w:p>
            <w:pPr>
              <w:pStyle w:val="7"/>
              <w:snapToGrid w:val="0"/>
              <w:spacing w:line="300" w:lineRule="auto"/>
              <w:ind w:firstLine="0"/>
              <w:contextualSpacing/>
              <w:rPr>
                <w:rFonts w:ascii="宋体" w:hAnsi="宋体"/>
                <w:sz w:val="24"/>
                <w:szCs w:val="24"/>
              </w:rPr>
            </w:pPr>
          </w:p>
        </w:tc>
      </w:tr>
    </w:tbl>
    <w:p>
      <w:pPr>
        <w:pStyle w:val="7"/>
        <w:rPr>
          <w:rFonts w:ascii="宋体" w:hAnsi="宋体"/>
          <w:sz w:val="24"/>
          <w:szCs w:val="24"/>
        </w:rPr>
      </w:pPr>
      <w:r>
        <w:rPr>
          <w:rFonts w:ascii="宋体" w:hAnsi="宋体"/>
          <w:sz w:val="24"/>
          <w:szCs w:val="24"/>
        </w:rPr>
        <w:br w:type="page"/>
      </w:r>
    </w:p>
    <w:p>
      <w:pPr>
        <w:pStyle w:val="30"/>
        <w:snapToGrid w:val="0"/>
        <w:spacing w:line="300" w:lineRule="auto"/>
        <w:ind w:firstLine="0" w:firstLineChars="0"/>
        <w:contextualSpacing/>
        <w:rPr>
          <w:rFonts w:ascii="宋体" w:eastAsia="宋体"/>
          <w:sz w:val="32"/>
          <w:szCs w:val="32"/>
        </w:rPr>
      </w:pPr>
      <w:r>
        <w:rPr>
          <w:rFonts w:hint="eastAsia" w:ascii="宋体" w:eastAsia="宋体"/>
          <w:sz w:val="24"/>
          <w:szCs w:val="24"/>
        </w:rPr>
        <w:t>附件2</w:t>
      </w:r>
    </w:p>
    <w:p>
      <w:pPr>
        <w:pStyle w:val="30"/>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法定代表人身份证明书</w:t>
      </w:r>
    </w:p>
    <w:p>
      <w:pPr>
        <w:snapToGrid w:val="0"/>
        <w:spacing w:line="300" w:lineRule="auto"/>
        <w:ind w:firstLine="480" w:firstLineChars="200"/>
        <w:contextualSpacing/>
        <w:rPr>
          <w:rFonts w:ascii="宋体" w:hAnsi="宋体" w:eastAsia="宋体"/>
          <w:sz w:val="24"/>
          <w:szCs w:val="24"/>
        </w:rPr>
      </w:pPr>
    </w:p>
    <w:p>
      <w:pPr>
        <w:snapToGrid w:val="0"/>
        <w:spacing w:line="300" w:lineRule="auto"/>
        <w:ind w:firstLine="480" w:firstLineChars="200"/>
        <w:contextualSpacing/>
        <w:rPr>
          <w:rFonts w:ascii="宋体" w:hAnsi="宋体" w:eastAsia="宋体"/>
          <w:sz w:val="24"/>
          <w:szCs w:val="24"/>
        </w:rPr>
      </w:pPr>
    </w:p>
    <w:p>
      <w:pPr>
        <w:snapToGrid w:val="0"/>
        <w:spacing w:line="500" w:lineRule="exact"/>
        <w:ind w:firstLine="480" w:firstLineChars="200"/>
        <w:contextualSpacing/>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u w:val="single"/>
        </w:rPr>
        <w:t xml:space="preserve">          </w:t>
      </w:r>
      <w:r>
        <w:rPr>
          <w:rFonts w:hint="eastAsia" w:ascii="宋体" w:hAnsi="宋体" w:eastAsia="宋体"/>
          <w:sz w:val="24"/>
          <w:szCs w:val="24"/>
        </w:rPr>
        <w:t>先生／女士：现任我单位</w:t>
      </w:r>
      <w:r>
        <w:rPr>
          <w:rFonts w:hint="eastAsia" w:ascii="宋体" w:hAnsi="宋体" w:eastAsia="宋体"/>
          <w:sz w:val="24"/>
          <w:szCs w:val="24"/>
          <w:u w:val="single"/>
        </w:rPr>
        <w:t>　　　　　　　</w:t>
      </w:r>
      <w:r>
        <w:rPr>
          <w:rFonts w:hint="eastAsia" w:ascii="宋体" w:hAnsi="宋体" w:eastAsia="宋体"/>
          <w:sz w:val="24"/>
          <w:szCs w:val="24"/>
        </w:rPr>
        <w:t>职务，为法定代表人，特此证明。</w:t>
      </w:r>
    </w:p>
    <w:p>
      <w:pPr>
        <w:snapToGrid w:val="0"/>
        <w:spacing w:line="500" w:lineRule="exact"/>
        <w:ind w:firstLine="480" w:firstLineChars="200"/>
        <w:contextualSpacing/>
        <w:rPr>
          <w:rFonts w:ascii="宋体" w:hAnsi="宋体" w:eastAsia="宋体"/>
          <w:sz w:val="24"/>
          <w:szCs w:val="24"/>
          <w:u w:val="single"/>
        </w:rPr>
      </w:pPr>
      <w:r>
        <w:rPr>
          <w:rFonts w:hint="eastAsia" w:ascii="宋体" w:hAnsi="宋体" w:eastAsia="宋体"/>
          <w:sz w:val="24"/>
          <w:szCs w:val="24"/>
        </w:rPr>
        <w:t>身份证号码：</w:t>
      </w:r>
      <w:r>
        <w:rPr>
          <w:rFonts w:hint="eastAsia" w:ascii="宋体" w:hAnsi="宋体" w:eastAsia="宋体"/>
          <w:sz w:val="24"/>
          <w:szCs w:val="24"/>
          <w:u w:val="single"/>
        </w:rPr>
        <w:t xml:space="preserve">                                               </w:t>
      </w:r>
    </w:p>
    <w:p>
      <w:pPr>
        <w:snapToGrid w:val="0"/>
        <w:spacing w:line="500" w:lineRule="exact"/>
        <w:contextualSpacing/>
        <w:rPr>
          <w:rFonts w:ascii="宋体" w:hAnsi="宋体" w:eastAsia="宋体"/>
          <w:b/>
          <w:sz w:val="24"/>
          <w:szCs w:val="24"/>
        </w:rPr>
      </w:pPr>
    </w:p>
    <w:p>
      <w:pPr>
        <w:snapToGrid w:val="0"/>
        <w:spacing w:line="500" w:lineRule="exact"/>
        <w:contextualSpacing/>
        <w:rPr>
          <w:rFonts w:ascii="宋体" w:hAnsi="宋体" w:eastAsia="宋体"/>
          <w:b/>
          <w:sz w:val="24"/>
          <w:szCs w:val="24"/>
        </w:rPr>
      </w:pPr>
      <w:r>
        <w:rPr>
          <w:rFonts w:hint="eastAsia" w:ascii="宋体" w:hAnsi="宋体" w:eastAsia="宋体"/>
          <w:b/>
          <w:sz w:val="24"/>
          <w:szCs w:val="24"/>
        </w:rPr>
        <w:t>注：提供法定代表人的身份证复印件盖公章</w:t>
      </w:r>
    </w:p>
    <w:p>
      <w:pPr>
        <w:snapToGrid w:val="0"/>
        <w:spacing w:line="500" w:lineRule="exact"/>
        <w:ind w:firstLine="590" w:firstLineChars="245"/>
        <w:contextualSpacing/>
        <w:jc w:val="center"/>
        <w:rPr>
          <w:rFonts w:ascii="宋体" w:hAnsi="宋体" w:eastAsia="宋体"/>
          <w:b/>
          <w:bCs/>
          <w:sz w:val="24"/>
          <w:szCs w:val="24"/>
        </w:rPr>
      </w:pPr>
    </w:p>
    <w:p>
      <w:pPr>
        <w:pStyle w:val="30"/>
        <w:snapToGrid w:val="0"/>
        <w:spacing w:line="300" w:lineRule="auto"/>
        <w:ind w:firstLine="0" w:firstLineChars="0"/>
        <w:contextualSpacing/>
        <w:rPr>
          <w:rFonts w:ascii="宋体" w:eastAsia="宋体"/>
          <w:sz w:val="24"/>
          <w:szCs w:val="24"/>
        </w:rPr>
      </w:pPr>
      <w:r>
        <w:rPr>
          <w:rFonts w:ascii="宋体" w:eastAsia="宋体"/>
          <w:sz w:val="24"/>
          <w:szCs w:val="24"/>
        </w:rPr>
        <w:br w:type="page"/>
      </w:r>
    </w:p>
    <w:p>
      <w:pPr>
        <w:pStyle w:val="30"/>
        <w:snapToGrid w:val="0"/>
        <w:spacing w:line="300" w:lineRule="auto"/>
        <w:ind w:firstLine="0" w:firstLineChars="0"/>
        <w:contextualSpacing/>
        <w:rPr>
          <w:rFonts w:ascii="宋体" w:eastAsia="宋体"/>
          <w:sz w:val="24"/>
          <w:szCs w:val="24"/>
        </w:rPr>
      </w:pPr>
      <w:r>
        <w:rPr>
          <w:rFonts w:hint="eastAsia" w:ascii="宋体" w:eastAsia="宋体"/>
          <w:sz w:val="24"/>
          <w:szCs w:val="24"/>
        </w:rPr>
        <w:t>附件3</w:t>
      </w:r>
    </w:p>
    <w:p>
      <w:pPr>
        <w:pStyle w:val="30"/>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法定代表人授权委托书</w:t>
      </w:r>
    </w:p>
    <w:p>
      <w:pPr>
        <w:snapToGrid w:val="0"/>
        <w:spacing w:line="300" w:lineRule="auto"/>
        <w:ind w:firstLine="590" w:firstLineChars="245"/>
        <w:contextualSpacing/>
        <w:jc w:val="center"/>
        <w:rPr>
          <w:rFonts w:ascii="宋体" w:hAnsi="宋体" w:eastAsia="宋体"/>
          <w:b/>
          <w:bCs/>
          <w:sz w:val="24"/>
          <w:szCs w:val="24"/>
        </w:rPr>
      </w:pPr>
    </w:p>
    <w:p>
      <w:pPr>
        <w:snapToGrid w:val="0"/>
        <w:spacing w:line="500" w:lineRule="exact"/>
        <w:contextualSpacing/>
        <w:rPr>
          <w:rFonts w:ascii="宋体" w:hAnsi="宋体" w:eastAsia="宋体"/>
          <w:b/>
          <w:sz w:val="24"/>
          <w:szCs w:val="24"/>
        </w:rPr>
      </w:pPr>
      <w:r>
        <w:rPr>
          <w:rFonts w:hint="eastAsia" w:ascii="宋体" w:hAnsi="宋体" w:eastAsia="宋体"/>
          <w:b/>
          <w:sz w:val="24"/>
          <w:szCs w:val="24"/>
        </w:rPr>
        <w:t>南通日报社（南通报业传媒集团）：</w:t>
      </w:r>
    </w:p>
    <w:p>
      <w:pPr>
        <w:pStyle w:val="12"/>
        <w:snapToGrid w:val="0"/>
        <w:spacing w:line="500" w:lineRule="exact"/>
        <w:ind w:firstLine="420"/>
        <w:contextualSpacing/>
        <w:rPr>
          <w:rFonts w:hAnsi="宋体"/>
          <w:sz w:val="24"/>
          <w:szCs w:val="24"/>
        </w:rPr>
      </w:pPr>
      <w:r>
        <w:rPr>
          <w:rFonts w:hint="eastAsia" w:hAnsi="宋体"/>
          <w:sz w:val="24"/>
          <w:szCs w:val="24"/>
        </w:rPr>
        <w:t xml:space="preserve"> </w:t>
      </w:r>
    </w:p>
    <w:p>
      <w:pPr>
        <w:pStyle w:val="12"/>
        <w:snapToGrid w:val="0"/>
        <w:spacing w:line="500" w:lineRule="exact"/>
        <w:ind w:firstLine="420"/>
        <w:contextualSpacing/>
        <w:rPr>
          <w:rFonts w:hAnsi="宋体"/>
          <w:sz w:val="24"/>
          <w:szCs w:val="24"/>
        </w:rPr>
      </w:pPr>
      <w:r>
        <w:rPr>
          <w:rFonts w:hint="eastAsia" w:hAnsi="宋体"/>
          <w:sz w:val="24"/>
          <w:szCs w:val="24"/>
        </w:rPr>
        <w:t xml:space="preserve"> 本授权委托书声明：我</w:t>
      </w:r>
      <w:r>
        <w:rPr>
          <w:rFonts w:hint="eastAsia" w:hAnsi="宋体"/>
          <w:sz w:val="24"/>
          <w:szCs w:val="24"/>
          <w:u w:val="single"/>
        </w:rPr>
        <w:t>　　   　</w:t>
      </w:r>
      <w:r>
        <w:rPr>
          <w:rFonts w:hint="eastAsia" w:hAnsi="宋体"/>
          <w:sz w:val="24"/>
          <w:szCs w:val="24"/>
        </w:rPr>
        <w:t>（姓名）系</w:t>
      </w:r>
      <w:r>
        <w:rPr>
          <w:rFonts w:hint="eastAsia" w:hAnsi="宋体"/>
          <w:sz w:val="24"/>
          <w:szCs w:val="24"/>
          <w:u w:val="single"/>
        </w:rPr>
        <w:t>　　  　</w:t>
      </w:r>
      <w:r>
        <w:rPr>
          <w:rFonts w:hint="eastAsia" w:hAnsi="宋体"/>
          <w:sz w:val="24"/>
          <w:szCs w:val="24"/>
        </w:rPr>
        <w:t>（响应人名称）的法定代表人，现授权委托</w:t>
      </w:r>
      <w:r>
        <w:rPr>
          <w:rFonts w:hint="eastAsia" w:hAnsi="宋体"/>
          <w:sz w:val="24"/>
          <w:szCs w:val="24"/>
          <w:u w:val="single"/>
        </w:rPr>
        <w:t>　　   （</w:t>
      </w:r>
      <w:r>
        <w:rPr>
          <w:rFonts w:hint="eastAsia" w:hAnsi="宋体"/>
          <w:sz w:val="24"/>
          <w:szCs w:val="24"/>
        </w:rPr>
        <w:t>姓名）为我公司代理人，以本公司的名义参加本项目的竞争性谈判响应活动。代理人在响应、开标、评审、谈判过程中所签署的一切文件和处理与之有关的一切事务，我均予以承认。</w:t>
      </w:r>
    </w:p>
    <w:p>
      <w:pPr>
        <w:pStyle w:val="12"/>
        <w:snapToGrid w:val="0"/>
        <w:spacing w:line="500" w:lineRule="exact"/>
        <w:ind w:firstLine="420"/>
        <w:contextualSpacing/>
        <w:rPr>
          <w:rFonts w:hAnsi="宋体"/>
          <w:sz w:val="24"/>
          <w:szCs w:val="24"/>
        </w:rPr>
      </w:pPr>
      <w:r>
        <w:rPr>
          <w:rFonts w:hint="eastAsia" w:hAnsi="宋体"/>
          <w:sz w:val="24"/>
          <w:szCs w:val="24"/>
        </w:rPr>
        <w:t>被委托授权人无转委权。特此委托。</w:t>
      </w:r>
    </w:p>
    <w:p>
      <w:pPr>
        <w:pStyle w:val="12"/>
        <w:snapToGrid w:val="0"/>
        <w:spacing w:line="500" w:lineRule="exact"/>
        <w:ind w:firstLine="420"/>
        <w:contextualSpacing/>
        <w:rPr>
          <w:rFonts w:hAnsi="宋体"/>
          <w:sz w:val="24"/>
          <w:szCs w:val="24"/>
        </w:rPr>
      </w:pPr>
    </w:p>
    <w:p>
      <w:pPr>
        <w:pStyle w:val="12"/>
        <w:snapToGrid w:val="0"/>
        <w:spacing w:line="500" w:lineRule="exact"/>
        <w:ind w:firstLine="420"/>
        <w:contextualSpacing/>
        <w:rPr>
          <w:rFonts w:hAnsi="宋体"/>
          <w:sz w:val="24"/>
          <w:szCs w:val="24"/>
        </w:rPr>
      </w:pPr>
      <w:r>
        <w:rPr>
          <w:rFonts w:hint="eastAsia" w:hAnsi="宋体"/>
          <w:sz w:val="24"/>
          <w:szCs w:val="24"/>
        </w:rPr>
        <w:t>被委托授权人身份证号：</w:t>
      </w:r>
    </w:p>
    <w:p>
      <w:pPr>
        <w:snapToGrid w:val="0"/>
        <w:spacing w:line="500" w:lineRule="exact"/>
        <w:ind w:firstLine="360" w:firstLineChars="150"/>
        <w:contextualSpacing/>
        <w:rPr>
          <w:rFonts w:ascii="宋体" w:hAnsi="宋体" w:eastAsia="宋体"/>
          <w:color w:val="000000"/>
          <w:sz w:val="24"/>
          <w:szCs w:val="24"/>
        </w:rPr>
      </w:pPr>
    </w:p>
    <w:p>
      <w:pPr>
        <w:snapToGrid w:val="0"/>
        <w:spacing w:line="500" w:lineRule="exact"/>
        <w:ind w:firstLine="360" w:firstLineChars="150"/>
        <w:contextualSpacing/>
        <w:rPr>
          <w:rFonts w:ascii="宋体" w:hAnsi="宋体" w:eastAsia="宋体"/>
          <w:color w:val="000000"/>
          <w:sz w:val="24"/>
          <w:szCs w:val="24"/>
        </w:rPr>
      </w:pPr>
      <w:r>
        <w:rPr>
          <w:rFonts w:hint="eastAsia" w:ascii="宋体" w:hAnsi="宋体" w:eastAsia="宋体"/>
          <w:color w:val="000000"/>
          <w:sz w:val="24"/>
          <w:szCs w:val="24"/>
        </w:rPr>
        <w:t>法定代表人签字：</w:t>
      </w:r>
    </w:p>
    <w:p>
      <w:pPr>
        <w:snapToGrid w:val="0"/>
        <w:spacing w:line="500" w:lineRule="exact"/>
        <w:ind w:firstLine="360" w:firstLineChars="150"/>
        <w:contextualSpacing/>
        <w:rPr>
          <w:rFonts w:ascii="宋体" w:hAnsi="宋体" w:eastAsia="宋体"/>
          <w:color w:val="000000"/>
          <w:sz w:val="24"/>
          <w:szCs w:val="24"/>
        </w:rPr>
      </w:pPr>
    </w:p>
    <w:p>
      <w:pPr>
        <w:snapToGrid w:val="0"/>
        <w:spacing w:line="500" w:lineRule="exact"/>
        <w:ind w:firstLine="360" w:firstLineChars="150"/>
        <w:contextualSpacing/>
        <w:rPr>
          <w:rFonts w:ascii="宋体" w:hAnsi="宋体" w:eastAsia="宋体"/>
          <w:color w:val="000000"/>
          <w:sz w:val="24"/>
          <w:szCs w:val="24"/>
        </w:rPr>
      </w:pPr>
      <w:r>
        <w:rPr>
          <w:rFonts w:hint="eastAsia" w:ascii="宋体" w:hAnsi="宋体" w:eastAsia="宋体"/>
          <w:color w:val="000000"/>
          <w:sz w:val="24"/>
          <w:szCs w:val="24"/>
        </w:rPr>
        <w:t>被委托授权人签字：</w:t>
      </w:r>
    </w:p>
    <w:p>
      <w:pPr>
        <w:snapToGrid w:val="0"/>
        <w:spacing w:line="500" w:lineRule="exact"/>
        <w:ind w:firstLine="4440" w:firstLineChars="1850"/>
        <w:contextualSpacing/>
        <w:rPr>
          <w:rFonts w:ascii="宋体" w:hAnsi="宋体" w:eastAsia="宋体"/>
          <w:color w:val="000000"/>
          <w:sz w:val="24"/>
          <w:szCs w:val="24"/>
        </w:rPr>
      </w:pPr>
    </w:p>
    <w:p>
      <w:pPr>
        <w:snapToGrid w:val="0"/>
        <w:spacing w:line="500" w:lineRule="exact"/>
        <w:ind w:firstLine="4440" w:firstLineChars="1850"/>
        <w:contextualSpacing/>
        <w:rPr>
          <w:rFonts w:ascii="宋体" w:hAnsi="宋体" w:eastAsia="宋体"/>
          <w:color w:val="000000"/>
          <w:sz w:val="24"/>
          <w:szCs w:val="24"/>
        </w:rPr>
      </w:pPr>
      <w:r>
        <w:rPr>
          <w:rFonts w:hint="eastAsia" w:ascii="宋体" w:hAnsi="宋体" w:eastAsia="宋体"/>
          <w:color w:val="000000"/>
          <w:sz w:val="24"/>
          <w:szCs w:val="24"/>
        </w:rPr>
        <w:t>响应人（盖章）</w:t>
      </w:r>
    </w:p>
    <w:p>
      <w:pPr>
        <w:snapToGrid w:val="0"/>
        <w:spacing w:line="500" w:lineRule="exact"/>
        <w:contextualSpacing/>
        <w:rPr>
          <w:rFonts w:ascii="宋体" w:hAnsi="宋体" w:eastAsia="宋体"/>
          <w:color w:val="000000"/>
          <w:sz w:val="24"/>
          <w:szCs w:val="24"/>
        </w:rPr>
      </w:pPr>
    </w:p>
    <w:p>
      <w:pPr>
        <w:pStyle w:val="14"/>
        <w:snapToGrid w:val="0"/>
        <w:spacing w:line="500" w:lineRule="exact"/>
        <w:ind w:firstLine="4440" w:firstLineChars="1850"/>
        <w:contextualSpacing/>
        <w:rPr>
          <w:rFonts w:ascii="宋体" w:hAnsi="宋体" w:eastAsia="宋体"/>
          <w:bCs/>
          <w:sz w:val="24"/>
          <w:szCs w:val="24"/>
        </w:rPr>
      </w:pPr>
      <w:r>
        <w:rPr>
          <w:rFonts w:hint="eastAsia" w:ascii="宋体" w:hAnsi="宋体" w:eastAsia="宋体"/>
          <w:bCs/>
          <w:sz w:val="24"/>
          <w:szCs w:val="24"/>
        </w:rPr>
        <w:t>年    月    日</w:t>
      </w:r>
    </w:p>
    <w:p>
      <w:pPr>
        <w:pStyle w:val="12"/>
        <w:snapToGrid w:val="0"/>
        <w:spacing w:line="500" w:lineRule="exact"/>
        <w:ind w:firstLine="420"/>
        <w:contextualSpacing/>
        <w:rPr>
          <w:rFonts w:hAnsi="宋体"/>
          <w:b/>
          <w:sz w:val="24"/>
          <w:szCs w:val="24"/>
        </w:rPr>
      </w:pPr>
    </w:p>
    <w:p>
      <w:pPr>
        <w:pStyle w:val="12"/>
        <w:snapToGrid w:val="0"/>
        <w:spacing w:line="500" w:lineRule="exact"/>
        <w:ind w:firstLine="420"/>
        <w:contextualSpacing/>
        <w:rPr>
          <w:rFonts w:hAnsi="宋体"/>
          <w:b/>
          <w:sz w:val="24"/>
          <w:szCs w:val="24"/>
        </w:rPr>
      </w:pPr>
      <w:r>
        <w:rPr>
          <w:rFonts w:hint="eastAsia" w:hAnsi="宋体"/>
          <w:b/>
          <w:sz w:val="24"/>
          <w:szCs w:val="24"/>
        </w:rPr>
        <w:t>注：提供被委托授权人的身份证复印件盖公章</w:t>
      </w:r>
    </w:p>
    <w:p>
      <w:pPr>
        <w:pStyle w:val="12"/>
        <w:snapToGrid w:val="0"/>
        <w:spacing w:line="300" w:lineRule="auto"/>
        <w:ind w:firstLine="420"/>
        <w:contextualSpacing/>
        <w:rPr>
          <w:rFonts w:hAnsi="宋体"/>
          <w:b/>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ind w:firstLine="3196" w:firstLineChars="995"/>
        <w:rPr>
          <w:rFonts w:ascii="宋体" w:hAnsi="宋体" w:eastAsia="宋体"/>
          <w:b/>
          <w:bCs/>
          <w:sz w:val="32"/>
          <w:szCs w:val="32"/>
        </w:rPr>
      </w:pPr>
      <w:r>
        <w:rPr>
          <w:rFonts w:hint="eastAsia" w:ascii="宋体" w:hAnsi="宋体" w:eastAsia="宋体"/>
          <w:b/>
          <w:bCs/>
          <w:sz w:val="32"/>
          <w:szCs w:val="32"/>
        </w:rPr>
        <w:t>响应文件</w:t>
      </w:r>
    </w:p>
    <w:p>
      <w:pPr>
        <w:spacing w:after="60" w:line="360" w:lineRule="auto"/>
        <w:ind w:firstLine="2072" w:firstLineChars="645"/>
        <w:rPr>
          <w:rFonts w:ascii="宋体" w:hAnsi="宋体" w:eastAsia="宋体"/>
          <w:b/>
          <w:bCs/>
          <w:sz w:val="32"/>
          <w:szCs w:val="32"/>
        </w:rPr>
      </w:pPr>
      <w:r>
        <w:rPr>
          <w:rFonts w:hint="eastAsia" w:ascii="宋体" w:hAnsi="宋体" w:eastAsia="宋体"/>
          <w:b/>
          <w:bCs/>
          <w:sz w:val="32"/>
          <w:szCs w:val="32"/>
        </w:rPr>
        <w:t>（商务技术响应文件）</w:t>
      </w:r>
    </w:p>
    <w:p>
      <w:pPr>
        <w:spacing w:after="60" w:line="360" w:lineRule="auto"/>
        <w:ind w:firstLine="2875" w:firstLineChars="895"/>
        <w:rPr>
          <w:rFonts w:ascii="宋体" w:hAnsi="宋体" w:eastAsia="宋体"/>
          <w:b/>
          <w:sz w:val="32"/>
          <w:szCs w:val="32"/>
        </w:rPr>
      </w:pPr>
      <w:r>
        <w:rPr>
          <w:rFonts w:hint="eastAsia" w:ascii="宋体" w:hAnsi="宋体" w:eastAsia="宋体"/>
          <w:b/>
          <w:sz w:val="32"/>
          <w:szCs w:val="32"/>
        </w:rPr>
        <w:t>正本或副本</w:t>
      </w:r>
    </w:p>
    <w:p>
      <w:pPr>
        <w:spacing w:after="60"/>
        <w:jc w:val="center"/>
        <w:rPr>
          <w:rFonts w:ascii="宋体" w:hAnsi="宋体" w:eastAsia="宋体"/>
          <w:b/>
          <w:bCs/>
          <w:sz w:val="24"/>
          <w:szCs w:val="24"/>
        </w:rPr>
      </w:pPr>
    </w:p>
    <w:p>
      <w:pPr>
        <w:spacing w:after="60"/>
        <w:jc w:val="center"/>
        <w:rPr>
          <w:rFonts w:ascii="宋体" w:hAnsi="宋体" w:eastAsia="宋体"/>
          <w:b/>
          <w:bCs/>
          <w:sz w:val="24"/>
          <w:szCs w:val="24"/>
        </w:rPr>
      </w:pPr>
    </w:p>
    <w:p>
      <w:pPr>
        <w:spacing w:after="60" w:line="480" w:lineRule="auto"/>
        <w:ind w:left="1579" w:leftChars="171" w:hanging="1220" w:hangingChars="533"/>
        <w:rPr>
          <w:rFonts w:ascii="宋体" w:hAnsi="宋体" w:eastAsia="宋体"/>
          <w:b/>
          <w:sz w:val="24"/>
          <w:szCs w:val="24"/>
          <w:u w:val="single"/>
        </w:rPr>
      </w:pPr>
      <w:r>
        <w:rPr>
          <w:rFonts w:hint="eastAsia" w:ascii="宋体" w:hAnsi="宋体" w:eastAsia="宋体"/>
          <w:b/>
          <w:bCs/>
          <w:spacing w:val="-6"/>
          <w:sz w:val="24"/>
          <w:szCs w:val="24"/>
        </w:rPr>
        <w:t>项目名称:</w:t>
      </w:r>
      <w:r>
        <w:rPr>
          <w:rFonts w:hint="eastAsia" w:ascii="宋体" w:hAnsi="宋体" w:eastAsia="宋体"/>
          <w:b/>
          <w:sz w:val="24"/>
          <w:szCs w:val="24"/>
          <w:u w:val="single"/>
        </w:rPr>
        <w:t xml:space="preserve">                            </w:t>
      </w:r>
    </w:p>
    <w:p>
      <w:pPr>
        <w:spacing w:line="480" w:lineRule="auto"/>
        <w:ind w:left="1282" w:leftChars="171" w:hanging="923" w:hangingChars="383"/>
        <w:rPr>
          <w:rFonts w:ascii="宋体" w:hAnsi="宋体" w:eastAsia="宋体"/>
          <w:b/>
          <w:sz w:val="24"/>
          <w:szCs w:val="24"/>
        </w:rPr>
      </w:pPr>
      <w:r>
        <w:rPr>
          <w:rFonts w:hint="eastAsia" w:ascii="宋体" w:hAnsi="宋体" w:eastAsia="宋体"/>
          <w:b/>
          <w:sz w:val="24"/>
          <w:szCs w:val="24"/>
        </w:rPr>
        <w:t>供应商：</w:t>
      </w:r>
      <w:r>
        <w:rPr>
          <w:rFonts w:hint="eastAsia" w:ascii="宋体" w:hAnsi="宋体" w:eastAsia="宋体"/>
          <w:b/>
          <w:sz w:val="24"/>
          <w:szCs w:val="24"/>
          <w:u w:val="single"/>
        </w:rPr>
        <w:t xml:space="preserve">                                    </w:t>
      </w:r>
    </w:p>
    <w:p>
      <w:pPr>
        <w:spacing w:line="480" w:lineRule="auto"/>
        <w:ind w:left="1282" w:leftChars="171" w:hanging="923" w:hangingChars="383"/>
        <w:rPr>
          <w:rFonts w:ascii="宋体" w:hAnsi="宋体" w:eastAsia="宋体"/>
          <w:b/>
          <w:sz w:val="24"/>
          <w:szCs w:val="24"/>
        </w:rPr>
      </w:pPr>
      <w:r>
        <w:rPr>
          <w:rFonts w:hint="eastAsia" w:ascii="宋体" w:hAnsi="宋体" w:eastAsia="宋体"/>
          <w:b/>
          <w:sz w:val="24"/>
          <w:szCs w:val="24"/>
        </w:rPr>
        <w:t>（盖公章）</w:t>
      </w:r>
    </w:p>
    <w:p>
      <w:pPr>
        <w:spacing w:line="480" w:lineRule="auto"/>
        <w:ind w:left="1282" w:leftChars="171" w:hanging="923" w:hangingChars="383"/>
        <w:rPr>
          <w:rFonts w:ascii="宋体" w:hAnsi="宋体" w:eastAsia="宋体"/>
          <w:b/>
          <w:sz w:val="24"/>
          <w:szCs w:val="24"/>
          <w:u w:val="single"/>
        </w:rPr>
      </w:pPr>
      <w:r>
        <w:rPr>
          <w:rFonts w:hint="eastAsia" w:ascii="宋体" w:hAnsi="宋体" w:eastAsia="宋体"/>
          <w:b/>
          <w:sz w:val="24"/>
          <w:szCs w:val="24"/>
        </w:rPr>
        <w:t>法定代表人签字：</w:t>
      </w:r>
      <w:r>
        <w:rPr>
          <w:rFonts w:hint="eastAsia" w:ascii="宋体" w:hAnsi="宋体" w:eastAsia="宋体"/>
          <w:b/>
          <w:sz w:val="24"/>
          <w:szCs w:val="24"/>
          <w:u w:val="single"/>
        </w:rPr>
        <w:t xml:space="preserve">                              </w:t>
      </w:r>
    </w:p>
    <w:p>
      <w:pPr>
        <w:spacing w:line="480" w:lineRule="auto"/>
        <w:ind w:left="1282" w:leftChars="171" w:hanging="923" w:hangingChars="383"/>
        <w:rPr>
          <w:rFonts w:ascii="宋体" w:hAnsi="宋体" w:eastAsia="宋体"/>
          <w:b/>
          <w:sz w:val="24"/>
          <w:szCs w:val="24"/>
        </w:rPr>
      </w:pPr>
      <w:r>
        <w:rPr>
          <w:rFonts w:hint="eastAsia" w:ascii="宋体" w:hAnsi="宋体" w:eastAsia="宋体"/>
          <w:b/>
          <w:sz w:val="24"/>
          <w:szCs w:val="24"/>
        </w:rPr>
        <w:t>（或委托授权代表）</w:t>
      </w:r>
    </w:p>
    <w:p>
      <w:pPr>
        <w:spacing w:line="480" w:lineRule="auto"/>
        <w:ind w:left="1278" w:leftChars="171" w:hanging="919" w:hangingChars="383"/>
        <w:rPr>
          <w:rFonts w:ascii="宋体" w:hAnsi="宋体" w:eastAsia="宋体"/>
          <w:b/>
          <w:sz w:val="24"/>
          <w:szCs w:val="24"/>
        </w:rPr>
      </w:pPr>
      <w:r>
        <w:rPr>
          <w:rFonts w:ascii="宋体" w:hAnsi="宋体" w:eastAsia="宋体"/>
          <w:sz w:val="24"/>
          <w:szCs w:val="24"/>
        </w:rPr>
        <w:t>响应人地址：</w:t>
      </w:r>
      <w:r>
        <w:rPr>
          <w:rFonts w:ascii="宋体" w:hAnsi="宋体" w:eastAsia="宋体"/>
          <w:sz w:val="24"/>
          <w:szCs w:val="24"/>
          <w:u w:val="single"/>
        </w:rPr>
        <w:t xml:space="preserve">                         </w:t>
      </w:r>
    </w:p>
    <w:p>
      <w:pPr>
        <w:spacing w:line="480" w:lineRule="auto"/>
        <w:ind w:left="1278" w:leftChars="171" w:hanging="919" w:hangingChars="383"/>
        <w:rPr>
          <w:rFonts w:ascii="宋体" w:hAnsi="宋体" w:eastAsia="宋体"/>
          <w:b/>
          <w:sz w:val="24"/>
          <w:szCs w:val="24"/>
        </w:rPr>
      </w:pPr>
      <w:r>
        <w:rPr>
          <w:rFonts w:ascii="宋体" w:hAnsi="宋体" w:eastAsia="宋体"/>
          <w:sz w:val="24"/>
          <w:szCs w:val="24"/>
        </w:rPr>
        <w:t>联系电话：</w:t>
      </w:r>
      <w:r>
        <w:rPr>
          <w:rFonts w:ascii="宋体" w:hAnsi="宋体" w:eastAsia="宋体"/>
          <w:sz w:val="24"/>
          <w:szCs w:val="24"/>
          <w:u w:val="single"/>
        </w:rPr>
        <w:t xml:space="preserve">            </w:t>
      </w:r>
      <w:r>
        <w:rPr>
          <w:rFonts w:ascii="宋体" w:hAnsi="宋体" w:eastAsia="宋体"/>
          <w:b/>
          <w:sz w:val="24"/>
          <w:szCs w:val="24"/>
          <w:u w:val="single"/>
        </w:rPr>
        <w:t>/</w:t>
      </w:r>
      <w:r>
        <w:rPr>
          <w:rFonts w:ascii="宋体" w:hAnsi="宋体" w:eastAsia="宋体"/>
          <w:sz w:val="24"/>
          <w:szCs w:val="24"/>
          <w:u w:val="single"/>
        </w:rPr>
        <w:t xml:space="preserve">           </w:t>
      </w:r>
      <w:r>
        <w:rPr>
          <w:rFonts w:ascii="宋体" w:hAnsi="宋体" w:eastAsia="宋体"/>
          <w:sz w:val="24"/>
          <w:szCs w:val="24"/>
        </w:rPr>
        <w:t>(传真)</w:t>
      </w:r>
    </w:p>
    <w:p>
      <w:pPr>
        <w:spacing w:line="480" w:lineRule="auto"/>
        <w:ind w:firstLine="240" w:firstLineChars="100"/>
        <w:rPr>
          <w:rFonts w:ascii="宋体" w:hAnsi="宋体" w:eastAsia="宋体"/>
          <w:sz w:val="24"/>
          <w:szCs w:val="24"/>
          <w:u w:val="single"/>
        </w:rPr>
      </w:pPr>
      <w:r>
        <w:rPr>
          <w:rFonts w:hint="eastAsia" w:ascii="宋体" w:hAnsi="宋体" w:eastAsia="宋体"/>
          <w:sz w:val="24"/>
          <w:szCs w:val="24"/>
        </w:rPr>
        <w:t>日   期：</w:t>
      </w:r>
      <w:r>
        <w:rPr>
          <w:rFonts w:hint="eastAsia" w:ascii="宋体" w:hAnsi="宋体" w:eastAsia="宋体"/>
          <w:sz w:val="24"/>
          <w:szCs w:val="24"/>
          <w:u w:val="single"/>
        </w:rPr>
        <w:t xml:space="preserve">                                    </w:t>
      </w:r>
    </w:p>
    <w:p>
      <w:pPr>
        <w:pStyle w:val="43"/>
        <w:ind w:left="0" w:firstLine="1549" w:firstLineChars="643"/>
        <w:rPr>
          <w:rFonts w:ascii="宋体" w:eastAsia="宋体"/>
          <w:b/>
          <w:bCs/>
          <w:sz w:val="24"/>
          <w:szCs w:val="24"/>
        </w:rPr>
      </w:pPr>
      <w:r>
        <w:rPr>
          <w:rFonts w:ascii="宋体" w:eastAsia="宋体"/>
          <w:b/>
          <w:sz w:val="24"/>
          <w:szCs w:val="24"/>
        </w:rPr>
        <w:br w:type="page"/>
      </w:r>
    </w:p>
    <w:p>
      <w:pPr>
        <w:pStyle w:val="30"/>
        <w:snapToGrid w:val="0"/>
        <w:spacing w:line="300" w:lineRule="auto"/>
        <w:ind w:left="140" w:firstLine="361" w:firstLineChars="150"/>
        <w:contextualSpacing/>
        <w:rPr>
          <w:rFonts w:ascii="宋体" w:eastAsia="宋体"/>
          <w:b/>
          <w:sz w:val="24"/>
          <w:szCs w:val="24"/>
        </w:rPr>
      </w:pPr>
    </w:p>
    <w:p>
      <w:pPr>
        <w:pStyle w:val="30"/>
        <w:ind w:firstLine="0" w:firstLineChars="0"/>
        <w:jc w:val="center"/>
        <w:rPr>
          <w:rFonts w:ascii="宋体" w:eastAsia="宋体"/>
          <w:b/>
          <w:sz w:val="32"/>
          <w:szCs w:val="32"/>
        </w:rPr>
      </w:pPr>
      <w:r>
        <w:rPr>
          <w:rFonts w:hint="eastAsia" w:ascii="宋体" w:eastAsia="宋体"/>
          <w:b/>
          <w:sz w:val="32"/>
          <w:szCs w:val="32"/>
        </w:rPr>
        <w:t>目      录</w:t>
      </w:r>
    </w:p>
    <w:p>
      <w:pPr>
        <w:pStyle w:val="30"/>
        <w:ind w:firstLine="494"/>
        <w:rPr>
          <w:rFonts w:ascii="宋体" w:eastAsia="宋体"/>
          <w:sz w:val="24"/>
          <w:szCs w:val="24"/>
        </w:rPr>
      </w:pPr>
    </w:p>
    <w:p>
      <w:pPr>
        <w:pStyle w:val="30"/>
        <w:snapToGrid w:val="0"/>
        <w:spacing w:line="500" w:lineRule="exact"/>
        <w:ind w:firstLine="496"/>
        <w:contextualSpacing/>
        <w:rPr>
          <w:rFonts w:ascii="宋体" w:eastAsia="宋体"/>
          <w:b/>
          <w:sz w:val="24"/>
          <w:szCs w:val="24"/>
        </w:rPr>
      </w:pPr>
      <w:r>
        <w:rPr>
          <w:rFonts w:hint="eastAsia" w:ascii="宋体" w:eastAsia="宋体"/>
          <w:b/>
          <w:sz w:val="24"/>
          <w:szCs w:val="24"/>
        </w:rPr>
        <w:t>请按照竞争性谈判采购文件商务技术响应文件要求组成内容编制目录。</w:t>
      </w:r>
    </w:p>
    <w:p>
      <w:pPr>
        <w:pStyle w:val="30"/>
        <w:snapToGrid w:val="0"/>
        <w:spacing w:line="500" w:lineRule="exact"/>
        <w:ind w:firstLine="496"/>
        <w:contextualSpacing/>
        <w:rPr>
          <w:rFonts w:ascii="宋体" w:eastAsia="宋体"/>
          <w:b/>
          <w:sz w:val="24"/>
          <w:szCs w:val="24"/>
        </w:rPr>
      </w:pPr>
      <w:r>
        <w:rPr>
          <w:rFonts w:hint="eastAsia" w:ascii="宋体" w:eastAsia="宋体"/>
          <w:b/>
          <w:sz w:val="24"/>
          <w:szCs w:val="24"/>
        </w:rPr>
        <w:t>例如格式，仅供参考：</w:t>
      </w:r>
    </w:p>
    <w:p>
      <w:pPr>
        <w:tabs>
          <w:tab w:val="left" w:pos="1260"/>
        </w:tabs>
        <w:snapToGrid w:val="0"/>
        <w:spacing w:line="500" w:lineRule="exact"/>
        <w:ind w:firstLine="480" w:firstLineChars="200"/>
        <w:rPr>
          <w:rFonts w:ascii="宋体" w:hAnsi="宋体" w:eastAsia="宋体"/>
          <w:sz w:val="24"/>
          <w:szCs w:val="24"/>
        </w:rPr>
      </w:pPr>
      <w:r>
        <w:rPr>
          <w:rFonts w:hint="eastAsia" w:ascii="宋体" w:hAnsi="宋体" w:eastAsia="宋体"/>
          <w:sz w:val="24"/>
          <w:szCs w:val="24"/>
        </w:rPr>
        <w:t>1.投标人情况一览表</w:t>
      </w:r>
    </w:p>
    <w:p>
      <w:pPr>
        <w:pStyle w:val="30"/>
        <w:snapToGrid w:val="0"/>
        <w:spacing w:line="500" w:lineRule="exact"/>
        <w:ind w:firstLine="480" w:firstLineChars="200"/>
        <w:contextualSpacing/>
        <w:rPr>
          <w:rFonts w:ascii="宋体" w:eastAsia="宋体"/>
          <w:sz w:val="24"/>
          <w:szCs w:val="24"/>
        </w:rPr>
      </w:pPr>
      <w:r>
        <w:rPr>
          <w:rFonts w:hint="eastAsia" w:ascii="宋体" w:eastAsia="宋体"/>
          <w:sz w:val="24"/>
          <w:szCs w:val="24"/>
        </w:rPr>
        <w:t>2.商务部分正负偏离表</w:t>
      </w:r>
    </w:p>
    <w:p>
      <w:pPr>
        <w:pStyle w:val="30"/>
        <w:snapToGrid w:val="0"/>
        <w:spacing w:line="500" w:lineRule="exact"/>
        <w:ind w:firstLine="494"/>
        <w:contextualSpacing/>
        <w:rPr>
          <w:rFonts w:ascii="宋体" w:eastAsia="宋体"/>
          <w:sz w:val="24"/>
          <w:szCs w:val="24"/>
        </w:rPr>
      </w:pPr>
      <w:r>
        <w:rPr>
          <w:rFonts w:hint="eastAsia" w:ascii="宋体" w:eastAsia="宋体"/>
          <w:sz w:val="24"/>
          <w:szCs w:val="24"/>
        </w:rPr>
        <w:t>3.技术部分正负偏离表</w:t>
      </w:r>
    </w:p>
    <w:p>
      <w:pPr>
        <w:pStyle w:val="41"/>
        <w:snapToGrid w:val="0"/>
        <w:spacing w:line="500" w:lineRule="exact"/>
        <w:ind w:firstLine="482" w:firstLineChars="200"/>
        <w:rPr>
          <w:b/>
        </w:rPr>
      </w:pPr>
      <w:r>
        <w:rPr>
          <w:rFonts w:hint="eastAsia"/>
          <w:b/>
        </w:rPr>
        <w:t>填制正负偏离表，完全响应的，请以空白表列示。不完全响应的，必须在偏离表中列示；列示不全的，视同故意隐瞒。</w:t>
      </w:r>
    </w:p>
    <w:p>
      <w:pPr>
        <w:pStyle w:val="30"/>
        <w:snapToGrid w:val="0"/>
        <w:spacing w:line="500" w:lineRule="exact"/>
        <w:ind w:firstLine="482" w:firstLineChars="200"/>
        <w:contextualSpacing/>
        <w:rPr>
          <w:rFonts w:ascii="宋体" w:eastAsia="宋体"/>
          <w:b/>
          <w:sz w:val="24"/>
          <w:szCs w:val="24"/>
        </w:rPr>
      </w:pPr>
      <w:r>
        <w:rPr>
          <w:rFonts w:hint="eastAsia" w:ascii="宋体" w:eastAsia="宋体"/>
          <w:b/>
          <w:sz w:val="24"/>
          <w:szCs w:val="24"/>
        </w:rPr>
        <w:t>其它：</w:t>
      </w:r>
    </w:p>
    <w:p>
      <w:pPr>
        <w:pStyle w:val="30"/>
        <w:snapToGrid w:val="0"/>
        <w:spacing w:line="500" w:lineRule="exact"/>
        <w:ind w:firstLine="480" w:firstLineChars="200"/>
        <w:contextualSpacing/>
        <w:rPr>
          <w:rFonts w:ascii="宋体" w:eastAsia="宋体"/>
          <w:sz w:val="24"/>
          <w:szCs w:val="24"/>
        </w:rPr>
      </w:pPr>
      <w:r>
        <w:rPr>
          <w:rFonts w:hint="eastAsia" w:ascii="宋体" w:eastAsia="宋体"/>
          <w:sz w:val="24"/>
          <w:szCs w:val="24"/>
        </w:rPr>
        <w:t>4.货物（服务）清单</w:t>
      </w:r>
    </w:p>
    <w:p>
      <w:pPr>
        <w:pStyle w:val="30"/>
        <w:snapToGrid w:val="0"/>
        <w:spacing w:line="500" w:lineRule="exact"/>
        <w:ind w:firstLine="480" w:firstLineChars="200"/>
        <w:contextualSpacing/>
        <w:rPr>
          <w:rFonts w:ascii="宋体" w:eastAsia="宋体"/>
          <w:sz w:val="24"/>
          <w:szCs w:val="24"/>
        </w:rPr>
      </w:pPr>
      <w:r>
        <w:rPr>
          <w:rFonts w:hint="eastAsia" w:ascii="宋体" w:eastAsia="宋体" w:cs="Lucida Sans Unicode"/>
          <w:sz w:val="24"/>
          <w:szCs w:val="24"/>
        </w:rPr>
        <w:t>5.售后服务</w:t>
      </w:r>
      <w:r>
        <w:rPr>
          <w:rFonts w:hint="eastAsia" w:ascii="宋体" w:eastAsia="宋体"/>
          <w:sz w:val="24"/>
          <w:szCs w:val="24"/>
        </w:rPr>
        <w:t>计划</w:t>
      </w:r>
    </w:p>
    <w:p>
      <w:pPr>
        <w:pStyle w:val="30"/>
        <w:snapToGrid w:val="0"/>
        <w:spacing w:line="500" w:lineRule="exact"/>
        <w:ind w:firstLine="480" w:firstLineChars="200"/>
        <w:contextualSpacing/>
        <w:rPr>
          <w:rFonts w:ascii="宋体" w:eastAsia="宋体"/>
          <w:sz w:val="24"/>
          <w:szCs w:val="24"/>
        </w:rPr>
      </w:pPr>
      <w:r>
        <w:rPr>
          <w:rFonts w:hint="eastAsia" w:ascii="宋体" w:eastAsia="宋体"/>
          <w:sz w:val="24"/>
          <w:szCs w:val="24"/>
        </w:rPr>
        <w:t>6.拟安排本项目技术人员情况表</w:t>
      </w:r>
    </w:p>
    <w:p>
      <w:pPr>
        <w:pStyle w:val="30"/>
        <w:snapToGrid w:val="0"/>
        <w:spacing w:line="500" w:lineRule="exact"/>
        <w:ind w:firstLine="494"/>
        <w:contextualSpacing/>
        <w:rPr>
          <w:rFonts w:ascii="宋体" w:eastAsia="宋体"/>
          <w:sz w:val="24"/>
          <w:szCs w:val="24"/>
        </w:rPr>
      </w:pPr>
    </w:p>
    <w:p>
      <w:pPr>
        <w:pStyle w:val="30"/>
        <w:snapToGrid w:val="0"/>
        <w:spacing w:line="500" w:lineRule="exact"/>
        <w:ind w:firstLine="494"/>
        <w:contextualSpacing/>
        <w:rPr>
          <w:rFonts w:ascii="宋体" w:eastAsia="宋体"/>
          <w:sz w:val="24"/>
          <w:szCs w:val="24"/>
        </w:rPr>
      </w:pPr>
      <w:r>
        <w:rPr>
          <w:rFonts w:hint="eastAsia" w:ascii="宋体" w:eastAsia="宋体"/>
          <w:sz w:val="24"/>
          <w:szCs w:val="24"/>
        </w:rPr>
        <w:t>为方便谈判小组成员评审，请响应人按评审办法中所涉及的事项顺序进行编制，可以补充相关材料。</w:t>
      </w:r>
    </w:p>
    <w:p>
      <w:pPr>
        <w:pStyle w:val="30"/>
        <w:snapToGrid w:val="0"/>
        <w:spacing w:line="500" w:lineRule="exact"/>
        <w:ind w:firstLine="494"/>
        <w:contextualSpacing/>
        <w:rPr>
          <w:rFonts w:ascii="宋体" w:eastAsia="宋体"/>
          <w:color w:val="000000"/>
          <w:sz w:val="24"/>
          <w:szCs w:val="24"/>
        </w:rPr>
      </w:pPr>
      <w:r>
        <w:rPr>
          <w:rFonts w:hint="eastAsia" w:ascii="宋体" w:eastAsia="宋体"/>
          <w:color w:val="000000"/>
          <w:sz w:val="24"/>
          <w:szCs w:val="24"/>
        </w:rPr>
        <w:t>评审办法中未涉及的事项，响应人认为需要提交的其他资料</w:t>
      </w:r>
    </w:p>
    <w:p>
      <w:pPr>
        <w:pStyle w:val="30"/>
        <w:snapToGrid w:val="0"/>
        <w:spacing w:line="500" w:lineRule="exact"/>
        <w:ind w:firstLine="0" w:firstLineChars="0"/>
        <w:contextualSpacing/>
        <w:rPr>
          <w:rFonts w:ascii="宋体" w:eastAsia="宋体"/>
          <w:b/>
          <w:color w:val="000000"/>
          <w:sz w:val="24"/>
          <w:szCs w:val="24"/>
        </w:rPr>
      </w:pPr>
    </w:p>
    <w:p>
      <w:pPr>
        <w:pStyle w:val="30"/>
        <w:snapToGrid w:val="0"/>
        <w:spacing w:line="500" w:lineRule="exact"/>
        <w:ind w:firstLine="0" w:firstLineChars="0"/>
        <w:contextualSpacing/>
        <w:rPr>
          <w:rFonts w:ascii="宋体" w:eastAsia="宋体"/>
          <w:b/>
          <w:color w:val="000000"/>
          <w:sz w:val="24"/>
          <w:szCs w:val="24"/>
        </w:rPr>
      </w:pPr>
    </w:p>
    <w:p>
      <w:pPr>
        <w:pStyle w:val="30"/>
        <w:snapToGrid w:val="0"/>
        <w:spacing w:line="500" w:lineRule="exact"/>
        <w:ind w:firstLine="0" w:firstLineChars="0"/>
        <w:contextualSpacing/>
        <w:rPr>
          <w:rFonts w:ascii="宋体" w:eastAsia="宋体"/>
          <w:b/>
          <w:color w:val="000000"/>
          <w:sz w:val="24"/>
          <w:szCs w:val="24"/>
        </w:rPr>
      </w:pPr>
    </w:p>
    <w:p>
      <w:pPr>
        <w:pStyle w:val="30"/>
        <w:snapToGrid w:val="0"/>
        <w:spacing w:line="500" w:lineRule="exact"/>
        <w:ind w:firstLine="0" w:firstLineChars="0"/>
        <w:contextualSpacing/>
        <w:rPr>
          <w:rFonts w:ascii="宋体" w:eastAsia="宋体"/>
          <w:b/>
          <w:color w:val="000000"/>
          <w:sz w:val="24"/>
          <w:szCs w:val="24"/>
        </w:rPr>
      </w:pPr>
    </w:p>
    <w:p>
      <w:pPr>
        <w:pStyle w:val="30"/>
        <w:snapToGrid w:val="0"/>
        <w:spacing w:line="500" w:lineRule="exact"/>
        <w:ind w:firstLine="0" w:firstLineChars="0"/>
        <w:contextualSpacing/>
        <w:rPr>
          <w:rFonts w:ascii="宋体" w:eastAsia="宋体"/>
          <w:b/>
          <w:color w:val="000000"/>
          <w:sz w:val="24"/>
          <w:szCs w:val="24"/>
        </w:rPr>
      </w:pPr>
    </w:p>
    <w:p>
      <w:pPr>
        <w:pStyle w:val="30"/>
        <w:snapToGrid w:val="0"/>
        <w:spacing w:line="500" w:lineRule="exact"/>
        <w:ind w:firstLine="0" w:firstLineChars="0"/>
        <w:contextualSpacing/>
        <w:rPr>
          <w:rFonts w:ascii="宋体" w:eastAsia="宋体"/>
          <w:b/>
          <w:color w:val="000000"/>
          <w:sz w:val="24"/>
          <w:szCs w:val="24"/>
        </w:rPr>
      </w:pPr>
    </w:p>
    <w:p>
      <w:pPr>
        <w:pStyle w:val="30"/>
        <w:snapToGrid w:val="0"/>
        <w:spacing w:line="500" w:lineRule="exact"/>
        <w:ind w:firstLine="0" w:firstLineChars="0"/>
        <w:contextualSpacing/>
        <w:rPr>
          <w:rFonts w:ascii="宋体" w:eastAsia="宋体"/>
          <w:b/>
          <w:color w:val="000000"/>
          <w:sz w:val="24"/>
          <w:szCs w:val="24"/>
        </w:rPr>
      </w:pPr>
    </w:p>
    <w:p>
      <w:pPr>
        <w:pStyle w:val="30"/>
        <w:snapToGrid w:val="0"/>
        <w:spacing w:line="300" w:lineRule="auto"/>
        <w:ind w:firstLine="0" w:firstLineChars="0"/>
        <w:contextualSpacing/>
        <w:rPr>
          <w:rFonts w:ascii="宋体" w:eastAsia="宋体"/>
          <w:b/>
          <w:color w:val="000000"/>
          <w:sz w:val="24"/>
          <w:szCs w:val="24"/>
        </w:rPr>
      </w:pPr>
    </w:p>
    <w:p>
      <w:pPr>
        <w:pStyle w:val="30"/>
        <w:snapToGrid w:val="0"/>
        <w:spacing w:line="300" w:lineRule="auto"/>
        <w:ind w:firstLine="0" w:firstLineChars="0"/>
        <w:contextualSpacing/>
        <w:rPr>
          <w:rFonts w:ascii="宋体" w:eastAsia="宋体"/>
          <w:b/>
          <w:sz w:val="24"/>
          <w:szCs w:val="24"/>
        </w:rPr>
      </w:pPr>
    </w:p>
    <w:p>
      <w:pPr>
        <w:pStyle w:val="30"/>
        <w:snapToGrid w:val="0"/>
        <w:spacing w:line="300" w:lineRule="auto"/>
        <w:ind w:firstLine="0" w:firstLineChars="0"/>
        <w:contextualSpacing/>
        <w:rPr>
          <w:rFonts w:ascii="宋体" w:eastAsia="宋体"/>
          <w:sz w:val="32"/>
          <w:szCs w:val="32"/>
        </w:rPr>
      </w:pPr>
      <w:r>
        <w:rPr>
          <w:rFonts w:hint="eastAsia" w:ascii="宋体" w:eastAsia="宋体"/>
          <w:sz w:val="24"/>
          <w:szCs w:val="24"/>
        </w:rPr>
        <w:t>附件1</w:t>
      </w:r>
    </w:p>
    <w:p>
      <w:pPr>
        <w:tabs>
          <w:tab w:val="left" w:pos="1260"/>
        </w:tabs>
        <w:snapToGrid w:val="0"/>
        <w:spacing w:line="300" w:lineRule="auto"/>
        <w:contextualSpacing/>
        <w:jc w:val="center"/>
        <w:rPr>
          <w:rFonts w:ascii="宋体" w:hAnsi="宋体" w:eastAsia="宋体"/>
          <w:b/>
          <w:sz w:val="32"/>
          <w:szCs w:val="32"/>
        </w:rPr>
      </w:pPr>
      <w:r>
        <w:rPr>
          <w:rFonts w:hint="eastAsia" w:ascii="宋体" w:hAnsi="宋体" w:eastAsia="宋体"/>
          <w:b/>
          <w:sz w:val="32"/>
          <w:szCs w:val="32"/>
        </w:rPr>
        <w:t>响应人情况一览表</w:t>
      </w:r>
    </w:p>
    <w:tbl>
      <w:tblPr>
        <w:tblStyle w:val="21"/>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pPr>
              <w:tabs>
                <w:tab w:val="left" w:pos="4320"/>
              </w:tabs>
              <w:jc w:val="center"/>
              <w:rPr>
                <w:rFonts w:ascii="宋体" w:hAnsi="宋体" w:eastAsia="宋体"/>
                <w:sz w:val="24"/>
                <w:szCs w:val="24"/>
              </w:rPr>
            </w:pPr>
            <w:r>
              <w:rPr>
                <w:rFonts w:hint="eastAsia" w:ascii="宋体" w:hAnsi="宋体" w:eastAsia="宋体"/>
                <w:sz w:val="24"/>
                <w:szCs w:val="24"/>
              </w:rPr>
              <w:t>单位名称</w:t>
            </w:r>
          </w:p>
        </w:tc>
        <w:tc>
          <w:tcPr>
            <w:tcW w:w="7923" w:type="dxa"/>
            <w:gridSpan w:val="10"/>
            <w:tcBorders>
              <w:top w:val="double" w:color="auto" w:sz="4" w:space="0"/>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pPr>
              <w:tabs>
                <w:tab w:val="left" w:pos="4320"/>
              </w:tabs>
              <w:rPr>
                <w:rFonts w:ascii="宋体" w:hAnsi="宋体" w:eastAsia="宋体"/>
                <w:sz w:val="24"/>
                <w:szCs w:val="24"/>
              </w:rPr>
            </w:pPr>
            <w:r>
              <w:rPr>
                <w:rFonts w:hint="eastAsia" w:ascii="宋体" w:hAnsi="宋体" w:eastAsia="宋体"/>
                <w:sz w:val="24"/>
                <w:szCs w:val="24"/>
              </w:rPr>
              <w:t>单位优势及特长</w:t>
            </w:r>
          </w:p>
        </w:tc>
        <w:tc>
          <w:tcPr>
            <w:tcW w:w="7072" w:type="dxa"/>
            <w:gridSpan w:val="9"/>
            <w:tcBorders>
              <w:left w:val="single" w:color="auto" w:sz="4" w:space="0"/>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ind w:left="266" w:hanging="266" w:hangingChars="111"/>
              <w:rPr>
                <w:rFonts w:ascii="宋体" w:hAnsi="宋体" w:eastAsia="宋体"/>
                <w:sz w:val="24"/>
                <w:szCs w:val="24"/>
              </w:rPr>
            </w:pPr>
            <w:r>
              <w:rPr>
                <w:rFonts w:hint="eastAsia" w:ascii="宋体" w:hAnsi="宋体" w:eastAsia="宋体"/>
                <w:sz w:val="24"/>
                <w:szCs w:val="24"/>
              </w:rPr>
              <w:t>单位</w:t>
            </w:r>
          </w:p>
          <w:p>
            <w:pPr>
              <w:tabs>
                <w:tab w:val="left" w:pos="4320"/>
              </w:tabs>
              <w:ind w:left="266" w:hanging="266" w:hangingChars="111"/>
              <w:rPr>
                <w:rFonts w:ascii="宋体" w:hAnsi="宋体" w:eastAsia="宋体"/>
                <w:sz w:val="24"/>
                <w:szCs w:val="24"/>
              </w:rPr>
            </w:pPr>
            <w:r>
              <w:rPr>
                <w:rFonts w:hint="eastAsia" w:ascii="宋体" w:hAnsi="宋体" w:eastAsia="宋体"/>
                <w:sz w:val="24"/>
                <w:szCs w:val="24"/>
              </w:rPr>
              <w:t>概况</w:t>
            </w:r>
          </w:p>
        </w:tc>
        <w:tc>
          <w:tcPr>
            <w:tcW w:w="1276" w:type="dxa"/>
            <w:gridSpan w:val="2"/>
            <w:vAlign w:val="center"/>
          </w:tcPr>
          <w:p>
            <w:pPr>
              <w:tabs>
                <w:tab w:val="left" w:pos="4320"/>
              </w:tabs>
              <w:jc w:val="center"/>
              <w:rPr>
                <w:rFonts w:ascii="宋体" w:hAnsi="宋体" w:eastAsia="宋体"/>
                <w:sz w:val="24"/>
                <w:szCs w:val="24"/>
              </w:rPr>
            </w:pPr>
            <w:r>
              <w:rPr>
                <w:rFonts w:hint="eastAsia" w:ascii="宋体" w:hAnsi="宋体" w:eastAsia="宋体"/>
                <w:sz w:val="24"/>
                <w:szCs w:val="24"/>
              </w:rPr>
              <w:t>职工总数</w:t>
            </w:r>
          </w:p>
        </w:tc>
        <w:tc>
          <w:tcPr>
            <w:tcW w:w="1417" w:type="dxa"/>
            <w:gridSpan w:val="2"/>
            <w:vAlign w:val="center"/>
          </w:tcPr>
          <w:p>
            <w:pPr>
              <w:tabs>
                <w:tab w:val="left" w:pos="4320"/>
              </w:tabs>
              <w:jc w:val="right"/>
              <w:rPr>
                <w:rFonts w:ascii="宋体" w:hAnsi="宋体" w:eastAsia="宋体"/>
                <w:sz w:val="24"/>
                <w:szCs w:val="24"/>
              </w:rPr>
            </w:pPr>
            <w:r>
              <w:rPr>
                <w:rFonts w:hint="eastAsia" w:ascii="宋体" w:hAnsi="宋体" w:eastAsia="宋体"/>
                <w:sz w:val="24"/>
                <w:szCs w:val="24"/>
              </w:rPr>
              <w:t>人</w:t>
            </w:r>
          </w:p>
        </w:tc>
        <w:tc>
          <w:tcPr>
            <w:tcW w:w="567" w:type="dxa"/>
            <w:vMerge w:val="restart"/>
            <w:vAlign w:val="center"/>
          </w:tcPr>
          <w:p>
            <w:pPr>
              <w:tabs>
                <w:tab w:val="left" w:pos="4320"/>
              </w:tabs>
              <w:rPr>
                <w:rFonts w:ascii="宋体" w:hAnsi="宋体" w:eastAsia="宋体"/>
                <w:sz w:val="24"/>
                <w:szCs w:val="24"/>
              </w:rPr>
            </w:pPr>
            <w:r>
              <w:rPr>
                <w:rFonts w:hint="eastAsia" w:ascii="宋体" w:hAnsi="宋体" w:eastAsia="宋体"/>
                <w:sz w:val="24"/>
                <w:szCs w:val="24"/>
              </w:rPr>
              <w:t>上一年主要经济指标</w:t>
            </w:r>
          </w:p>
        </w:tc>
        <w:tc>
          <w:tcPr>
            <w:tcW w:w="946" w:type="dxa"/>
            <w:vAlign w:val="center"/>
          </w:tcPr>
          <w:p>
            <w:pPr>
              <w:tabs>
                <w:tab w:val="left" w:pos="4320"/>
              </w:tabs>
              <w:jc w:val="center"/>
              <w:rPr>
                <w:rFonts w:ascii="宋体" w:hAnsi="宋体" w:eastAsia="宋体"/>
                <w:sz w:val="24"/>
                <w:szCs w:val="24"/>
              </w:rPr>
            </w:pPr>
            <w:r>
              <w:rPr>
                <w:rFonts w:hint="eastAsia" w:ascii="宋体" w:hAnsi="宋体" w:eastAsia="宋体"/>
                <w:sz w:val="24"/>
                <w:szCs w:val="24"/>
              </w:rPr>
              <w:t>营业额</w:t>
            </w:r>
          </w:p>
        </w:tc>
        <w:tc>
          <w:tcPr>
            <w:tcW w:w="1414" w:type="dxa"/>
            <w:gridSpan w:val="2"/>
            <w:vAlign w:val="center"/>
          </w:tcPr>
          <w:p>
            <w:pPr>
              <w:tabs>
                <w:tab w:val="left" w:pos="4320"/>
              </w:tabs>
              <w:rPr>
                <w:rFonts w:ascii="宋体" w:hAnsi="宋体" w:eastAsia="宋体"/>
                <w:sz w:val="24"/>
                <w:szCs w:val="24"/>
              </w:rPr>
            </w:pPr>
          </w:p>
        </w:tc>
        <w:tc>
          <w:tcPr>
            <w:tcW w:w="1184" w:type="dxa"/>
            <w:gridSpan w:val="2"/>
            <w:vAlign w:val="center"/>
          </w:tcPr>
          <w:p>
            <w:pPr>
              <w:tabs>
                <w:tab w:val="left" w:pos="4320"/>
              </w:tabs>
              <w:jc w:val="center"/>
              <w:rPr>
                <w:rFonts w:ascii="宋体" w:hAnsi="宋体" w:eastAsia="宋体"/>
                <w:sz w:val="24"/>
                <w:szCs w:val="24"/>
              </w:rPr>
            </w:pPr>
            <w:r>
              <w:rPr>
                <w:rFonts w:hint="eastAsia" w:ascii="宋体" w:hAnsi="宋体" w:eastAsia="宋体"/>
                <w:sz w:val="24"/>
                <w:szCs w:val="24"/>
              </w:rPr>
              <w:t>实现利润</w:t>
            </w:r>
          </w:p>
        </w:tc>
        <w:tc>
          <w:tcPr>
            <w:tcW w:w="1544" w:type="dxa"/>
            <w:tcBorders>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ind w:left="266" w:hanging="266" w:hangingChars="111"/>
              <w:rPr>
                <w:rFonts w:ascii="宋体" w:hAnsi="宋体" w:eastAsia="宋体"/>
                <w:sz w:val="24"/>
                <w:szCs w:val="24"/>
              </w:rPr>
            </w:pPr>
          </w:p>
        </w:tc>
        <w:tc>
          <w:tcPr>
            <w:tcW w:w="1276" w:type="dxa"/>
            <w:gridSpan w:val="2"/>
            <w:vAlign w:val="center"/>
          </w:tcPr>
          <w:p>
            <w:pPr>
              <w:tabs>
                <w:tab w:val="left" w:pos="4320"/>
              </w:tabs>
              <w:jc w:val="center"/>
              <w:rPr>
                <w:rFonts w:ascii="宋体" w:hAnsi="宋体" w:eastAsia="宋体"/>
                <w:sz w:val="24"/>
                <w:szCs w:val="24"/>
              </w:rPr>
            </w:pPr>
            <w:r>
              <w:rPr>
                <w:rFonts w:hint="eastAsia" w:ascii="宋体" w:hAnsi="宋体" w:eastAsia="宋体"/>
                <w:sz w:val="24"/>
                <w:szCs w:val="24"/>
              </w:rPr>
              <w:t>流动资金</w:t>
            </w:r>
          </w:p>
        </w:tc>
        <w:tc>
          <w:tcPr>
            <w:tcW w:w="1417" w:type="dxa"/>
            <w:gridSpan w:val="2"/>
            <w:vAlign w:val="center"/>
          </w:tcPr>
          <w:p>
            <w:pPr>
              <w:tabs>
                <w:tab w:val="left" w:pos="4320"/>
              </w:tabs>
              <w:jc w:val="right"/>
              <w:rPr>
                <w:rFonts w:ascii="宋体" w:hAnsi="宋体" w:eastAsia="宋体"/>
                <w:sz w:val="24"/>
                <w:szCs w:val="24"/>
              </w:rPr>
            </w:pPr>
            <w:r>
              <w:rPr>
                <w:rFonts w:hint="eastAsia" w:ascii="宋体" w:hAnsi="宋体" w:eastAsia="宋体"/>
                <w:sz w:val="24"/>
                <w:szCs w:val="24"/>
              </w:rPr>
              <w:t>万元</w:t>
            </w:r>
          </w:p>
        </w:tc>
        <w:tc>
          <w:tcPr>
            <w:tcW w:w="567" w:type="dxa"/>
            <w:vMerge w:val="continue"/>
            <w:vAlign w:val="center"/>
          </w:tcPr>
          <w:p>
            <w:pPr>
              <w:tabs>
                <w:tab w:val="left" w:pos="4320"/>
              </w:tabs>
              <w:rPr>
                <w:rFonts w:ascii="宋体" w:hAnsi="宋体" w:eastAsia="宋体"/>
                <w:sz w:val="24"/>
                <w:szCs w:val="24"/>
              </w:rPr>
            </w:pPr>
          </w:p>
        </w:tc>
        <w:tc>
          <w:tcPr>
            <w:tcW w:w="946" w:type="dxa"/>
            <w:vMerge w:val="restart"/>
            <w:vAlign w:val="center"/>
          </w:tcPr>
          <w:p>
            <w:pPr>
              <w:tabs>
                <w:tab w:val="left" w:pos="4320"/>
              </w:tabs>
              <w:jc w:val="center"/>
              <w:rPr>
                <w:rFonts w:ascii="宋体" w:hAnsi="宋体" w:eastAsia="宋体"/>
                <w:sz w:val="24"/>
                <w:szCs w:val="24"/>
              </w:rPr>
            </w:pPr>
            <w:r>
              <w:rPr>
                <w:rFonts w:hint="eastAsia" w:ascii="宋体" w:hAnsi="宋体" w:eastAsia="宋体"/>
                <w:sz w:val="24"/>
                <w:szCs w:val="24"/>
              </w:rPr>
              <w:t>主要</w:t>
            </w:r>
          </w:p>
          <w:p>
            <w:pPr>
              <w:tabs>
                <w:tab w:val="left" w:pos="4320"/>
              </w:tabs>
              <w:jc w:val="center"/>
              <w:rPr>
                <w:rFonts w:ascii="宋体" w:hAnsi="宋体" w:eastAsia="宋体"/>
                <w:sz w:val="24"/>
                <w:szCs w:val="24"/>
              </w:rPr>
            </w:pPr>
            <w:r>
              <w:rPr>
                <w:rFonts w:hint="eastAsia" w:ascii="宋体" w:hAnsi="宋体" w:eastAsia="宋体"/>
                <w:sz w:val="24"/>
                <w:szCs w:val="24"/>
              </w:rPr>
              <w:t>产品</w:t>
            </w:r>
          </w:p>
        </w:tc>
        <w:tc>
          <w:tcPr>
            <w:tcW w:w="4142" w:type="dxa"/>
            <w:gridSpan w:val="5"/>
            <w:tcBorders>
              <w:right w:val="double" w:color="auto" w:sz="4" w:space="0"/>
            </w:tcBorders>
            <w:vAlign w:val="center"/>
          </w:tcPr>
          <w:p>
            <w:pPr>
              <w:tabs>
                <w:tab w:val="left" w:pos="4320"/>
              </w:tabs>
              <w:spacing w:before="120" w:after="120"/>
              <w:rPr>
                <w:rFonts w:ascii="宋体" w:hAnsi="宋体" w:eastAsia="宋体"/>
                <w:sz w:val="24"/>
                <w:szCs w:val="24"/>
              </w:rPr>
            </w:pPr>
            <w:r>
              <w:rPr>
                <w:rFonts w:hint="eastAsia" w:ascii="宋体" w:hAnsi="宋体" w:eastAsia="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pPr>
              <w:tabs>
                <w:tab w:val="left" w:pos="4320"/>
              </w:tabs>
              <w:ind w:left="266" w:hanging="266" w:hangingChars="111"/>
              <w:rPr>
                <w:rFonts w:ascii="宋体" w:hAnsi="宋体" w:eastAsia="宋体"/>
                <w:sz w:val="24"/>
                <w:szCs w:val="24"/>
              </w:rPr>
            </w:pPr>
          </w:p>
        </w:tc>
        <w:tc>
          <w:tcPr>
            <w:tcW w:w="1276" w:type="dxa"/>
            <w:gridSpan w:val="2"/>
            <w:vAlign w:val="center"/>
          </w:tcPr>
          <w:p>
            <w:pPr>
              <w:tabs>
                <w:tab w:val="left" w:pos="4320"/>
              </w:tabs>
              <w:jc w:val="center"/>
              <w:rPr>
                <w:rFonts w:ascii="宋体" w:hAnsi="宋体" w:eastAsia="宋体"/>
                <w:sz w:val="24"/>
                <w:szCs w:val="24"/>
              </w:rPr>
            </w:pPr>
            <w:r>
              <w:rPr>
                <w:rFonts w:hint="eastAsia" w:ascii="宋体" w:hAnsi="宋体" w:eastAsia="宋体"/>
                <w:sz w:val="24"/>
                <w:szCs w:val="24"/>
              </w:rPr>
              <w:t>固定资产</w:t>
            </w:r>
          </w:p>
          <w:p>
            <w:pPr>
              <w:tabs>
                <w:tab w:val="left" w:pos="4320"/>
              </w:tabs>
              <w:jc w:val="center"/>
              <w:rPr>
                <w:rFonts w:ascii="宋体" w:hAnsi="宋体" w:eastAsia="宋体"/>
                <w:sz w:val="24"/>
                <w:szCs w:val="24"/>
              </w:rPr>
            </w:pPr>
            <w:r>
              <w:rPr>
                <w:rFonts w:hint="eastAsia" w:ascii="宋体" w:hAnsi="宋体" w:eastAsia="宋体"/>
                <w:sz w:val="24"/>
                <w:szCs w:val="24"/>
              </w:rPr>
              <w:t>（万元）</w:t>
            </w:r>
          </w:p>
        </w:tc>
        <w:tc>
          <w:tcPr>
            <w:tcW w:w="1417" w:type="dxa"/>
            <w:gridSpan w:val="2"/>
            <w:vAlign w:val="center"/>
          </w:tcPr>
          <w:p>
            <w:pPr>
              <w:tabs>
                <w:tab w:val="left" w:pos="-48"/>
                <w:tab w:val="left" w:pos="4320"/>
              </w:tabs>
              <w:ind w:right="-133" w:hanging="48"/>
              <w:rPr>
                <w:rFonts w:ascii="宋体" w:hAnsi="宋体" w:eastAsia="宋体"/>
                <w:sz w:val="24"/>
                <w:szCs w:val="24"/>
              </w:rPr>
            </w:pPr>
            <w:r>
              <w:rPr>
                <w:rFonts w:hint="eastAsia" w:ascii="宋体" w:hAnsi="宋体" w:eastAsia="宋体"/>
                <w:sz w:val="24"/>
                <w:szCs w:val="24"/>
              </w:rPr>
              <w:t>原值：</w:t>
            </w:r>
          </w:p>
          <w:p>
            <w:pPr>
              <w:tabs>
                <w:tab w:val="left" w:pos="-48"/>
                <w:tab w:val="left" w:pos="4320"/>
              </w:tabs>
              <w:ind w:hanging="48"/>
              <w:jc w:val="right"/>
              <w:rPr>
                <w:rFonts w:ascii="宋体" w:hAnsi="宋体" w:eastAsia="宋体"/>
                <w:sz w:val="24"/>
                <w:szCs w:val="24"/>
              </w:rPr>
            </w:pPr>
          </w:p>
          <w:p>
            <w:pPr>
              <w:tabs>
                <w:tab w:val="left" w:pos="-48"/>
                <w:tab w:val="left" w:pos="4320"/>
              </w:tabs>
              <w:ind w:right="-133" w:hanging="48"/>
              <w:rPr>
                <w:rFonts w:ascii="宋体" w:hAnsi="宋体" w:eastAsia="宋体"/>
                <w:sz w:val="24"/>
                <w:szCs w:val="24"/>
              </w:rPr>
            </w:pPr>
            <w:r>
              <w:rPr>
                <w:rFonts w:hint="eastAsia" w:ascii="宋体" w:hAnsi="宋体" w:eastAsia="宋体"/>
                <w:sz w:val="24"/>
                <w:szCs w:val="24"/>
              </w:rPr>
              <w:t>净值：</w:t>
            </w:r>
          </w:p>
          <w:p>
            <w:pPr>
              <w:tabs>
                <w:tab w:val="left" w:pos="-48"/>
                <w:tab w:val="left" w:pos="4320"/>
              </w:tabs>
              <w:ind w:hanging="48"/>
              <w:jc w:val="right"/>
              <w:rPr>
                <w:rFonts w:ascii="宋体" w:hAnsi="宋体" w:eastAsia="宋体"/>
                <w:sz w:val="24"/>
                <w:szCs w:val="24"/>
              </w:rPr>
            </w:pPr>
          </w:p>
        </w:tc>
        <w:tc>
          <w:tcPr>
            <w:tcW w:w="567" w:type="dxa"/>
            <w:vMerge w:val="continue"/>
            <w:vAlign w:val="center"/>
          </w:tcPr>
          <w:p>
            <w:pPr>
              <w:tabs>
                <w:tab w:val="left" w:pos="4320"/>
              </w:tabs>
              <w:rPr>
                <w:rFonts w:ascii="宋体" w:hAnsi="宋体" w:eastAsia="宋体"/>
                <w:sz w:val="24"/>
                <w:szCs w:val="24"/>
              </w:rPr>
            </w:pPr>
          </w:p>
        </w:tc>
        <w:tc>
          <w:tcPr>
            <w:tcW w:w="946" w:type="dxa"/>
            <w:vMerge w:val="continue"/>
            <w:vAlign w:val="center"/>
          </w:tcPr>
          <w:p>
            <w:pPr>
              <w:tabs>
                <w:tab w:val="left" w:pos="4320"/>
              </w:tabs>
              <w:jc w:val="center"/>
              <w:rPr>
                <w:rFonts w:ascii="宋体" w:hAnsi="宋体" w:eastAsia="宋体"/>
                <w:sz w:val="24"/>
                <w:szCs w:val="24"/>
              </w:rPr>
            </w:pPr>
          </w:p>
        </w:tc>
        <w:tc>
          <w:tcPr>
            <w:tcW w:w="4142" w:type="dxa"/>
            <w:gridSpan w:val="5"/>
            <w:tcBorders>
              <w:right w:val="double" w:color="auto" w:sz="4" w:space="0"/>
            </w:tcBorders>
            <w:vAlign w:val="center"/>
          </w:tcPr>
          <w:p>
            <w:pPr>
              <w:tabs>
                <w:tab w:val="left" w:pos="4320"/>
              </w:tabs>
              <w:rPr>
                <w:rFonts w:ascii="宋体" w:hAnsi="宋体" w:eastAsia="宋体"/>
                <w:sz w:val="24"/>
                <w:szCs w:val="24"/>
              </w:rPr>
            </w:pPr>
            <w:r>
              <w:rPr>
                <w:rFonts w:hint="eastAsia" w:ascii="宋体" w:hAnsi="宋体" w:eastAsia="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ind w:left="266" w:hanging="266" w:hangingChars="111"/>
              <w:rPr>
                <w:rFonts w:ascii="宋体" w:hAnsi="宋体" w:eastAsia="宋体"/>
                <w:sz w:val="24"/>
                <w:szCs w:val="24"/>
              </w:rPr>
            </w:pPr>
          </w:p>
        </w:tc>
        <w:tc>
          <w:tcPr>
            <w:tcW w:w="1276" w:type="dxa"/>
            <w:gridSpan w:val="2"/>
            <w:vAlign w:val="center"/>
          </w:tcPr>
          <w:p>
            <w:pPr>
              <w:tabs>
                <w:tab w:val="left" w:pos="4320"/>
              </w:tabs>
              <w:jc w:val="center"/>
              <w:rPr>
                <w:rFonts w:ascii="宋体" w:hAnsi="宋体" w:eastAsia="宋体"/>
                <w:sz w:val="24"/>
                <w:szCs w:val="24"/>
              </w:rPr>
            </w:pPr>
            <w:r>
              <w:rPr>
                <w:rFonts w:hint="eastAsia" w:ascii="宋体" w:hAnsi="宋体" w:eastAsia="宋体"/>
                <w:sz w:val="24"/>
                <w:szCs w:val="24"/>
              </w:rPr>
              <w:t>占地面积</w:t>
            </w:r>
          </w:p>
        </w:tc>
        <w:tc>
          <w:tcPr>
            <w:tcW w:w="1417" w:type="dxa"/>
            <w:gridSpan w:val="2"/>
            <w:vAlign w:val="center"/>
          </w:tcPr>
          <w:p>
            <w:pPr>
              <w:tabs>
                <w:tab w:val="left" w:pos="4320"/>
              </w:tabs>
              <w:jc w:val="right"/>
              <w:rPr>
                <w:rFonts w:ascii="宋体" w:hAnsi="宋体" w:eastAsia="宋体"/>
                <w:sz w:val="24"/>
                <w:szCs w:val="24"/>
              </w:rPr>
            </w:pPr>
            <w:r>
              <w:rPr>
                <w:rFonts w:hint="eastAsia" w:ascii="宋体" w:hAnsi="宋体" w:eastAsia="宋体"/>
                <w:sz w:val="24"/>
                <w:szCs w:val="24"/>
              </w:rPr>
              <w:t>M</w:t>
            </w:r>
            <w:r>
              <w:rPr>
                <w:rFonts w:hint="eastAsia" w:ascii="宋体" w:hAnsi="宋体" w:eastAsia="宋体"/>
                <w:sz w:val="24"/>
                <w:szCs w:val="24"/>
                <w:vertAlign w:val="superscript"/>
              </w:rPr>
              <w:t>2</w:t>
            </w:r>
          </w:p>
        </w:tc>
        <w:tc>
          <w:tcPr>
            <w:tcW w:w="567" w:type="dxa"/>
            <w:vMerge w:val="continue"/>
            <w:vAlign w:val="center"/>
          </w:tcPr>
          <w:p>
            <w:pPr>
              <w:tabs>
                <w:tab w:val="left" w:pos="4320"/>
              </w:tabs>
              <w:rPr>
                <w:rFonts w:ascii="宋体" w:hAnsi="宋体" w:eastAsia="宋体"/>
                <w:sz w:val="24"/>
                <w:szCs w:val="24"/>
              </w:rPr>
            </w:pPr>
          </w:p>
        </w:tc>
        <w:tc>
          <w:tcPr>
            <w:tcW w:w="946" w:type="dxa"/>
            <w:vMerge w:val="continue"/>
            <w:vAlign w:val="center"/>
          </w:tcPr>
          <w:p>
            <w:pPr>
              <w:tabs>
                <w:tab w:val="left" w:pos="4320"/>
              </w:tabs>
              <w:jc w:val="center"/>
              <w:rPr>
                <w:rFonts w:ascii="宋体" w:hAnsi="宋体" w:eastAsia="宋体"/>
                <w:sz w:val="24"/>
                <w:szCs w:val="24"/>
              </w:rPr>
            </w:pPr>
          </w:p>
        </w:tc>
        <w:tc>
          <w:tcPr>
            <w:tcW w:w="4142" w:type="dxa"/>
            <w:gridSpan w:val="5"/>
            <w:tcBorders>
              <w:right w:val="double" w:color="auto" w:sz="4" w:space="0"/>
            </w:tcBorders>
            <w:vAlign w:val="center"/>
          </w:tcPr>
          <w:p>
            <w:pPr>
              <w:tabs>
                <w:tab w:val="left" w:pos="4320"/>
              </w:tabs>
              <w:spacing w:before="120" w:after="120"/>
              <w:rPr>
                <w:rFonts w:ascii="宋体" w:hAnsi="宋体" w:eastAsia="宋体"/>
                <w:sz w:val="24"/>
                <w:szCs w:val="24"/>
              </w:rPr>
            </w:pPr>
            <w:r>
              <w:rPr>
                <w:rFonts w:hint="eastAsia" w:ascii="宋体" w:hAnsi="宋体" w:eastAsia="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ind w:left="266" w:hanging="266" w:hangingChars="111"/>
              <w:rPr>
                <w:rFonts w:ascii="宋体" w:hAnsi="宋体" w:eastAsia="宋体"/>
                <w:sz w:val="24"/>
                <w:szCs w:val="24"/>
              </w:rPr>
            </w:pPr>
            <w:r>
              <w:rPr>
                <w:rFonts w:hint="eastAsia" w:ascii="宋体" w:hAnsi="宋体" w:eastAsia="宋体"/>
                <w:sz w:val="24"/>
                <w:szCs w:val="24"/>
              </w:rPr>
              <w:t>本次</w:t>
            </w:r>
          </w:p>
          <w:p>
            <w:pPr>
              <w:tabs>
                <w:tab w:val="left" w:pos="4320"/>
              </w:tabs>
              <w:ind w:left="266" w:hanging="266" w:hangingChars="111"/>
              <w:rPr>
                <w:rFonts w:ascii="宋体" w:hAnsi="宋体" w:eastAsia="宋体"/>
                <w:sz w:val="24"/>
                <w:szCs w:val="24"/>
              </w:rPr>
            </w:pPr>
            <w:r>
              <w:rPr>
                <w:rFonts w:hint="eastAsia" w:ascii="宋体" w:hAnsi="宋体" w:eastAsia="宋体"/>
                <w:sz w:val="24"/>
                <w:szCs w:val="24"/>
              </w:rPr>
              <w:t>响应</w:t>
            </w:r>
          </w:p>
          <w:p>
            <w:pPr>
              <w:tabs>
                <w:tab w:val="left" w:pos="4320"/>
              </w:tabs>
              <w:ind w:left="266" w:hanging="266" w:hangingChars="111"/>
              <w:rPr>
                <w:rFonts w:ascii="宋体" w:hAnsi="宋体" w:eastAsia="宋体"/>
                <w:sz w:val="24"/>
                <w:szCs w:val="24"/>
              </w:rPr>
            </w:pPr>
            <w:r>
              <w:rPr>
                <w:rFonts w:hint="eastAsia" w:ascii="宋体" w:hAnsi="宋体" w:eastAsia="宋体"/>
                <w:sz w:val="24"/>
                <w:szCs w:val="24"/>
              </w:rPr>
              <w:t>产品</w:t>
            </w:r>
          </w:p>
          <w:p>
            <w:pPr>
              <w:tabs>
                <w:tab w:val="left" w:pos="4320"/>
              </w:tabs>
              <w:ind w:left="266" w:hanging="266" w:hangingChars="111"/>
              <w:rPr>
                <w:rFonts w:ascii="宋体" w:hAnsi="宋体" w:eastAsia="宋体"/>
                <w:sz w:val="24"/>
                <w:szCs w:val="24"/>
              </w:rPr>
            </w:pPr>
            <w:r>
              <w:rPr>
                <w:rFonts w:hint="eastAsia" w:ascii="宋体" w:hAnsi="宋体" w:eastAsia="宋体"/>
                <w:sz w:val="24"/>
                <w:szCs w:val="24"/>
              </w:rPr>
              <w:t>情况</w:t>
            </w:r>
          </w:p>
        </w:tc>
        <w:tc>
          <w:tcPr>
            <w:tcW w:w="1643" w:type="dxa"/>
            <w:gridSpan w:val="3"/>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本次响应</w:t>
            </w:r>
            <w:r>
              <w:rPr>
                <w:rFonts w:ascii="宋体" w:hAnsi="宋体" w:eastAsia="宋体"/>
                <w:sz w:val="24"/>
                <w:szCs w:val="24"/>
              </w:rPr>
              <w:br w:type="textWrapping"/>
            </w:r>
            <w:r>
              <w:rPr>
                <w:rFonts w:hint="eastAsia" w:ascii="宋体" w:hAnsi="宋体" w:eastAsia="宋体"/>
                <w:sz w:val="24"/>
                <w:szCs w:val="24"/>
              </w:rPr>
              <w:t>产品名称</w:t>
            </w:r>
          </w:p>
        </w:tc>
        <w:tc>
          <w:tcPr>
            <w:tcW w:w="1617" w:type="dxa"/>
            <w:gridSpan w:val="2"/>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型    号</w:t>
            </w:r>
          </w:p>
        </w:tc>
        <w:tc>
          <w:tcPr>
            <w:tcW w:w="946" w:type="dxa"/>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上年</w:t>
            </w:r>
            <w:r>
              <w:rPr>
                <w:rFonts w:ascii="宋体" w:hAnsi="宋体" w:eastAsia="宋体"/>
                <w:sz w:val="24"/>
                <w:szCs w:val="24"/>
              </w:rPr>
              <w:br w:type="textWrapping"/>
            </w:r>
            <w:r>
              <w:rPr>
                <w:rFonts w:hint="eastAsia" w:ascii="宋体" w:hAnsi="宋体" w:eastAsia="宋体"/>
                <w:sz w:val="24"/>
                <w:szCs w:val="24"/>
              </w:rPr>
              <w:t>产销量</w:t>
            </w:r>
          </w:p>
        </w:tc>
        <w:tc>
          <w:tcPr>
            <w:tcW w:w="1263" w:type="dxa"/>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产品技术</w:t>
            </w:r>
          </w:p>
          <w:p>
            <w:pPr>
              <w:tabs>
                <w:tab w:val="left" w:pos="4320"/>
              </w:tabs>
              <w:spacing w:before="60" w:after="60"/>
              <w:jc w:val="center"/>
              <w:rPr>
                <w:rFonts w:ascii="宋体" w:hAnsi="宋体" w:eastAsia="宋体"/>
                <w:sz w:val="24"/>
                <w:szCs w:val="24"/>
              </w:rPr>
            </w:pPr>
            <w:r>
              <w:rPr>
                <w:rFonts w:hint="eastAsia" w:ascii="宋体" w:hAnsi="宋体" w:eastAsia="宋体"/>
                <w:sz w:val="24"/>
                <w:szCs w:val="24"/>
              </w:rPr>
              <w:t>先进水平</w:t>
            </w:r>
          </w:p>
        </w:tc>
        <w:tc>
          <w:tcPr>
            <w:tcW w:w="1273" w:type="dxa"/>
            <w:gridSpan w:val="2"/>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曾获何级</w:t>
            </w:r>
          </w:p>
          <w:p>
            <w:pPr>
              <w:tabs>
                <w:tab w:val="left" w:pos="4320"/>
              </w:tabs>
              <w:spacing w:before="60" w:after="60"/>
              <w:jc w:val="center"/>
              <w:rPr>
                <w:rFonts w:ascii="宋体" w:hAnsi="宋体" w:eastAsia="宋体"/>
                <w:sz w:val="24"/>
                <w:szCs w:val="24"/>
              </w:rPr>
            </w:pPr>
            <w:r>
              <w:rPr>
                <w:rFonts w:hint="eastAsia" w:ascii="宋体" w:hAnsi="宋体" w:eastAsia="宋体"/>
                <w:sz w:val="24"/>
                <w:szCs w:val="24"/>
              </w:rPr>
              <w:t>何种奖励</w:t>
            </w:r>
          </w:p>
        </w:tc>
        <w:tc>
          <w:tcPr>
            <w:tcW w:w="1606" w:type="dxa"/>
            <w:gridSpan w:val="2"/>
            <w:tcBorders>
              <w:right w:val="double" w:color="auto" w:sz="4" w:space="0"/>
            </w:tcBorders>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主要用户</w:t>
            </w:r>
            <w:r>
              <w:rPr>
                <w:rFonts w:ascii="宋体" w:hAnsi="宋体" w:eastAsia="宋体"/>
                <w:sz w:val="24"/>
                <w:szCs w:val="24"/>
              </w:rPr>
              <w:br w:type="textWrapping"/>
            </w:r>
            <w:r>
              <w:rPr>
                <w:rFonts w:hint="eastAsia" w:ascii="宋体" w:hAnsi="宋体" w:eastAsia="宋体"/>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eastAsia="宋体"/>
                <w:sz w:val="24"/>
                <w:szCs w:val="24"/>
              </w:rPr>
            </w:pPr>
          </w:p>
        </w:tc>
        <w:tc>
          <w:tcPr>
            <w:tcW w:w="1643" w:type="dxa"/>
            <w:gridSpan w:val="3"/>
            <w:vAlign w:val="center"/>
          </w:tcPr>
          <w:p>
            <w:pPr>
              <w:tabs>
                <w:tab w:val="left" w:pos="4320"/>
              </w:tabs>
              <w:rPr>
                <w:rFonts w:ascii="宋体" w:hAnsi="宋体" w:eastAsia="宋体"/>
                <w:sz w:val="24"/>
                <w:szCs w:val="24"/>
              </w:rPr>
            </w:pPr>
          </w:p>
        </w:tc>
        <w:tc>
          <w:tcPr>
            <w:tcW w:w="1617" w:type="dxa"/>
            <w:gridSpan w:val="2"/>
            <w:vAlign w:val="center"/>
          </w:tcPr>
          <w:p>
            <w:pPr>
              <w:tabs>
                <w:tab w:val="left" w:pos="4320"/>
              </w:tabs>
              <w:rPr>
                <w:rFonts w:ascii="宋体" w:hAnsi="宋体" w:eastAsia="宋体"/>
                <w:sz w:val="24"/>
                <w:szCs w:val="24"/>
              </w:rPr>
            </w:pPr>
          </w:p>
        </w:tc>
        <w:tc>
          <w:tcPr>
            <w:tcW w:w="946" w:type="dxa"/>
            <w:vAlign w:val="center"/>
          </w:tcPr>
          <w:p>
            <w:pPr>
              <w:tabs>
                <w:tab w:val="left" w:pos="4320"/>
              </w:tabs>
              <w:rPr>
                <w:rFonts w:ascii="宋体" w:hAnsi="宋体" w:eastAsia="宋体"/>
                <w:sz w:val="24"/>
                <w:szCs w:val="24"/>
              </w:rPr>
            </w:pPr>
          </w:p>
        </w:tc>
        <w:tc>
          <w:tcPr>
            <w:tcW w:w="1263" w:type="dxa"/>
            <w:vAlign w:val="center"/>
          </w:tcPr>
          <w:p>
            <w:pPr>
              <w:tabs>
                <w:tab w:val="left" w:pos="4320"/>
              </w:tabs>
              <w:rPr>
                <w:rFonts w:ascii="宋体" w:hAnsi="宋体" w:eastAsia="宋体"/>
                <w:sz w:val="24"/>
                <w:szCs w:val="24"/>
              </w:rPr>
            </w:pPr>
          </w:p>
        </w:tc>
        <w:tc>
          <w:tcPr>
            <w:tcW w:w="1273" w:type="dxa"/>
            <w:gridSpan w:val="2"/>
            <w:vAlign w:val="center"/>
          </w:tcPr>
          <w:p>
            <w:pPr>
              <w:tabs>
                <w:tab w:val="left" w:pos="4320"/>
              </w:tabs>
              <w:rPr>
                <w:rFonts w:ascii="宋体" w:hAnsi="宋体" w:eastAsia="宋体"/>
                <w:sz w:val="24"/>
                <w:szCs w:val="24"/>
              </w:rPr>
            </w:pPr>
          </w:p>
        </w:tc>
        <w:tc>
          <w:tcPr>
            <w:tcW w:w="1606" w:type="dxa"/>
            <w:gridSpan w:val="2"/>
            <w:tcBorders>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eastAsia="宋体"/>
                <w:sz w:val="24"/>
                <w:szCs w:val="24"/>
              </w:rPr>
            </w:pPr>
          </w:p>
        </w:tc>
        <w:tc>
          <w:tcPr>
            <w:tcW w:w="1643" w:type="dxa"/>
            <w:gridSpan w:val="3"/>
            <w:vAlign w:val="center"/>
          </w:tcPr>
          <w:p>
            <w:pPr>
              <w:tabs>
                <w:tab w:val="left" w:pos="4320"/>
              </w:tabs>
              <w:rPr>
                <w:rFonts w:ascii="宋体" w:hAnsi="宋体" w:eastAsia="宋体"/>
                <w:sz w:val="24"/>
                <w:szCs w:val="24"/>
              </w:rPr>
            </w:pPr>
          </w:p>
        </w:tc>
        <w:tc>
          <w:tcPr>
            <w:tcW w:w="1617" w:type="dxa"/>
            <w:gridSpan w:val="2"/>
            <w:vAlign w:val="center"/>
          </w:tcPr>
          <w:p>
            <w:pPr>
              <w:tabs>
                <w:tab w:val="left" w:pos="4320"/>
              </w:tabs>
              <w:rPr>
                <w:rFonts w:ascii="宋体" w:hAnsi="宋体" w:eastAsia="宋体"/>
                <w:sz w:val="24"/>
                <w:szCs w:val="24"/>
              </w:rPr>
            </w:pPr>
          </w:p>
        </w:tc>
        <w:tc>
          <w:tcPr>
            <w:tcW w:w="946" w:type="dxa"/>
            <w:vAlign w:val="center"/>
          </w:tcPr>
          <w:p>
            <w:pPr>
              <w:tabs>
                <w:tab w:val="left" w:pos="4320"/>
              </w:tabs>
              <w:rPr>
                <w:rFonts w:ascii="宋体" w:hAnsi="宋体" w:eastAsia="宋体"/>
                <w:sz w:val="24"/>
                <w:szCs w:val="24"/>
              </w:rPr>
            </w:pPr>
          </w:p>
        </w:tc>
        <w:tc>
          <w:tcPr>
            <w:tcW w:w="1263" w:type="dxa"/>
            <w:vAlign w:val="center"/>
          </w:tcPr>
          <w:p>
            <w:pPr>
              <w:tabs>
                <w:tab w:val="left" w:pos="4320"/>
              </w:tabs>
              <w:rPr>
                <w:rFonts w:ascii="宋体" w:hAnsi="宋体" w:eastAsia="宋体"/>
                <w:sz w:val="24"/>
                <w:szCs w:val="24"/>
              </w:rPr>
            </w:pPr>
          </w:p>
        </w:tc>
        <w:tc>
          <w:tcPr>
            <w:tcW w:w="1273" w:type="dxa"/>
            <w:gridSpan w:val="2"/>
            <w:vAlign w:val="center"/>
          </w:tcPr>
          <w:p>
            <w:pPr>
              <w:tabs>
                <w:tab w:val="left" w:pos="4320"/>
              </w:tabs>
              <w:rPr>
                <w:rFonts w:ascii="宋体" w:hAnsi="宋体" w:eastAsia="宋体"/>
                <w:sz w:val="24"/>
                <w:szCs w:val="24"/>
              </w:rPr>
            </w:pPr>
          </w:p>
        </w:tc>
        <w:tc>
          <w:tcPr>
            <w:tcW w:w="1606" w:type="dxa"/>
            <w:gridSpan w:val="2"/>
            <w:tcBorders>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eastAsia="宋体"/>
                <w:sz w:val="24"/>
                <w:szCs w:val="24"/>
              </w:rPr>
            </w:pPr>
          </w:p>
        </w:tc>
        <w:tc>
          <w:tcPr>
            <w:tcW w:w="1643" w:type="dxa"/>
            <w:gridSpan w:val="3"/>
            <w:vAlign w:val="center"/>
          </w:tcPr>
          <w:p>
            <w:pPr>
              <w:tabs>
                <w:tab w:val="left" w:pos="4320"/>
              </w:tabs>
              <w:rPr>
                <w:rFonts w:ascii="宋体" w:hAnsi="宋体" w:eastAsia="宋体"/>
                <w:sz w:val="24"/>
                <w:szCs w:val="24"/>
              </w:rPr>
            </w:pPr>
          </w:p>
        </w:tc>
        <w:tc>
          <w:tcPr>
            <w:tcW w:w="1617" w:type="dxa"/>
            <w:gridSpan w:val="2"/>
            <w:vAlign w:val="center"/>
          </w:tcPr>
          <w:p>
            <w:pPr>
              <w:tabs>
                <w:tab w:val="left" w:pos="4320"/>
              </w:tabs>
              <w:rPr>
                <w:rFonts w:ascii="宋体" w:hAnsi="宋体" w:eastAsia="宋体"/>
                <w:sz w:val="24"/>
                <w:szCs w:val="24"/>
              </w:rPr>
            </w:pPr>
          </w:p>
        </w:tc>
        <w:tc>
          <w:tcPr>
            <w:tcW w:w="946" w:type="dxa"/>
            <w:vAlign w:val="center"/>
          </w:tcPr>
          <w:p>
            <w:pPr>
              <w:tabs>
                <w:tab w:val="left" w:pos="4320"/>
              </w:tabs>
              <w:rPr>
                <w:rFonts w:ascii="宋体" w:hAnsi="宋体" w:eastAsia="宋体"/>
                <w:sz w:val="24"/>
                <w:szCs w:val="24"/>
              </w:rPr>
            </w:pPr>
          </w:p>
        </w:tc>
        <w:tc>
          <w:tcPr>
            <w:tcW w:w="1263" w:type="dxa"/>
            <w:vAlign w:val="center"/>
          </w:tcPr>
          <w:p>
            <w:pPr>
              <w:tabs>
                <w:tab w:val="left" w:pos="4320"/>
              </w:tabs>
              <w:rPr>
                <w:rFonts w:ascii="宋体" w:hAnsi="宋体" w:eastAsia="宋体"/>
                <w:sz w:val="24"/>
                <w:szCs w:val="24"/>
              </w:rPr>
            </w:pPr>
          </w:p>
        </w:tc>
        <w:tc>
          <w:tcPr>
            <w:tcW w:w="1273" w:type="dxa"/>
            <w:gridSpan w:val="2"/>
            <w:vAlign w:val="center"/>
          </w:tcPr>
          <w:p>
            <w:pPr>
              <w:tabs>
                <w:tab w:val="left" w:pos="4320"/>
              </w:tabs>
              <w:rPr>
                <w:rFonts w:ascii="宋体" w:hAnsi="宋体" w:eastAsia="宋体"/>
                <w:sz w:val="24"/>
                <w:szCs w:val="24"/>
              </w:rPr>
            </w:pPr>
          </w:p>
        </w:tc>
        <w:tc>
          <w:tcPr>
            <w:tcW w:w="1606" w:type="dxa"/>
            <w:gridSpan w:val="2"/>
            <w:tcBorders>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eastAsia="宋体"/>
                <w:sz w:val="24"/>
                <w:szCs w:val="24"/>
              </w:rPr>
            </w:pPr>
          </w:p>
        </w:tc>
        <w:tc>
          <w:tcPr>
            <w:tcW w:w="1643" w:type="dxa"/>
            <w:gridSpan w:val="3"/>
            <w:vAlign w:val="center"/>
          </w:tcPr>
          <w:p>
            <w:pPr>
              <w:tabs>
                <w:tab w:val="left" w:pos="4320"/>
              </w:tabs>
              <w:rPr>
                <w:rFonts w:ascii="宋体" w:hAnsi="宋体" w:eastAsia="宋体"/>
                <w:sz w:val="24"/>
                <w:szCs w:val="24"/>
              </w:rPr>
            </w:pPr>
          </w:p>
        </w:tc>
        <w:tc>
          <w:tcPr>
            <w:tcW w:w="1617" w:type="dxa"/>
            <w:gridSpan w:val="2"/>
            <w:vAlign w:val="center"/>
          </w:tcPr>
          <w:p>
            <w:pPr>
              <w:tabs>
                <w:tab w:val="left" w:pos="4320"/>
              </w:tabs>
              <w:rPr>
                <w:rFonts w:ascii="宋体" w:hAnsi="宋体" w:eastAsia="宋体"/>
                <w:sz w:val="24"/>
                <w:szCs w:val="24"/>
              </w:rPr>
            </w:pPr>
          </w:p>
        </w:tc>
        <w:tc>
          <w:tcPr>
            <w:tcW w:w="946" w:type="dxa"/>
            <w:vAlign w:val="center"/>
          </w:tcPr>
          <w:p>
            <w:pPr>
              <w:tabs>
                <w:tab w:val="left" w:pos="4320"/>
              </w:tabs>
              <w:rPr>
                <w:rFonts w:ascii="宋体" w:hAnsi="宋体" w:eastAsia="宋体"/>
                <w:sz w:val="24"/>
                <w:szCs w:val="24"/>
              </w:rPr>
            </w:pPr>
          </w:p>
        </w:tc>
        <w:tc>
          <w:tcPr>
            <w:tcW w:w="1263" w:type="dxa"/>
            <w:vAlign w:val="center"/>
          </w:tcPr>
          <w:p>
            <w:pPr>
              <w:tabs>
                <w:tab w:val="left" w:pos="4320"/>
              </w:tabs>
              <w:rPr>
                <w:rFonts w:ascii="宋体" w:hAnsi="宋体" w:eastAsia="宋体"/>
                <w:sz w:val="24"/>
                <w:szCs w:val="24"/>
              </w:rPr>
            </w:pPr>
          </w:p>
        </w:tc>
        <w:tc>
          <w:tcPr>
            <w:tcW w:w="1273" w:type="dxa"/>
            <w:gridSpan w:val="2"/>
            <w:vAlign w:val="center"/>
          </w:tcPr>
          <w:p>
            <w:pPr>
              <w:tabs>
                <w:tab w:val="left" w:pos="4320"/>
              </w:tabs>
              <w:rPr>
                <w:rFonts w:ascii="宋体" w:hAnsi="宋体" w:eastAsia="宋体"/>
                <w:sz w:val="24"/>
                <w:szCs w:val="24"/>
              </w:rPr>
            </w:pPr>
          </w:p>
        </w:tc>
        <w:tc>
          <w:tcPr>
            <w:tcW w:w="1606" w:type="dxa"/>
            <w:gridSpan w:val="2"/>
            <w:tcBorders>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rPr>
                <w:rFonts w:ascii="宋体" w:hAnsi="宋体" w:eastAsia="宋体"/>
                <w:sz w:val="24"/>
                <w:szCs w:val="24"/>
              </w:rPr>
            </w:pPr>
            <w:r>
              <w:rPr>
                <w:rFonts w:hint="eastAsia" w:ascii="宋体" w:hAnsi="宋体" w:eastAsia="宋体"/>
                <w:sz w:val="24"/>
                <w:szCs w:val="24"/>
              </w:rPr>
              <w:t>其它</w:t>
            </w:r>
          </w:p>
        </w:tc>
        <w:tc>
          <w:tcPr>
            <w:tcW w:w="4206" w:type="dxa"/>
            <w:gridSpan w:val="6"/>
            <w:vAlign w:val="center"/>
          </w:tcPr>
          <w:p>
            <w:pPr>
              <w:tabs>
                <w:tab w:val="left" w:pos="4320"/>
              </w:tabs>
              <w:spacing w:before="60" w:after="60"/>
              <w:rPr>
                <w:rFonts w:ascii="宋体" w:hAnsi="宋体" w:eastAsia="宋体"/>
                <w:sz w:val="24"/>
                <w:szCs w:val="24"/>
              </w:rPr>
            </w:pPr>
            <w:r>
              <w:rPr>
                <w:rFonts w:hint="eastAsia" w:ascii="宋体" w:hAnsi="宋体" w:eastAsia="宋体"/>
                <w:sz w:val="24"/>
                <w:szCs w:val="24"/>
              </w:rPr>
              <w:t>近3年完成及正在执行的合同中发生的由于响应人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vAlign w:val="center"/>
          </w:tcPr>
          <w:p>
            <w:pPr>
              <w:tabs>
                <w:tab w:val="left" w:pos="4320"/>
              </w:tabs>
              <w:spacing w:before="60" w:after="60"/>
              <w:rPr>
                <w:rFonts w:ascii="宋体" w:hAnsi="宋体" w:eastAsia="宋体"/>
                <w:sz w:val="24"/>
                <w:szCs w:val="24"/>
              </w:rPr>
            </w:pPr>
            <w:r>
              <w:rPr>
                <w:rFonts w:hint="eastAsia" w:ascii="宋体" w:hAnsi="宋体" w:eastAsia="宋体"/>
                <w:sz w:val="24"/>
                <w:szCs w:val="24"/>
              </w:rPr>
              <w:t>如有名称变更（非因该单位出现了与资格预审（如果经此程序）时的营业性质的根本改变以至不再满足本次磋商的要求），说明原名称因何种原因变更为现名称，并提供由工商管理部门出具的变更证明文件。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pPr>
              <w:tabs>
                <w:tab w:val="left" w:pos="4320"/>
              </w:tabs>
              <w:rPr>
                <w:rFonts w:ascii="宋体" w:hAnsi="宋体" w:eastAsia="宋体"/>
                <w:sz w:val="24"/>
                <w:szCs w:val="24"/>
              </w:rPr>
            </w:pPr>
          </w:p>
        </w:tc>
        <w:tc>
          <w:tcPr>
            <w:tcW w:w="4206" w:type="dxa"/>
            <w:gridSpan w:val="6"/>
            <w:tcBorders>
              <w:bottom w:val="double" w:color="auto" w:sz="4" w:space="0"/>
            </w:tcBorders>
            <w:vAlign w:val="center"/>
          </w:tcPr>
          <w:p>
            <w:pPr>
              <w:tabs>
                <w:tab w:val="left" w:pos="4320"/>
              </w:tabs>
              <w:rPr>
                <w:rFonts w:ascii="宋体" w:hAnsi="宋体" w:eastAsia="宋体"/>
                <w:sz w:val="24"/>
                <w:szCs w:val="24"/>
              </w:rPr>
            </w:pPr>
          </w:p>
        </w:tc>
        <w:tc>
          <w:tcPr>
            <w:tcW w:w="4142" w:type="dxa"/>
            <w:gridSpan w:val="5"/>
            <w:tcBorders>
              <w:bottom w:val="double" w:color="auto" w:sz="4" w:space="0"/>
              <w:right w:val="double" w:color="auto" w:sz="4" w:space="0"/>
            </w:tcBorders>
            <w:vAlign w:val="center"/>
          </w:tcPr>
          <w:p>
            <w:pPr>
              <w:tabs>
                <w:tab w:val="left" w:pos="4320"/>
              </w:tabs>
              <w:rPr>
                <w:rFonts w:ascii="宋体" w:hAnsi="宋体" w:eastAsia="宋体"/>
                <w:sz w:val="24"/>
                <w:szCs w:val="24"/>
              </w:rPr>
            </w:pPr>
          </w:p>
        </w:tc>
      </w:tr>
    </w:tbl>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r>
        <w:rPr>
          <w:rFonts w:hint="eastAsia" w:ascii="宋体" w:eastAsia="宋体"/>
          <w:sz w:val="24"/>
          <w:szCs w:val="24"/>
        </w:rPr>
        <w:t>附件2</w:t>
      </w:r>
    </w:p>
    <w:p>
      <w:pPr>
        <w:pStyle w:val="30"/>
        <w:snapToGrid w:val="0"/>
        <w:spacing w:line="300" w:lineRule="auto"/>
        <w:ind w:firstLine="662"/>
        <w:contextualSpacing/>
        <w:jc w:val="center"/>
        <w:rPr>
          <w:rFonts w:ascii="宋体" w:eastAsia="宋体"/>
          <w:sz w:val="32"/>
          <w:szCs w:val="32"/>
        </w:rPr>
      </w:pPr>
      <w:r>
        <w:rPr>
          <w:rFonts w:hint="eastAsia" w:ascii="宋体" w:eastAsia="宋体"/>
          <w:b/>
          <w:sz w:val="32"/>
          <w:szCs w:val="32"/>
        </w:rPr>
        <w:t>经营业绩表</w:t>
      </w:r>
      <w:r>
        <w:rPr>
          <w:rFonts w:hint="eastAsia" w:ascii="宋体" w:eastAsia="宋体"/>
          <w:sz w:val="32"/>
          <w:szCs w:val="32"/>
        </w:rPr>
        <w:t>（重点表述类似货物服务业绩）</w:t>
      </w:r>
    </w:p>
    <w:p>
      <w:pPr>
        <w:rPr>
          <w:rFonts w:ascii="宋体" w:hAnsi="宋体" w:eastAsia="宋体"/>
          <w:sz w:val="24"/>
          <w:szCs w:val="24"/>
          <w:u w:val="single"/>
        </w:rPr>
      </w:pPr>
    </w:p>
    <w:p>
      <w:pPr>
        <w:spacing w:line="360" w:lineRule="auto"/>
        <w:jc w:val="center"/>
        <w:rPr>
          <w:rFonts w:ascii="宋体" w:hAnsi="宋体" w:eastAsia="宋体"/>
          <w:b/>
          <w:sz w:val="32"/>
          <w:szCs w:val="32"/>
        </w:rPr>
      </w:pPr>
      <w:r>
        <w:rPr>
          <w:rFonts w:hint="eastAsia" w:ascii="宋体" w:hAnsi="宋体" w:eastAsia="宋体"/>
          <w:b/>
          <w:sz w:val="32"/>
          <w:szCs w:val="32"/>
        </w:rPr>
        <w:t>业绩汇总表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72"/>
        <w:gridCol w:w="2663"/>
        <w:gridCol w:w="2665"/>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8" w:type="dxa"/>
            <w:gridSpan w:val="2"/>
            <w:tcBorders>
              <w:top w:val="double" w:color="auto" w:sz="4" w:space="0"/>
              <w:left w:val="double" w:color="auto" w:sz="4" w:space="0"/>
            </w:tcBorders>
            <w:vAlign w:val="center"/>
          </w:tcPr>
          <w:p>
            <w:pPr>
              <w:jc w:val="center"/>
              <w:rPr>
                <w:rFonts w:ascii="宋体" w:hAnsi="宋体" w:eastAsia="宋体"/>
                <w:sz w:val="24"/>
                <w:szCs w:val="24"/>
              </w:rPr>
            </w:pPr>
          </w:p>
        </w:tc>
        <w:tc>
          <w:tcPr>
            <w:tcW w:w="2663" w:type="dxa"/>
            <w:tcBorders>
              <w:top w:val="double" w:color="auto" w:sz="4" w:space="0"/>
            </w:tcBorders>
            <w:vAlign w:val="center"/>
          </w:tcPr>
          <w:p>
            <w:pPr>
              <w:ind w:right="390"/>
              <w:jc w:val="right"/>
              <w:rPr>
                <w:rFonts w:ascii="宋体" w:hAnsi="宋体" w:eastAsia="宋体"/>
                <w:sz w:val="24"/>
                <w:szCs w:val="24"/>
              </w:rPr>
            </w:pPr>
            <w:r>
              <w:rPr>
                <w:rFonts w:hint="eastAsia" w:ascii="宋体" w:hAnsi="宋体" w:eastAsia="宋体"/>
                <w:sz w:val="24"/>
                <w:szCs w:val="24"/>
              </w:rPr>
              <w:t>年</w:t>
            </w:r>
          </w:p>
        </w:tc>
        <w:tc>
          <w:tcPr>
            <w:tcW w:w="2665" w:type="dxa"/>
            <w:tcBorders>
              <w:top w:val="double" w:color="auto" w:sz="4" w:space="0"/>
            </w:tcBorders>
            <w:vAlign w:val="center"/>
          </w:tcPr>
          <w:p>
            <w:pPr>
              <w:ind w:right="390"/>
              <w:jc w:val="right"/>
              <w:rPr>
                <w:rFonts w:ascii="宋体" w:hAnsi="宋体" w:eastAsia="宋体"/>
                <w:sz w:val="24"/>
                <w:szCs w:val="24"/>
              </w:rPr>
            </w:pPr>
            <w:r>
              <w:rPr>
                <w:rFonts w:hint="eastAsia" w:ascii="宋体" w:hAnsi="宋体" w:eastAsia="宋体"/>
                <w:sz w:val="24"/>
                <w:szCs w:val="24"/>
              </w:rPr>
              <w:t>年</w:t>
            </w:r>
          </w:p>
        </w:tc>
        <w:tc>
          <w:tcPr>
            <w:tcW w:w="2312" w:type="dxa"/>
            <w:tcBorders>
              <w:top w:val="double" w:color="auto" w:sz="4" w:space="0"/>
              <w:right w:val="double" w:color="auto" w:sz="4" w:space="0"/>
            </w:tcBorders>
            <w:vAlign w:val="center"/>
          </w:tcPr>
          <w:p>
            <w:pPr>
              <w:ind w:right="390"/>
              <w:jc w:val="right"/>
              <w:rPr>
                <w:rFonts w:ascii="宋体" w:hAnsi="宋体" w:eastAsia="宋体"/>
                <w:sz w:val="24"/>
                <w:szCs w:val="24"/>
              </w:rPr>
            </w:pPr>
            <w:r>
              <w:rPr>
                <w:rFonts w:hint="eastAsia" w:ascii="宋体" w:hAnsi="宋体" w:eastAsia="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68" w:type="dxa"/>
            <w:gridSpan w:val="2"/>
            <w:tcBorders>
              <w:left w:val="double" w:color="auto" w:sz="4" w:space="0"/>
            </w:tcBorders>
            <w:vAlign w:val="center"/>
          </w:tcPr>
          <w:p>
            <w:pPr>
              <w:jc w:val="center"/>
              <w:rPr>
                <w:rFonts w:ascii="宋体" w:hAnsi="宋体" w:eastAsia="宋体"/>
                <w:sz w:val="24"/>
                <w:szCs w:val="24"/>
              </w:rPr>
            </w:pPr>
            <w:r>
              <w:rPr>
                <w:rFonts w:hint="eastAsia" w:ascii="宋体" w:hAnsi="宋体" w:eastAsia="宋体"/>
                <w:sz w:val="24"/>
                <w:szCs w:val="24"/>
              </w:rPr>
              <w:t>合同数量</w:t>
            </w:r>
            <w:r>
              <w:rPr>
                <w:rFonts w:ascii="宋体" w:hAnsi="宋体" w:eastAsia="宋体"/>
                <w:sz w:val="24"/>
                <w:szCs w:val="24"/>
              </w:rPr>
              <w:br w:type="textWrapping"/>
            </w:r>
            <w:r>
              <w:rPr>
                <w:rFonts w:hint="eastAsia" w:ascii="宋体" w:hAnsi="宋体" w:eastAsia="宋体"/>
                <w:sz w:val="24"/>
                <w:szCs w:val="24"/>
              </w:rPr>
              <w:t>（宗数）</w:t>
            </w:r>
          </w:p>
        </w:tc>
        <w:tc>
          <w:tcPr>
            <w:tcW w:w="2663" w:type="dxa"/>
            <w:vAlign w:val="center"/>
          </w:tcPr>
          <w:p>
            <w:pPr>
              <w:jc w:val="center"/>
              <w:rPr>
                <w:rFonts w:ascii="宋体" w:hAnsi="宋体" w:eastAsia="宋体"/>
                <w:sz w:val="24"/>
                <w:szCs w:val="24"/>
              </w:rPr>
            </w:pPr>
          </w:p>
        </w:tc>
        <w:tc>
          <w:tcPr>
            <w:tcW w:w="2665" w:type="dxa"/>
            <w:vAlign w:val="center"/>
          </w:tcPr>
          <w:p>
            <w:pPr>
              <w:jc w:val="center"/>
              <w:rPr>
                <w:rFonts w:ascii="宋体" w:hAnsi="宋体" w:eastAsia="宋体"/>
                <w:sz w:val="24"/>
                <w:szCs w:val="24"/>
              </w:rPr>
            </w:pPr>
          </w:p>
        </w:tc>
        <w:tc>
          <w:tcPr>
            <w:tcW w:w="2312" w:type="dxa"/>
            <w:tcBorders>
              <w:right w:val="double" w:color="auto" w:sz="4" w:space="0"/>
            </w:tcBorders>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96" w:type="dxa"/>
            <w:vMerge w:val="restart"/>
            <w:tcBorders>
              <w:left w:val="double" w:color="auto" w:sz="4" w:space="0"/>
            </w:tcBorders>
            <w:vAlign w:val="center"/>
          </w:tcPr>
          <w:p>
            <w:pPr>
              <w:jc w:val="center"/>
              <w:rPr>
                <w:rFonts w:ascii="宋体" w:hAnsi="宋体" w:eastAsia="宋体"/>
                <w:spacing w:val="-20"/>
                <w:sz w:val="24"/>
                <w:szCs w:val="24"/>
              </w:rPr>
            </w:pPr>
            <w:r>
              <w:rPr>
                <w:rFonts w:hint="eastAsia" w:ascii="宋体" w:hAnsi="宋体" w:eastAsia="宋体"/>
                <w:sz w:val="24"/>
                <w:szCs w:val="24"/>
              </w:rPr>
              <w:t>合同总价</w:t>
            </w:r>
            <w:r>
              <w:rPr>
                <w:rFonts w:hint="eastAsia" w:ascii="宋体" w:hAnsi="宋体" w:eastAsia="宋体"/>
                <w:spacing w:val="-20"/>
                <w:sz w:val="24"/>
                <w:szCs w:val="24"/>
              </w:rPr>
              <w:t>（人民币）</w:t>
            </w:r>
          </w:p>
        </w:tc>
        <w:tc>
          <w:tcPr>
            <w:tcW w:w="772" w:type="dxa"/>
            <w:vAlign w:val="center"/>
          </w:tcPr>
          <w:p>
            <w:pPr>
              <w:jc w:val="center"/>
              <w:rPr>
                <w:rFonts w:ascii="宋体" w:hAnsi="宋体" w:eastAsia="宋体"/>
                <w:sz w:val="24"/>
                <w:szCs w:val="24"/>
              </w:rPr>
            </w:pPr>
            <w:r>
              <w:rPr>
                <w:rFonts w:hint="eastAsia" w:ascii="宋体" w:hAnsi="宋体" w:eastAsia="宋体"/>
                <w:sz w:val="24"/>
                <w:szCs w:val="24"/>
              </w:rPr>
              <w:t>签约</w:t>
            </w:r>
            <w:r>
              <w:rPr>
                <w:rFonts w:ascii="宋体" w:hAnsi="宋体" w:eastAsia="宋体"/>
                <w:sz w:val="24"/>
                <w:szCs w:val="24"/>
              </w:rPr>
              <w:br w:type="textWrapping"/>
            </w:r>
            <w:r>
              <w:rPr>
                <w:rFonts w:hint="eastAsia" w:ascii="宋体" w:hAnsi="宋体" w:eastAsia="宋体"/>
                <w:sz w:val="24"/>
                <w:szCs w:val="24"/>
              </w:rPr>
              <w:t>金额</w:t>
            </w:r>
          </w:p>
        </w:tc>
        <w:tc>
          <w:tcPr>
            <w:tcW w:w="2663" w:type="dxa"/>
            <w:vAlign w:val="center"/>
          </w:tcPr>
          <w:p>
            <w:pPr>
              <w:jc w:val="center"/>
              <w:rPr>
                <w:rFonts w:ascii="宋体" w:hAnsi="宋体" w:eastAsia="宋体"/>
                <w:sz w:val="24"/>
                <w:szCs w:val="24"/>
              </w:rPr>
            </w:pPr>
          </w:p>
        </w:tc>
        <w:tc>
          <w:tcPr>
            <w:tcW w:w="2665" w:type="dxa"/>
            <w:vAlign w:val="center"/>
          </w:tcPr>
          <w:p>
            <w:pPr>
              <w:jc w:val="center"/>
              <w:rPr>
                <w:rFonts w:ascii="宋体" w:hAnsi="宋体" w:eastAsia="宋体"/>
                <w:sz w:val="24"/>
                <w:szCs w:val="24"/>
              </w:rPr>
            </w:pPr>
          </w:p>
        </w:tc>
        <w:tc>
          <w:tcPr>
            <w:tcW w:w="2312" w:type="dxa"/>
            <w:tcBorders>
              <w:right w:val="double" w:color="auto" w:sz="4" w:space="0"/>
            </w:tcBorders>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96" w:type="dxa"/>
            <w:vMerge w:val="continue"/>
            <w:tcBorders>
              <w:left w:val="double" w:color="auto" w:sz="4" w:space="0"/>
            </w:tcBorders>
            <w:vAlign w:val="center"/>
          </w:tcPr>
          <w:p>
            <w:pPr>
              <w:jc w:val="center"/>
              <w:rPr>
                <w:rFonts w:ascii="宋体" w:hAnsi="宋体" w:eastAsia="宋体"/>
                <w:sz w:val="24"/>
                <w:szCs w:val="24"/>
              </w:rPr>
            </w:pPr>
          </w:p>
        </w:tc>
        <w:tc>
          <w:tcPr>
            <w:tcW w:w="772" w:type="dxa"/>
            <w:vAlign w:val="center"/>
          </w:tcPr>
          <w:p>
            <w:pPr>
              <w:jc w:val="center"/>
              <w:rPr>
                <w:rFonts w:ascii="宋体" w:hAnsi="宋体" w:eastAsia="宋体"/>
                <w:sz w:val="24"/>
                <w:szCs w:val="24"/>
              </w:rPr>
            </w:pPr>
            <w:r>
              <w:rPr>
                <w:rFonts w:hint="eastAsia" w:ascii="宋体" w:hAnsi="宋体" w:eastAsia="宋体"/>
                <w:sz w:val="24"/>
                <w:szCs w:val="24"/>
              </w:rPr>
              <w:t>结算</w:t>
            </w:r>
            <w:r>
              <w:rPr>
                <w:rFonts w:ascii="宋体" w:hAnsi="宋体" w:eastAsia="宋体"/>
                <w:sz w:val="24"/>
                <w:szCs w:val="24"/>
              </w:rPr>
              <w:br w:type="textWrapping"/>
            </w:r>
            <w:r>
              <w:rPr>
                <w:rFonts w:hint="eastAsia" w:ascii="宋体" w:hAnsi="宋体" w:eastAsia="宋体"/>
                <w:sz w:val="24"/>
                <w:szCs w:val="24"/>
              </w:rPr>
              <w:t>金额</w:t>
            </w:r>
          </w:p>
        </w:tc>
        <w:tc>
          <w:tcPr>
            <w:tcW w:w="2663" w:type="dxa"/>
            <w:vAlign w:val="center"/>
          </w:tcPr>
          <w:p>
            <w:pPr>
              <w:jc w:val="center"/>
              <w:rPr>
                <w:rFonts w:ascii="宋体" w:hAnsi="宋体" w:eastAsia="宋体"/>
                <w:sz w:val="24"/>
                <w:szCs w:val="24"/>
              </w:rPr>
            </w:pPr>
          </w:p>
        </w:tc>
        <w:tc>
          <w:tcPr>
            <w:tcW w:w="2665" w:type="dxa"/>
            <w:vAlign w:val="center"/>
          </w:tcPr>
          <w:p>
            <w:pPr>
              <w:jc w:val="center"/>
              <w:rPr>
                <w:rFonts w:ascii="宋体" w:hAnsi="宋体" w:eastAsia="宋体"/>
                <w:sz w:val="24"/>
                <w:szCs w:val="24"/>
              </w:rPr>
            </w:pPr>
          </w:p>
        </w:tc>
        <w:tc>
          <w:tcPr>
            <w:tcW w:w="2312" w:type="dxa"/>
            <w:tcBorders>
              <w:right w:val="double" w:color="auto" w:sz="4" w:space="0"/>
            </w:tcBorders>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68" w:type="dxa"/>
            <w:gridSpan w:val="2"/>
            <w:vMerge w:val="restart"/>
            <w:tcBorders>
              <w:left w:val="double" w:color="auto" w:sz="4" w:space="0"/>
            </w:tcBorders>
            <w:vAlign w:val="center"/>
          </w:tcPr>
          <w:p>
            <w:pPr>
              <w:jc w:val="center"/>
              <w:rPr>
                <w:rFonts w:ascii="宋体" w:hAnsi="宋体" w:eastAsia="宋体"/>
                <w:sz w:val="24"/>
                <w:szCs w:val="24"/>
              </w:rPr>
            </w:pPr>
            <w:r>
              <w:rPr>
                <w:rFonts w:hint="eastAsia" w:ascii="宋体" w:hAnsi="宋体" w:eastAsia="宋体"/>
                <w:sz w:val="24"/>
                <w:szCs w:val="24"/>
              </w:rPr>
              <w:t>主要用户名称及其联系电话</w:t>
            </w:r>
          </w:p>
        </w:tc>
        <w:tc>
          <w:tcPr>
            <w:tcW w:w="2663" w:type="dxa"/>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665" w:type="dxa"/>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312" w:type="dxa"/>
            <w:tcBorders>
              <w:right w:val="double" w:color="auto" w:sz="4" w:space="0"/>
            </w:tcBorders>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68" w:type="dxa"/>
            <w:gridSpan w:val="2"/>
            <w:vMerge w:val="continue"/>
            <w:tcBorders>
              <w:left w:val="double" w:color="auto" w:sz="4" w:space="0"/>
            </w:tcBorders>
            <w:vAlign w:val="center"/>
          </w:tcPr>
          <w:p>
            <w:pPr>
              <w:jc w:val="center"/>
              <w:rPr>
                <w:rFonts w:ascii="宋体" w:hAnsi="宋体" w:eastAsia="宋体"/>
                <w:sz w:val="24"/>
                <w:szCs w:val="24"/>
              </w:rPr>
            </w:pPr>
          </w:p>
        </w:tc>
        <w:tc>
          <w:tcPr>
            <w:tcW w:w="2663" w:type="dxa"/>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665" w:type="dxa"/>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312" w:type="dxa"/>
            <w:tcBorders>
              <w:right w:val="double" w:color="auto" w:sz="4" w:space="0"/>
            </w:tcBorders>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68" w:type="dxa"/>
            <w:gridSpan w:val="2"/>
            <w:vMerge w:val="continue"/>
            <w:tcBorders>
              <w:left w:val="double" w:color="auto" w:sz="4" w:space="0"/>
              <w:bottom w:val="double" w:color="auto" w:sz="4" w:space="0"/>
            </w:tcBorders>
            <w:vAlign w:val="center"/>
          </w:tcPr>
          <w:p>
            <w:pPr>
              <w:jc w:val="center"/>
              <w:rPr>
                <w:rFonts w:ascii="宋体" w:hAnsi="宋体" w:eastAsia="宋体"/>
                <w:sz w:val="24"/>
                <w:szCs w:val="24"/>
              </w:rPr>
            </w:pPr>
          </w:p>
        </w:tc>
        <w:tc>
          <w:tcPr>
            <w:tcW w:w="2663" w:type="dxa"/>
            <w:tcBorders>
              <w:bottom w:val="double" w:color="auto" w:sz="4" w:space="0"/>
            </w:tcBorders>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665" w:type="dxa"/>
            <w:tcBorders>
              <w:bottom w:val="double" w:color="auto" w:sz="4" w:space="0"/>
            </w:tcBorders>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312" w:type="dxa"/>
            <w:tcBorders>
              <w:bottom w:val="double" w:color="auto" w:sz="4" w:space="0"/>
              <w:right w:val="double" w:color="auto" w:sz="4" w:space="0"/>
            </w:tcBorders>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r>
    </w:tbl>
    <w:p>
      <w:pPr>
        <w:snapToGrid w:val="0"/>
        <w:spacing w:before="120" w:line="300" w:lineRule="auto"/>
        <w:contextualSpacing/>
        <w:rPr>
          <w:rFonts w:ascii="宋体" w:hAnsi="宋体" w:eastAsia="宋体"/>
          <w:b/>
          <w:sz w:val="24"/>
          <w:szCs w:val="24"/>
        </w:rPr>
      </w:pPr>
      <w:bookmarkStart w:id="17" w:name="_Hlt10548694"/>
    </w:p>
    <w:p>
      <w:pPr>
        <w:snapToGrid w:val="0"/>
        <w:spacing w:before="120" w:line="300" w:lineRule="auto"/>
        <w:contextualSpacing/>
        <w:rPr>
          <w:rFonts w:ascii="宋体" w:hAnsi="宋体" w:eastAsia="宋体"/>
          <w:b/>
          <w:sz w:val="24"/>
          <w:szCs w:val="24"/>
        </w:rPr>
      </w:pPr>
      <w:r>
        <w:rPr>
          <w:rFonts w:hint="eastAsia" w:ascii="宋体" w:hAnsi="宋体" w:eastAsia="宋体"/>
          <w:b/>
          <w:sz w:val="24"/>
          <w:szCs w:val="24"/>
        </w:rPr>
        <w:t>注：1.响应人应尽可能提供表列项目的评定证书或用户使用报告的复印件</w:t>
      </w:r>
      <w:bookmarkEnd w:id="17"/>
      <w:r>
        <w:rPr>
          <w:rFonts w:hint="eastAsia" w:ascii="宋体" w:hAnsi="宋体" w:eastAsia="宋体"/>
          <w:b/>
          <w:sz w:val="24"/>
          <w:szCs w:val="24"/>
        </w:rPr>
        <w:t>。</w:t>
      </w:r>
    </w:p>
    <w:p>
      <w:pPr>
        <w:snapToGrid w:val="0"/>
        <w:spacing w:before="120" w:line="300" w:lineRule="auto"/>
        <w:contextualSpacing/>
        <w:rPr>
          <w:rFonts w:ascii="宋体" w:hAnsi="宋体" w:eastAsia="宋体"/>
          <w:b/>
          <w:sz w:val="24"/>
          <w:szCs w:val="24"/>
        </w:rPr>
      </w:pPr>
      <w:r>
        <w:rPr>
          <w:rFonts w:hint="eastAsia" w:ascii="宋体" w:hAnsi="宋体" w:eastAsia="宋体"/>
          <w:b/>
          <w:sz w:val="24"/>
          <w:szCs w:val="24"/>
        </w:rPr>
        <w:t xml:space="preserve">    2.以上业绩必须真实，若成交须对以上合同原件进行核对。</w:t>
      </w:r>
    </w:p>
    <w:p>
      <w:pPr>
        <w:snapToGrid w:val="0"/>
        <w:spacing w:line="300" w:lineRule="auto"/>
        <w:contextualSpacing/>
        <w:rPr>
          <w:rFonts w:ascii="宋体" w:hAnsi="宋体" w:eastAsia="宋体"/>
          <w:b/>
          <w:bCs/>
          <w:sz w:val="24"/>
          <w:szCs w:val="24"/>
        </w:rPr>
      </w:pPr>
    </w:p>
    <w:p>
      <w:pPr>
        <w:snapToGrid w:val="0"/>
        <w:spacing w:line="300" w:lineRule="auto"/>
        <w:contextualSpacing/>
        <w:rPr>
          <w:rFonts w:ascii="宋体" w:hAnsi="宋体" w:eastAsia="宋体"/>
          <w:b/>
          <w:bCs/>
          <w:sz w:val="24"/>
          <w:szCs w:val="24"/>
        </w:rPr>
      </w:pPr>
      <w:r>
        <w:rPr>
          <w:rFonts w:hint="eastAsia" w:ascii="宋体" w:hAnsi="宋体" w:eastAsia="宋体"/>
          <w:b/>
          <w:bCs/>
          <w:sz w:val="24"/>
          <w:szCs w:val="24"/>
        </w:rPr>
        <w:t>注：须提供所投货物服务年度经营业绩证明资料（如合同、其验收报告和税务发票等，列出用户名称、交货及验收时间、联系人、联系电话等。</w:t>
      </w:r>
    </w:p>
    <w:p>
      <w:pPr>
        <w:pStyle w:val="30"/>
        <w:snapToGrid w:val="0"/>
        <w:spacing w:line="300" w:lineRule="auto"/>
        <w:ind w:firstLine="0" w:firstLineChars="0"/>
        <w:contextualSpacing/>
        <w:rPr>
          <w:rFonts w:ascii="宋体" w:eastAsia="宋体"/>
          <w:sz w:val="24"/>
          <w:szCs w:val="24"/>
        </w:rPr>
      </w:pPr>
      <w:r>
        <w:rPr>
          <w:rFonts w:ascii="宋体" w:eastAsia="宋体"/>
          <w:sz w:val="24"/>
          <w:szCs w:val="24"/>
        </w:rPr>
        <w:br w:type="page"/>
      </w:r>
    </w:p>
    <w:p>
      <w:pPr>
        <w:pStyle w:val="30"/>
        <w:snapToGrid w:val="0"/>
        <w:spacing w:line="300" w:lineRule="auto"/>
        <w:ind w:firstLine="0" w:firstLineChars="0"/>
        <w:contextualSpacing/>
        <w:rPr>
          <w:rFonts w:ascii="宋体" w:eastAsia="宋体"/>
          <w:sz w:val="24"/>
          <w:szCs w:val="24"/>
        </w:rPr>
      </w:pPr>
      <w:r>
        <w:rPr>
          <w:rFonts w:hint="eastAsia" w:ascii="宋体" w:eastAsia="宋体"/>
          <w:sz w:val="24"/>
          <w:szCs w:val="24"/>
        </w:rPr>
        <w:t>附件3</w:t>
      </w:r>
    </w:p>
    <w:p>
      <w:pPr>
        <w:pStyle w:val="30"/>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商务部分正负偏离表</w:t>
      </w:r>
    </w:p>
    <w:p>
      <w:pPr>
        <w:ind w:firstLine="480" w:firstLineChars="200"/>
        <w:jc w:val="center"/>
        <w:rPr>
          <w:rFonts w:ascii="宋体" w:hAnsi="宋体" w:eastAsia="宋体"/>
          <w:sz w:val="24"/>
          <w:szCs w:val="24"/>
        </w:rPr>
      </w:pPr>
      <w:r>
        <w:rPr>
          <w:rFonts w:hint="eastAsia" w:ascii="宋体" w:hAnsi="宋体" w:eastAsia="宋体"/>
          <w:sz w:val="24"/>
          <w:szCs w:val="24"/>
        </w:rPr>
        <w:t>（由响应人据实提交，表格不够自行添加）</w:t>
      </w:r>
    </w:p>
    <w:p>
      <w:pPr>
        <w:ind w:firstLine="480" w:firstLineChars="200"/>
        <w:jc w:val="center"/>
        <w:rPr>
          <w:rFonts w:ascii="宋体" w:hAnsi="宋体" w:eastAsia="宋体"/>
          <w:sz w:val="24"/>
          <w:szCs w:val="24"/>
        </w:rPr>
      </w:pPr>
    </w:p>
    <w:tbl>
      <w:tblPr>
        <w:tblStyle w:val="21"/>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序号</w:t>
            </w:r>
          </w:p>
        </w:tc>
        <w:tc>
          <w:tcPr>
            <w:tcW w:w="1263"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谈判文件要求</w:t>
            </w:r>
          </w:p>
        </w:tc>
        <w:tc>
          <w:tcPr>
            <w:tcW w:w="2720"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tcPr>
          <w:p>
            <w:pPr>
              <w:spacing w:line="340" w:lineRule="exact"/>
              <w:jc w:val="center"/>
              <w:rPr>
                <w:rFonts w:ascii="宋体" w:hAnsi="宋体" w:eastAsia="宋体"/>
                <w:sz w:val="24"/>
                <w:szCs w:val="24"/>
              </w:rPr>
            </w:pPr>
          </w:p>
          <w:p>
            <w:pPr>
              <w:spacing w:line="340" w:lineRule="exact"/>
              <w:jc w:val="center"/>
              <w:rPr>
                <w:rFonts w:ascii="宋体" w:hAnsi="宋体" w:eastAsia="宋体"/>
                <w:sz w:val="24"/>
                <w:szCs w:val="24"/>
              </w:rPr>
            </w:pPr>
            <w:r>
              <w:rPr>
                <w:rFonts w:hint="eastAsia" w:ascii="宋体" w:hAnsi="宋体" w:eastAsia="宋体"/>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r>
              <w:rPr>
                <w:rFonts w:hint="eastAsia" w:ascii="宋体" w:hAnsi="宋体" w:eastAsia="宋体"/>
                <w:sz w:val="24"/>
                <w:szCs w:val="24"/>
              </w:rPr>
              <w:t>1</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r>
              <w:rPr>
                <w:rFonts w:hint="eastAsia" w:ascii="宋体" w:hAnsi="宋体" w:eastAsia="宋体"/>
                <w:sz w:val="24"/>
                <w:szCs w:val="24"/>
              </w:rPr>
              <w:t>2</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r>
              <w:rPr>
                <w:rFonts w:hint="eastAsia" w:ascii="宋体" w:hAnsi="宋体" w:eastAsia="宋体"/>
                <w:sz w:val="24"/>
                <w:szCs w:val="24"/>
              </w:rPr>
              <w:t>3</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80" w:firstLineChars="200"/>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bl>
    <w:p>
      <w:pPr>
        <w:pStyle w:val="12"/>
        <w:snapToGrid w:val="0"/>
        <w:spacing w:line="300" w:lineRule="auto"/>
        <w:contextualSpacing/>
        <w:rPr>
          <w:rFonts w:hAnsi="宋体"/>
          <w:b/>
          <w:sz w:val="24"/>
          <w:szCs w:val="24"/>
        </w:rPr>
      </w:pPr>
    </w:p>
    <w:p>
      <w:pPr>
        <w:pStyle w:val="12"/>
        <w:snapToGrid w:val="0"/>
        <w:spacing w:line="300" w:lineRule="auto"/>
        <w:contextualSpacing/>
        <w:rPr>
          <w:rFonts w:hAnsi="宋体"/>
          <w:b/>
          <w:sz w:val="24"/>
          <w:szCs w:val="24"/>
        </w:rPr>
      </w:pPr>
      <w:r>
        <w:rPr>
          <w:rFonts w:hint="eastAsia" w:hAnsi="宋体"/>
          <w:b/>
          <w:sz w:val="24"/>
          <w:szCs w:val="24"/>
        </w:rPr>
        <w:t>注：</w:t>
      </w:r>
    </w:p>
    <w:p>
      <w:pPr>
        <w:pStyle w:val="12"/>
        <w:snapToGrid w:val="0"/>
        <w:spacing w:line="300" w:lineRule="auto"/>
        <w:ind w:firstLine="480" w:firstLineChars="200"/>
        <w:contextualSpacing/>
        <w:rPr>
          <w:rFonts w:hAnsi="宋体"/>
          <w:color w:val="000000"/>
          <w:sz w:val="24"/>
          <w:szCs w:val="24"/>
        </w:rPr>
      </w:pPr>
      <w:r>
        <w:rPr>
          <w:rFonts w:hint="eastAsia" w:hAnsi="宋体"/>
          <w:sz w:val="24"/>
          <w:szCs w:val="24"/>
        </w:rPr>
        <w:t>1.</w:t>
      </w:r>
      <w:r>
        <w:rPr>
          <w:rFonts w:hint="eastAsia" w:hAnsi="宋体"/>
          <w:color w:val="000000"/>
          <w:sz w:val="24"/>
          <w:szCs w:val="24"/>
        </w:rPr>
        <w:t>响应人提交的响应文件中与谈判文件</w:t>
      </w:r>
      <w:r>
        <w:rPr>
          <w:rFonts w:hint="eastAsia" w:hAnsi="宋体"/>
          <w:color w:val="000000" w:themeColor="text1"/>
          <w:sz w:val="24"/>
          <w:szCs w:val="24"/>
        </w:rPr>
        <w:t>第三部分</w:t>
      </w:r>
      <w:r>
        <w:rPr>
          <w:rFonts w:hint="eastAsia" w:hAnsi="宋体"/>
          <w:color w:val="000000"/>
          <w:sz w:val="24"/>
          <w:szCs w:val="24"/>
        </w:rPr>
        <w:t>“采购需求说明”中的商务、技术部分的要求有不同时，应逐条填列在偏离表中，否则将认为响应人接受谈判文件的所有要求。完全响应部分不填到。</w:t>
      </w:r>
    </w:p>
    <w:p>
      <w:pPr>
        <w:pStyle w:val="12"/>
        <w:snapToGrid w:val="0"/>
        <w:spacing w:line="300" w:lineRule="auto"/>
        <w:ind w:firstLine="480" w:firstLineChars="200"/>
        <w:contextualSpacing/>
        <w:rPr>
          <w:rFonts w:hAnsi="宋体"/>
          <w:sz w:val="24"/>
          <w:szCs w:val="24"/>
        </w:rPr>
      </w:pPr>
      <w:r>
        <w:rPr>
          <w:rFonts w:hint="eastAsia" w:hAnsi="宋体"/>
          <w:color w:val="000000"/>
          <w:sz w:val="24"/>
          <w:szCs w:val="24"/>
        </w:rPr>
        <w:t>2.</w:t>
      </w:r>
      <w:r>
        <w:rPr>
          <w:rFonts w:hint="eastAsia" w:hAnsi="宋体"/>
          <w:sz w:val="24"/>
          <w:szCs w:val="24"/>
        </w:rPr>
        <w:t>“偏离说明”一栏选择“正偏离”、“负偏离”进行填写。正偏离的确认和</w:t>
      </w:r>
      <w:r>
        <w:rPr>
          <w:rFonts w:hint="eastAsia" w:hAnsi="宋体"/>
          <w:color w:val="000000"/>
          <w:sz w:val="24"/>
          <w:szCs w:val="24"/>
        </w:rPr>
        <w:t>负偏离的是否相应谈判文件，经三分之二评委认定。</w:t>
      </w:r>
    </w:p>
    <w:p>
      <w:pPr>
        <w:snapToGrid w:val="0"/>
        <w:spacing w:line="300" w:lineRule="auto"/>
        <w:ind w:firstLine="480" w:firstLineChars="200"/>
        <w:contextualSpacing/>
        <w:rPr>
          <w:rFonts w:ascii="宋体" w:hAnsi="宋体" w:eastAsia="宋体"/>
          <w:sz w:val="24"/>
          <w:szCs w:val="24"/>
        </w:rPr>
      </w:pPr>
      <w:r>
        <w:rPr>
          <w:rFonts w:hint="eastAsia" w:ascii="宋体" w:hAnsi="宋体" w:eastAsia="宋体"/>
          <w:sz w:val="24"/>
          <w:szCs w:val="24"/>
        </w:rPr>
        <w:t>3.响应人如果虚假响应，将承担被没收全额/部分响应保证金或被暂停参加南通市政府采购中心组织政府采购活动的风险。</w:t>
      </w:r>
    </w:p>
    <w:p>
      <w:pPr>
        <w:snapToGrid w:val="0"/>
        <w:spacing w:line="300" w:lineRule="auto"/>
        <w:ind w:firstLine="480" w:firstLineChars="200"/>
        <w:contextualSpacing/>
        <w:rPr>
          <w:rFonts w:ascii="宋体" w:hAnsi="宋体" w:eastAsia="宋体"/>
          <w:bCs/>
          <w:sz w:val="24"/>
          <w:szCs w:val="24"/>
        </w:rPr>
      </w:pPr>
      <w:r>
        <w:rPr>
          <w:rFonts w:hint="eastAsia" w:ascii="宋体" w:hAnsi="宋体" w:eastAsia="宋体"/>
          <w:bCs/>
          <w:sz w:val="24"/>
          <w:szCs w:val="24"/>
        </w:rPr>
        <w:t>4.供应商若提供其他增值服务，可以在表中自行据实填写。</w:t>
      </w: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r>
        <w:rPr>
          <w:rFonts w:hint="eastAsia" w:ascii="宋体" w:eastAsia="宋体"/>
          <w:sz w:val="24"/>
          <w:szCs w:val="24"/>
        </w:rPr>
        <w:t>附件4</w:t>
      </w:r>
    </w:p>
    <w:p>
      <w:pPr>
        <w:pStyle w:val="30"/>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技术部分正负偏离表</w:t>
      </w:r>
    </w:p>
    <w:p>
      <w:pPr>
        <w:ind w:firstLine="480" w:firstLineChars="200"/>
        <w:jc w:val="center"/>
        <w:rPr>
          <w:rFonts w:ascii="宋体" w:hAnsi="宋体" w:eastAsia="宋体"/>
          <w:sz w:val="24"/>
          <w:szCs w:val="24"/>
        </w:rPr>
      </w:pPr>
      <w:r>
        <w:rPr>
          <w:rFonts w:hint="eastAsia" w:ascii="宋体" w:hAnsi="宋体" w:eastAsia="宋体"/>
          <w:sz w:val="24"/>
          <w:szCs w:val="24"/>
        </w:rPr>
        <w:t>（由响应人据实提交，表格不够自行添加）</w:t>
      </w:r>
    </w:p>
    <w:p>
      <w:pPr>
        <w:spacing w:line="320" w:lineRule="exact"/>
        <w:rPr>
          <w:rFonts w:ascii="宋体" w:hAnsi="宋体" w:eastAsia="宋体"/>
          <w:sz w:val="24"/>
          <w:szCs w:val="24"/>
          <w:u w:val="single"/>
        </w:rPr>
      </w:pPr>
    </w:p>
    <w:tbl>
      <w:tblPr>
        <w:tblStyle w:val="21"/>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序号</w:t>
            </w:r>
          </w:p>
        </w:tc>
        <w:tc>
          <w:tcPr>
            <w:tcW w:w="1263"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谈判文件要求</w:t>
            </w:r>
          </w:p>
        </w:tc>
        <w:tc>
          <w:tcPr>
            <w:tcW w:w="2720"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tcPr>
          <w:p>
            <w:pPr>
              <w:spacing w:line="340" w:lineRule="exact"/>
              <w:jc w:val="center"/>
              <w:rPr>
                <w:rFonts w:ascii="宋体" w:hAnsi="宋体" w:eastAsia="宋体"/>
                <w:sz w:val="24"/>
                <w:szCs w:val="24"/>
              </w:rPr>
            </w:pPr>
          </w:p>
          <w:p>
            <w:pPr>
              <w:spacing w:line="340" w:lineRule="exact"/>
              <w:jc w:val="center"/>
              <w:rPr>
                <w:rFonts w:ascii="宋体" w:hAnsi="宋体" w:eastAsia="宋体"/>
                <w:sz w:val="24"/>
                <w:szCs w:val="24"/>
              </w:rPr>
            </w:pPr>
            <w:r>
              <w:rPr>
                <w:rFonts w:hint="eastAsia" w:ascii="宋体" w:hAnsi="宋体" w:eastAsia="宋体"/>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r>
              <w:rPr>
                <w:rFonts w:hint="eastAsia" w:ascii="宋体" w:hAnsi="宋体" w:eastAsia="宋体"/>
                <w:sz w:val="24"/>
                <w:szCs w:val="24"/>
              </w:rPr>
              <w:t>1</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r>
              <w:rPr>
                <w:rFonts w:hint="eastAsia" w:ascii="宋体" w:hAnsi="宋体" w:eastAsia="宋体"/>
                <w:sz w:val="24"/>
                <w:szCs w:val="24"/>
              </w:rPr>
              <w:t>2</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r>
              <w:rPr>
                <w:rFonts w:hint="eastAsia" w:ascii="宋体" w:hAnsi="宋体" w:eastAsia="宋体"/>
                <w:sz w:val="24"/>
                <w:szCs w:val="24"/>
              </w:rPr>
              <w:t>3</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80" w:firstLineChars="200"/>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bl>
    <w:p>
      <w:pPr>
        <w:spacing w:line="260" w:lineRule="exact"/>
        <w:rPr>
          <w:rFonts w:ascii="宋体" w:hAnsi="宋体" w:eastAsia="宋体"/>
          <w:sz w:val="24"/>
          <w:szCs w:val="24"/>
          <w:u w:val="single"/>
        </w:rPr>
      </w:pPr>
    </w:p>
    <w:p>
      <w:pPr>
        <w:pStyle w:val="12"/>
        <w:rPr>
          <w:rFonts w:hAnsi="宋体"/>
          <w:b/>
          <w:sz w:val="24"/>
          <w:szCs w:val="24"/>
        </w:rPr>
      </w:pPr>
    </w:p>
    <w:p>
      <w:pPr>
        <w:pStyle w:val="12"/>
        <w:rPr>
          <w:rFonts w:hAnsi="宋体"/>
          <w:b/>
          <w:sz w:val="24"/>
          <w:szCs w:val="24"/>
        </w:rPr>
      </w:pPr>
      <w:r>
        <w:rPr>
          <w:rFonts w:hint="eastAsia" w:hAnsi="宋体"/>
          <w:b/>
          <w:sz w:val="24"/>
          <w:szCs w:val="24"/>
        </w:rPr>
        <w:t>注：</w:t>
      </w:r>
    </w:p>
    <w:p>
      <w:pPr>
        <w:pStyle w:val="12"/>
        <w:snapToGrid w:val="0"/>
        <w:spacing w:line="300" w:lineRule="auto"/>
        <w:ind w:firstLine="480" w:firstLineChars="200"/>
        <w:contextualSpacing/>
        <w:rPr>
          <w:rFonts w:hAnsi="宋体"/>
          <w:color w:val="000000"/>
          <w:sz w:val="24"/>
          <w:szCs w:val="24"/>
        </w:rPr>
      </w:pPr>
      <w:r>
        <w:rPr>
          <w:rFonts w:hint="eastAsia" w:hAnsi="宋体"/>
          <w:sz w:val="24"/>
          <w:szCs w:val="24"/>
        </w:rPr>
        <w:t>1.</w:t>
      </w:r>
      <w:r>
        <w:rPr>
          <w:rFonts w:hint="eastAsia" w:hAnsi="宋体"/>
          <w:color w:val="000000"/>
          <w:sz w:val="24"/>
          <w:szCs w:val="24"/>
        </w:rPr>
        <w:t>响应人提交的响应文件中与谈判文件</w:t>
      </w:r>
      <w:r>
        <w:rPr>
          <w:rFonts w:hint="eastAsia" w:hAnsi="宋体"/>
          <w:color w:val="000000" w:themeColor="text1"/>
          <w:sz w:val="24"/>
          <w:szCs w:val="24"/>
        </w:rPr>
        <w:t>第三部分</w:t>
      </w:r>
      <w:r>
        <w:rPr>
          <w:rFonts w:hint="eastAsia" w:hAnsi="宋体"/>
          <w:color w:val="000000"/>
          <w:sz w:val="24"/>
          <w:szCs w:val="24"/>
        </w:rPr>
        <w:t>“项目需求说明”中的商务、技术部分的要求有不同时，应逐条填列在偏离表中，否则将认为响应人接受谈判文件的所有要求。完全响应部分不填到。</w:t>
      </w:r>
    </w:p>
    <w:p>
      <w:pPr>
        <w:pStyle w:val="12"/>
        <w:snapToGrid w:val="0"/>
        <w:spacing w:line="300" w:lineRule="auto"/>
        <w:ind w:firstLine="480" w:firstLineChars="200"/>
        <w:contextualSpacing/>
        <w:rPr>
          <w:rFonts w:hAnsi="宋体"/>
          <w:sz w:val="24"/>
          <w:szCs w:val="24"/>
        </w:rPr>
      </w:pPr>
      <w:r>
        <w:rPr>
          <w:rFonts w:hint="eastAsia" w:hAnsi="宋体"/>
          <w:color w:val="000000"/>
          <w:sz w:val="24"/>
          <w:szCs w:val="24"/>
        </w:rPr>
        <w:t>2.</w:t>
      </w:r>
      <w:r>
        <w:rPr>
          <w:rFonts w:hint="eastAsia" w:hAnsi="宋体"/>
          <w:sz w:val="24"/>
          <w:szCs w:val="24"/>
        </w:rPr>
        <w:t>“偏离说明”一栏选择“正偏离”、“负偏离”进行填写。正偏离的确认和</w:t>
      </w:r>
      <w:r>
        <w:rPr>
          <w:rFonts w:hint="eastAsia" w:hAnsi="宋体"/>
          <w:color w:val="000000"/>
          <w:sz w:val="24"/>
          <w:szCs w:val="24"/>
        </w:rPr>
        <w:t>负偏离的是否相应谈判文件，经三分之二评委认定。</w:t>
      </w:r>
    </w:p>
    <w:p>
      <w:pPr>
        <w:snapToGrid w:val="0"/>
        <w:spacing w:line="300" w:lineRule="auto"/>
        <w:ind w:firstLine="480" w:firstLineChars="200"/>
        <w:contextualSpacing/>
        <w:rPr>
          <w:rFonts w:ascii="宋体" w:hAnsi="宋体" w:eastAsia="宋体"/>
          <w:sz w:val="24"/>
          <w:szCs w:val="24"/>
        </w:rPr>
      </w:pPr>
      <w:r>
        <w:rPr>
          <w:rFonts w:hint="eastAsia" w:ascii="宋体" w:hAnsi="宋体" w:eastAsia="宋体"/>
          <w:sz w:val="24"/>
          <w:szCs w:val="24"/>
        </w:rPr>
        <w:t>3.响应人如果虚假响应，将承担被没收全额/部分响应保证金或被暂停参加南通市政府公共资源交易中心组织政府采购活动的风险。</w:t>
      </w:r>
    </w:p>
    <w:p>
      <w:pPr>
        <w:snapToGrid w:val="0"/>
        <w:spacing w:line="300" w:lineRule="auto"/>
        <w:ind w:firstLine="480" w:firstLineChars="200"/>
        <w:contextualSpacing/>
        <w:rPr>
          <w:rFonts w:ascii="宋体" w:hAnsi="宋体" w:eastAsia="宋体"/>
          <w:bCs/>
          <w:sz w:val="24"/>
          <w:szCs w:val="24"/>
        </w:rPr>
      </w:pPr>
      <w:r>
        <w:rPr>
          <w:rFonts w:hint="eastAsia" w:ascii="宋体" w:hAnsi="宋体" w:eastAsia="宋体"/>
          <w:bCs/>
          <w:sz w:val="24"/>
          <w:szCs w:val="24"/>
        </w:rPr>
        <w:t>4.供应商若提供其他增值服务，可以在表中自行据实填写。</w:t>
      </w: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r>
        <w:rPr>
          <w:rFonts w:ascii="宋体" w:hAnsi="宋体" w:eastAsia="宋体"/>
          <w:sz w:val="24"/>
          <w:szCs w:val="24"/>
        </w:rPr>
        <w:br w:type="page"/>
      </w:r>
    </w:p>
    <w:p>
      <w:pPr>
        <w:pStyle w:val="30"/>
        <w:snapToGrid w:val="0"/>
        <w:spacing w:line="300" w:lineRule="auto"/>
        <w:ind w:firstLine="0" w:firstLineChars="0"/>
        <w:contextualSpacing/>
        <w:rPr>
          <w:rFonts w:ascii="宋体" w:eastAsia="宋体"/>
          <w:sz w:val="24"/>
          <w:szCs w:val="24"/>
        </w:rPr>
      </w:pPr>
      <w:r>
        <w:rPr>
          <w:rFonts w:hint="eastAsia" w:ascii="宋体" w:eastAsia="宋体"/>
          <w:sz w:val="24"/>
          <w:szCs w:val="24"/>
        </w:rPr>
        <w:t>附件5</w:t>
      </w:r>
    </w:p>
    <w:p>
      <w:pPr>
        <w:pStyle w:val="30"/>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货物一揽表清单</w:t>
      </w:r>
    </w:p>
    <w:p>
      <w:pPr>
        <w:pStyle w:val="30"/>
        <w:snapToGrid w:val="0"/>
        <w:spacing w:line="300" w:lineRule="auto"/>
        <w:ind w:firstLine="0" w:firstLineChars="0"/>
        <w:contextualSpacing/>
        <w:jc w:val="center"/>
        <w:rPr>
          <w:rFonts w:ascii="宋体" w:eastAsia="宋体"/>
          <w:b/>
          <w:sz w:val="24"/>
          <w:szCs w:val="24"/>
        </w:rPr>
      </w:pPr>
    </w:p>
    <w:tbl>
      <w:tblPr>
        <w:tblStyle w:val="21"/>
        <w:tblW w:w="83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81"/>
        <w:gridCol w:w="1191"/>
        <w:gridCol w:w="1776"/>
        <w:gridCol w:w="709"/>
        <w:gridCol w:w="1842"/>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72"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序号</w:t>
            </w:r>
          </w:p>
        </w:tc>
        <w:tc>
          <w:tcPr>
            <w:tcW w:w="1181"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货物名称</w:t>
            </w:r>
          </w:p>
        </w:tc>
        <w:tc>
          <w:tcPr>
            <w:tcW w:w="1191"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品牌、规格</w:t>
            </w:r>
          </w:p>
        </w:tc>
        <w:tc>
          <w:tcPr>
            <w:tcW w:w="1776"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生产商及原产地</w:t>
            </w:r>
          </w:p>
        </w:tc>
        <w:tc>
          <w:tcPr>
            <w:tcW w:w="709"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数量</w:t>
            </w:r>
          </w:p>
        </w:tc>
        <w:tc>
          <w:tcPr>
            <w:tcW w:w="1842"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详细技术参数</w:t>
            </w:r>
          </w:p>
        </w:tc>
        <w:tc>
          <w:tcPr>
            <w:tcW w:w="1028"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vAlign w:val="center"/>
          </w:tcPr>
          <w:p>
            <w:pPr>
              <w:spacing w:line="300" w:lineRule="auto"/>
              <w:jc w:val="center"/>
              <w:rPr>
                <w:rFonts w:ascii="宋体" w:hAnsi="宋体" w:eastAsia="宋体"/>
                <w:sz w:val="24"/>
                <w:szCs w:val="24"/>
              </w:rPr>
            </w:pPr>
            <w:r>
              <w:rPr>
                <w:rFonts w:hint="eastAsia" w:ascii="宋体" w:hAnsi="宋体" w:eastAsia="宋体"/>
                <w:sz w:val="24"/>
                <w:szCs w:val="24"/>
              </w:rPr>
              <w:t>1</w:t>
            </w:r>
          </w:p>
        </w:tc>
        <w:tc>
          <w:tcPr>
            <w:tcW w:w="1181" w:type="dxa"/>
          </w:tcPr>
          <w:p>
            <w:pPr>
              <w:spacing w:line="360" w:lineRule="auto"/>
              <w:rPr>
                <w:rFonts w:ascii="宋体" w:hAnsi="宋体" w:eastAsia="宋体"/>
                <w:sz w:val="24"/>
                <w:szCs w:val="24"/>
              </w:rPr>
            </w:pPr>
          </w:p>
        </w:tc>
        <w:tc>
          <w:tcPr>
            <w:tcW w:w="1191" w:type="dxa"/>
          </w:tcPr>
          <w:p>
            <w:pPr>
              <w:spacing w:line="360" w:lineRule="auto"/>
              <w:rPr>
                <w:rFonts w:ascii="宋体" w:hAnsi="宋体" w:eastAsia="宋体"/>
                <w:sz w:val="24"/>
                <w:szCs w:val="24"/>
              </w:rPr>
            </w:pPr>
          </w:p>
        </w:tc>
        <w:tc>
          <w:tcPr>
            <w:tcW w:w="1776" w:type="dxa"/>
          </w:tcPr>
          <w:p>
            <w:pPr>
              <w:spacing w:line="360" w:lineRule="auto"/>
              <w:rPr>
                <w:rFonts w:ascii="宋体" w:hAnsi="宋体" w:eastAsia="宋体"/>
                <w:sz w:val="24"/>
                <w:szCs w:val="24"/>
              </w:rPr>
            </w:pPr>
          </w:p>
        </w:tc>
        <w:tc>
          <w:tcPr>
            <w:tcW w:w="709" w:type="dxa"/>
          </w:tcPr>
          <w:p>
            <w:pPr>
              <w:spacing w:line="360" w:lineRule="auto"/>
              <w:rPr>
                <w:rFonts w:ascii="宋体" w:hAnsi="宋体" w:eastAsia="宋体"/>
                <w:sz w:val="24"/>
                <w:szCs w:val="24"/>
              </w:rPr>
            </w:pPr>
          </w:p>
        </w:tc>
        <w:tc>
          <w:tcPr>
            <w:tcW w:w="1842" w:type="dxa"/>
          </w:tcPr>
          <w:p>
            <w:pPr>
              <w:spacing w:line="360" w:lineRule="auto"/>
              <w:rPr>
                <w:rFonts w:ascii="宋体" w:hAnsi="宋体" w:eastAsia="宋体"/>
                <w:sz w:val="24"/>
                <w:szCs w:val="24"/>
              </w:rPr>
            </w:pPr>
          </w:p>
        </w:tc>
        <w:tc>
          <w:tcPr>
            <w:tcW w:w="1028"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vAlign w:val="center"/>
          </w:tcPr>
          <w:p>
            <w:pPr>
              <w:spacing w:line="300" w:lineRule="auto"/>
              <w:jc w:val="center"/>
              <w:rPr>
                <w:rFonts w:ascii="宋体" w:hAnsi="宋体" w:eastAsia="宋体"/>
                <w:sz w:val="24"/>
                <w:szCs w:val="24"/>
              </w:rPr>
            </w:pPr>
            <w:r>
              <w:rPr>
                <w:rFonts w:hint="eastAsia" w:ascii="宋体" w:hAnsi="宋体" w:eastAsia="宋体"/>
                <w:sz w:val="24"/>
                <w:szCs w:val="24"/>
              </w:rPr>
              <w:t>2</w:t>
            </w:r>
          </w:p>
        </w:tc>
        <w:tc>
          <w:tcPr>
            <w:tcW w:w="1181" w:type="dxa"/>
          </w:tcPr>
          <w:p>
            <w:pPr>
              <w:spacing w:line="360" w:lineRule="auto"/>
              <w:rPr>
                <w:rFonts w:ascii="宋体" w:hAnsi="宋体" w:eastAsia="宋体"/>
                <w:sz w:val="24"/>
                <w:szCs w:val="24"/>
              </w:rPr>
            </w:pPr>
          </w:p>
        </w:tc>
        <w:tc>
          <w:tcPr>
            <w:tcW w:w="1191" w:type="dxa"/>
          </w:tcPr>
          <w:p>
            <w:pPr>
              <w:spacing w:line="360" w:lineRule="auto"/>
              <w:rPr>
                <w:rFonts w:ascii="宋体" w:hAnsi="宋体" w:eastAsia="宋体"/>
                <w:sz w:val="24"/>
                <w:szCs w:val="24"/>
              </w:rPr>
            </w:pPr>
          </w:p>
        </w:tc>
        <w:tc>
          <w:tcPr>
            <w:tcW w:w="1776" w:type="dxa"/>
          </w:tcPr>
          <w:p>
            <w:pPr>
              <w:spacing w:line="360" w:lineRule="auto"/>
              <w:rPr>
                <w:rFonts w:ascii="宋体" w:hAnsi="宋体" w:eastAsia="宋体"/>
                <w:sz w:val="24"/>
                <w:szCs w:val="24"/>
              </w:rPr>
            </w:pPr>
          </w:p>
        </w:tc>
        <w:tc>
          <w:tcPr>
            <w:tcW w:w="709" w:type="dxa"/>
          </w:tcPr>
          <w:p>
            <w:pPr>
              <w:spacing w:line="360" w:lineRule="auto"/>
              <w:rPr>
                <w:rFonts w:ascii="宋体" w:hAnsi="宋体" w:eastAsia="宋体"/>
                <w:sz w:val="24"/>
                <w:szCs w:val="24"/>
              </w:rPr>
            </w:pPr>
          </w:p>
        </w:tc>
        <w:tc>
          <w:tcPr>
            <w:tcW w:w="1842" w:type="dxa"/>
          </w:tcPr>
          <w:p>
            <w:pPr>
              <w:spacing w:line="360" w:lineRule="auto"/>
              <w:rPr>
                <w:rFonts w:ascii="宋体" w:hAnsi="宋体" w:eastAsia="宋体"/>
                <w:sz w:val="24"/>
                <w:szCs w:val="24"/>
              </w:rPr>
            </w:pPr>
          </w:p>
        </w:tc>
        <w:tc>
          <w:tcPr>
            <w:tcW w:w="1028"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vAlign w:val="center"/>
          </w:tcPr>
          <w:p>
            <w:pPr>
              <w:spacing w:line="300" w:lineRule="auto"/>
              <w:jc w:val="center"/>
              <w:rPr>
                <w:rFonts w:ascii="宋体" w:hAnsi="宋体" w:eastAsia="宋体"/>
                <w:sz w:val="24"/>
                <w:szCs w:val="24"/>
              </w:rPr>
            </w:pPr>
            <w:r>
              <w:rPr>
                <w:rFonts w:hint="eastAsia" w:ascii="宋体" w:hAnsi="宋体" w:eastAsia="宋体"/>
                <w:sz w:val="24"/>
                <w:szCs w:val="24"/>
              </w:rPr>
              <w:t>3</w:t>
            </w:r>
          </w:p>
        </w:tc>
        <w:tc>
          <w:tcPr>
            <w:tcW w:w="1181" w:type="dxa"/>
          </w:tcPr>
          <w:p>
            <w:pPr>
              <w:spacing w:line="360" w:lineRule="auto"/>
              <w:rPr>
                <w:rFonts w:ascii="宋体" w:hAnsi="宋体" w:eastAsia="宋体"/>
                <w:sz w:val="24"/>
                <w:szCs w:val="24"/>
              </w:rPr>
            </w:pPr>
          </w:p>
        </w:tc>
        <w:tc>
          <w:tcPr>
            <w:tcW w:w="1191" w:type="dxa"/>
          </w:tcPr>
          <w:p>
            <w:pPr>
              <w:spacing w:line="360" w:lineRule="auto"/>
              <w:rPr>
                <w:rFonts w:ascii="宋体" w:hAnsi="宋体" w:eastAsia="宋体"/>
                <w:sz w:val="24"/>
                <w:szCs w:val="24"/>
              </w:rPr>
            </w:pPr>
          </w:p>
        </w:tc>
        <w:tc>
          <w:tcPr>
            <w:tcW w:w="1776" w:type="dxa"/>
          </w:tcPr>
          <w:p>
            <w:pPr>
              <w:spacing w:line="360" w:lineRule="auto"/>
              <w:rPr>
                <w:rFonts w:ascii="宋体" w:hAnsi="宋体" w:eastAsia="宋体"/>
                <w:sz w:val="24"/>
                <w:szCs w:val="24"/>
              </w:rPr>
            </w:pPr>
          </w:p>
        </w:tc>
        <w:tc>
          <w:tcPr>
            <w:tcW w:w="709" w:type="dxa"/>
          </w:tcPr>
          <w:p>
            <w:pPr>
              <w:spacing w:line="360" w:lineRule="auto"/>
              <w:rPr>
                <w:rFonts w:ascii="宋体" w:hAnsi="宋体" w:eastAsia="宋体"/>
                <w:sz w:val="24"/>
                <w:szCs w:val="24"/>
              </w:rPr>
            </w:pPr>
          </w:p>
        </w:tc>
        <w:tc>
          <w:tcPr>
            <w:tcW w:w="1842" w:type="dxa"/>
          </w:tcPr>
          <w:p>
            <w:pPr>
              <w:spacing w:line="360" w:lineRule="auto"/>
              <w:rPr>
                <w:rFonts w:ascii="宋体" w:hAnsi="宋体" w:eastAsia="宋体"/>
                <w:sz w:val="24"/>
                <w:szCs w:val="24"/>
              </w:rPr>
            </w:pPr>
          </w:p>
        </w:tc>
        <w:tc>
          <w:tcPr>
            <w:tcW w:w="1028"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vAlign w:val="center"/>
          </w:tcPr>
          <w:p>
            <w:pPr>
              <w:spacing w:line="300" w:lineRule="auto"/>
              <w:jc w:val="center"/>
              <w:rPr>
                <w:rFonts w:ascii="宋体" w:hAnsi="宋体" w:eastAsia="宋体"/>
                <w:sz w:val="24"/>
                <w:szCs w:val="24"/>
              </w:rPr>
            </w:pPr>
            <w:r>
              <w:rPr>
                <w:rFonts w:hint="eastAsia" w:ascii="宋体" w:hAnsi="宋体" w:eastAsia="宋体"/>
                <w:sz w:val="24"/>
                <w:szCs w:val="24"/>
              </w:rPr>
              <w:t>……</w:t>
            </w:r>
          </w:p>
        </w:tc>
        <w:tc>
          <w:tcPr>
            <w:tcW w:w="1181" w:type="dxa"/>
          </w:tcPr>
          <w:p>
            <w:pPr>
              <w:spacing w:line="360" w:lineRule="auto"/>
              <w:rPr>
                <w:rFonts w:ascii="宋体" w:hAnsi="宋体" w:eastAsia="宋体"/>
                <w:sz w:val="24"/>
                <w:szCs w:val="24"/>
              </w:rPr>
            </w:pPr>
          </w:p>
        </w:tc>
        <w:tc>
          <w:tcPr>
            <w:tcW w:w="1191" w:type="dxa"/>
          </w:tcPr>
          <w:p>
            <w:pPr>
              <w:spacing w:line="360" w:lineRule="auto"/>
              <w:rPr>
                <w:rFonts w:ascii="宋体" w:hAnsi="宋体" w:eastAsia="宋体"/>
                <w:sz w:val="24"/>
                <w:szCs w:val="24"/>
              </w:rPr>
            </w:pPr>
          </w:p>
        </w:tc>
        <w:tc>
          <w:tcPr>
            <w:tcW w:w="1776" w:type="dxa"/>
          </w:tcPr>
          <w:p>
            <w:pPr>
              <w:spacing w:line="360" w:lineRule="auto"/>
              <w:rPr>
                <w:rFonts w:ascii="宋体" w:hAnsi="宋体" w:eastAsia="宋体"/>
                <w:sz w:val="24"/>
                <w:szCs w:val="24"/>
              </w:rPr>
            </w:pPr>
          </w:p>
        </w:tc>
        <w:tc>
          <w:tcPr>
            <w:tcW w:w="709" w:type="dxa"/>
          </w:tcPr>
          <w:p>
            <w:pPr>
              <w:spacing w:line="360" w:lineRule="auto"/>
              <w:rPr>
                <w:rFonts w:ascii="宋体" w:hAnsi="宋体" w:eastAsia="宋体"/>
                <w:sz w:val="24"/>
                <w:szCs w:val="24"/>
              </w:rPr>
            </w:pPr>
          </w:p>
        </w:tc>
        <w:tc>
          <w:tcPr>
            <w:tcW w:w="1842" w:type="dxa"/>
          </w:tcPr>
          <w:p>
            <w:pPr>
              <w:spacing w:line="360" w:lineRule="auto"/>
              <w:rPr>
                <w:rFonts w:ascii="宋体" w:hAnsi="宋体" w:eastAsia="宋体"/>
                <w:sz w:val="24"/>
                <w:szCs w:val="24"/>
              </w:rPr>
            </w:pPr>
          </w:p>
        </w:tc>
        <w:tc>
          <w:tcPr>
            <w:tcW w:w="1028" w:type="dxa"/>
          </w:tcPr>
          <w:p>
            <w:pPr>
              <w:spacing w:line="360" w:lineRule="auto"/>
              <w:rPr>
                <w:rFonts w:ascii="宋体" w:hAnsi="宋体" w:eastAsia="宋体"/>
                <w:sz w:val="24"/>
                <w:szCs w:val="24"/>
              </w:rPr>
            </w:pPr>
          </w:p>
        </w:tc>
      </w:tr>
    </w:tbl>
    <w:p>
      <w:pPr>
        <w:pStyle w:val="30"/>
        <w:snapToGrid w:val="0"/>
        <w:spacing w:line="300" w:lineRule="auto"/>
        <w:ind w:firstLine="0" w:firstLineChars="0"/>
        <w:contextualSpacing/>
        <w:rPr>
          <w:rFonts w:ascii="宋体" w:eastAsia="宋体"/>
          <w:sz w:val="24"/>
          <w:szCs w:val="24"/>
        </w:rPr>
      </w:pPr>
    </w:p>
    <w:p>
      <w:pPr>
        <w:pStyle w:val="30"/>
        <w:snapToGrid w:val="0"/>
        <w:spacing w:line="300" w:lineRule="auto"/>
        <w:ind w:firstLine="0" w:firstLineChars="0"/>
        <w:contextualSpacing/>
        <w:rPr>
          <w:rFonts w:ascii="宋体" w:eastAsia="宋体"/>
          <w:sz w:val="24"/>
          <w:szCs w:val="24"/>
        </w:rPr>
      </w:pPr>
      <w:r>
        <w:rPr>
          <w:rFonts w:ascii="宋体" w:eastAsia="宋体"/>
          <w:sz w:val="24"/>
          <w:szCs w:val="24"/>
        </w:rPr>
        <w:br w:type="page"/>
      </w:r>
    </w:p>
    <w:p>
      <w:pPr>
        <w:pStyle w:val="30"/>
        <w:snapToGrid w:val="0"/>
        <w:spacing w:line="300" w:lineRule="auto"/>
        <w:ind w:firstLine="0" w:firstLineChars="0"/>
        <w:contextualSpacing/>
        <w:rPr>
          <w:rFonts w:ascii="宋体" w:eastAsia="宋体"/>
          <w:sz w:val="24"/>
          <w:szCs w:val="24"/>
        </w:rPr>
      </w:pPr>
      <w:r>
        <w:rPr>
          <w:rFonts w:hint="eastAsia" w:ascii="宋体" w:eastAsia="宋体"/>
          <w:sz w:val="24"/>
          <w:szCs w:val="24"/>
        </w:rPr>
        <w:t>附件6</w:t>
      </w:r>
    </w:p>
    <w:p>
      <w:pPr>
        <w:spacing w:line="480" w:lineRule="exact"/>
        <w:jc w:val="center"/>
        <w:rPr>
          <w:rFonts w:ascii="宋体" w:hAnsi="宋体" w:eastAsia="宋体" w:cs="Lucida Sans Unicode"/>
          <w:b/>
          <w:sz w:val="32"/>
          <w:szCs w:val="32"/>
        </w:rPr>
      </w:pPr>
      <w:bookmarkStart w:id="18" w:name="_Toc34991053"/>
      <w:bookmarkStart w:id="19" w:name="_Toc34987271"/>
      <w:bookmarkStart w:id="20" w:name="_Toc34984127"/>
      <w:bookmarkStart w:id="21" w:name="_Toc81879449"/>
      <w:r>
        <w:rPr>
          <w:rFonts w:hint="eastAsia" w:ascii="宋体" w:hAnsi="宋体" w:eastAsia="宋体" w:cs="Lucida Sans Unicode"/>
          <w:b/>
          <w:sz w:val="32"/>
          <w:szCs w:val="32"/>
        </w:rPr>
        <w:t>售后服务</w:t>
      </w:r>
      <w:r>
        <w:rPr>
          <w:rFonts w:hint="eastAsia" w:ascii="宋体" w:hAnsi="宋体" w:eastAsia="宋体"/>
          <w:b/>
          <w:sz w:val="32"/>
          <w:szCs w:val="32"/>
        </w:rPr>
        <w:t>计划</w:t>
      </w:r>
    </w:p>
    <w:p>
      <w:pPr>
        <w:spacing w:line="480" w:lineRule="exact"/>
        <w:rPr>
          <w:rFonts w:ascii="宋体" w:hAnsi="宋体" w:eastAsia="宋体" w:cs="Lucida Sans Unicode"/>
          <w:sz w:val="24"/>
          <w:szCs w:val="24"/>
        </w:rPr>
      </w:pPr>
    </w:p>
    <w:p>
      <w:pPr>
        <w:spacing w:line="480" w:lineRule="exact"/>
        <w:rPr>
          <w:rFonts w:ascii="宋体" w:hAnsi="宋体" w:eastAsia="宋体" w:cs="Lucida Sans Unicode"/>
          <w:sz w:val="24"/>
          <w:szCs w:val="24"/>
        </w:rPr>
      </w:pPr>
      <w:r>
        <w:rPr>
          <w:rFonts w:hint="eastAsia" w:ascii="宋体" w:hAnsi="宋体" w:eastAsia="宋体" w:cs="Lucida Sans Unicode"/>
          <w:sz w:val="24"/>
          <w:szCs w:val="24"/>
          <w:u w:val="single"/>
        </w:rPr>
        <w:t xml:space="preserve">  （采购单位名称） </w:t>
      </w:r>
      <w:r>
        <w:rPr>
          <w:rFonts w:hint="eastAsia" w:ascii="宋体" w:hAnsi="宋体" w:eastAsia="宋体" w:cs="Lucida Sans Unicode"/>
          <w:sz w:val="24"/>
          <w:szCs w:val="24"/>
        </w:rPr>
        <w:t>：</w:t>
      </w:r>
    </w:p>
    <w:p>
      <w:pPr>
        <w:spacing w:line="480" w:lineRule="exact"/>
        <w:ind w:firstLine="480" w:firstLineChars="200"/>
        <w:rPr>
          <w:rFonts w:ascii="宋体" w:hAnsi="宋体" w:eastAsia="宋体" w:cs="Lucida Sans Unicode"/>
          <w:sz w:val="24"/>
          <w:szCs w:val="24"/>
        </w:rPr>
      </w:pPr>
    </w:p>
    <w:p>
      <w:pPr>
        <w:spacing w:line="480" w:lineRule="exact"/>
        <w:ind w:firstLine="480" w:firstLineChars="200"/>
        <w:rPr>
          <w:rFonts w:ascii="宋体" w:hAnsi="宋体" w:eastAsia="宋体" w:cs="Lucida Sans Unicode"/>
          <w:sz w:val="24"/>
          <w:szCs w:val="24"/>
        </w:rPr>
      </w:pPr>
      <w:r>
        <w:rPr>
          <w:rFonts w:hint="eastAsia" w:ascii="宋体" w:hAnsi="宋体" w:eastAsia="宋体" w:cs="Lucida Sans Unicode"/>
          <w:sz w:val="24"/>
          <w:szCs w:val="24"/>
        </w:rPr>
        <w:t>按</w:t>
      </w:r>
      <w:r>
        <w:rPr>
          <w:rFonts w:hint="eastAsia" w:ascii="宋体" w:hAnsi="宋体" w:eastAsia="宋体" w:cs="Lucida Sans Unicode"/>
          <w:sz w:val="24"/>
          <w:szCs w:val="24"/>
          <w:u w:val="single"/>
        </w:rPr>
        <w:t xml:space="preserve">  （采购项目名称）  谈判</w:t>
      </w:r>
      <w:r>
        <w:rPr>
          <w:rFonts w:hint="eastAsia" w:ascii="宋体" w:hAnsi="宋体" w:eastAsia="宋体" w:cs="Lucida Sans Unicode"/>
          <w:sz w:val="24"/>
          <w:szCs w:val="24"/>
        </w:rPr>
        <w:t>文件</w:t>
      </w:r>
      <w:r>
        <w:rPr>
          <w:rFonts w:hint="eastAsia" w:ascii="宋体" w:hAnsi="宋体" w:eastAsia="宋体" w:cs="Lucida Sans Unicode"/>
          <w:sz w:val="24"/>
          <w:szCs w:val="24"/>
          <w:u w:val="single"/>
        </w:rPr>
        <w:t>(文件编号：         )</w:t>
      </w:r>
      <w:r>
        <w:rPr>
          <w:rFonts w:hint="eastAsia" w:ascii="宋体" w:hAnsi="宋体" w:eastAsia="宋体" w:cs="Lucida Sans Unicode"/>
          <w:sz w:val="24"/>
          <w:szCs w:val="24"/>
        </w:rPr>
        <w:t>的规定，我公司郑重承诺，如果我公司被确定为成交供应商，我公司对于成交货物，将按照以下条款提供优质和完善的售后服务：</w:t>
      </w:r>
    </w:p>
    <w:p>
      <w:pPr>
        <w:spacing w:line="480" w:lineRule="exact"/>
        <w:ind w:firstLine="480" w:firstLineChars="200"/>
        <w:rPr>
          <w:rFonts w:ascii="宋体" w:hAnsi="宋体" w:eastAsia="宋体" w:cs="Lucida Sans Unicode"/>
          <w:sz w:val="24"/>
          <w:szCs w:val="24"/>
        </w:rPr>
      </w:pPr>
      <w:r>
        <w:rPr>
          <w:rFonts w:hint="eastAsia" w:ascii="宋体" w:hAnsi="宋体" w:eastAsia="宋体" w:cs="Lucida Sans Unicode"/>
          <w:sz w:val="24"/>
          <w:szCs w:val="24"/>
        </w:rPr>
        <w:t>1.拟提供售后服务的项目</w:t>
      </w:r>
      <w:r>
        <w:rPr>
          <w:rFonts w:hint="eastAsia" w:ascii="宋体" w:hAnsi="宋体" w:eastAsia="宋体" w:cs="Lucida Sans Unicode"/>
          <w:sz w:val="24"/>
          <w:szCs w:val="24"/>
          <w:u w:val="single"/>
        </w:rPr>
        <w:t xml:space="preserve">                               </w:t>
      </w:r>
      <w:r>
        <w:rPr>
          <w:rFonts w:hint="eastAsia" w:ascii="宋体" w:hAnsi="宋体" w:eastAsia="宋体" w:cs="Lucida Sans Unicode"/>
          <w:sz w:val="24"/>
          <w:szCs w:val="24"/>
        </w:rPr>
        <w:t>；</w:t>
      </w:r>
    </w:p>
    <w:p>
      <w:pPr>
        <w:spacing w:line="480" w:lineRule="exact"/>
        <w:ind w:firstLine="480" w:firstLineChars="200"/>
        <w:rPr>
          <w:rFonts w:ascii="宋体" w:hAnsi="宋体" w:eastAsia="宋体" w:cs="Lucida Sans Unicode"/>
          <w:sz w:val="24"/>
          <w:szCs w:val="24"/>
        </w:rPr>
      </w:pPr>
      <w:r>
        <w:rPr>
          <w:rFonts w:hint="eastAsia" w:ascii="宋体" w:hAnsi="宋体" w:eastAsia="宋体" w:cs="Lucida Sans Unicode"/>
          <w:sz w:val="24"/>
          <w:szCs w:val="24"/>
        </w:rPr>
        <w:t>2.免费保修年限</w:t>
      </w:r>
      <w:r>
        <w:rPr>
          <w:rFonts w:hint="eastAsia" w:ascii="宋体" w:hAnsi="宋体" w:eastAsia="宋体" w:cs="Lucida Sans Unicode"/>
          <w:sz w:val="24"/>
          <w:szCs w:val="24"/>
          <w:u w:val="single"/>
        </w:rPr>
        <w:t xml:space="preserve">                                       </w:t>
      </w:r>
      <w:r>
        <w:rPr>
          <w:rFonts w:hint="eastAsia" w:ascii="宋体" w:hAnsi="宋体" w:eastAsia="宋体" w:cs="Lucida Sans Unicode"/>
          <w:sz w:val="24"/>
          <w:szCs w:val="24"/>
        </w:rPr>
        <w:t>；</w:t>
      </w:r>
    </w:p>
    <w:p>
      <w:pPr>
        <w:spacing w:line="480" w:lineRule="exact"/>
        <w:ind w:firstLine="480" w:firstLineChars="200"/>
        <w:rPr>
          <w:rFonts w:ascii="宋体" w:hAnsi="宋体" w:eastAsia="宋体" w:cs="Lucida Sans Unicode"/>
          <w:sz w:val="24"/>
          <w:szCs w:val="24"/>
        </w:rPr>
      </w:pPr>
      <w:r>
        <w:rPr>
          <w:rFonts w:hint="eastAsia" w:ascii="宋体" w:hAnsi="宋体" w:eastAsia="宋体" w:cs="Lucida Sans Unicode"/>
          <w:sz w:val="24"/>
          <w:szCs w:val="24"/>
        </w:rPr>
        <w:t>3.售后服务响应及到达现场的时间</w:t>
      </w:r>
      <w:r>
        <w:rPr>
          <w:rFonts w:hint="eastAsia" w:ascii="宋体" w:hAnsi="宋体" w:eastAsia="宋体" w:cs="Lucida Sans Unicode"/>
          <w:sz w:val="24"/>
          <w:szCs w:val="24"/>
          <w:u w:val="single"/>
        </w:rPr>
        <w:t xml:space="preserve">                       </w:t>
      </w:r>
      <w:r>
        <w:rPr>
          <w:rFonts w:hint="eastAsia" w:ascii="宋体" w:hAnsi="宋体" w:eastAsia="宋体" w:cs="Lucida Sans Unicode"/>
          <w:sz w:val="24"/>
          <w:szCs w:val="24"/>
        </w:rPr>
        <w:t>；</w:t>
      </w:r>
    </w:p>
    <w:p>
      <w:pPr>
        <w:spacing w:line="480" w:lineRule="exact"/>
        <w:rPr>
          <w:rFonts w:ascii="宋体" w:hAnsi="宋体" w:eastAsia="宋体"/>
          <w:sz w:val="24"/>
          <w:szCs w:val="24"/>
        </w:rPr>
      </w:pPr>
      <w:r>
        <w:rPr>
          <w:rFonts w:hint="eastAsia" w:ascii="宋体" w:hAnsi="宋体" w:eastAsia="宋体" w:cs="Lucida Sans Unicode"/>
          <w:sz w:val="24"/>
          <w:szCs w:val="24"/>
        </w:rPr>
        <w:t xml:space="preserve">    </w:t>
      </w:r>
      <w:r>
        <w:rPr>
          <w:rFonts w:hint="eastAsia" w:ascii="宋体" w:hAnsi="宋体" w:eastAsia="宋体"/>
          <w:sz w:val="24"/>
          <w:szCs w:val="24"/>
        </w:rPr>
        <w:t>4.详细的培训计划</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480" w:lineRule="exact"/>
        <w:ind w:firstLine="480" w:firstLineChars="200"/>
        <w:jc w:val="left"/>
        <w:rPr>
          <w:rFonts w:ascii="宋体" w:hAnsi="宋体" w:eastAsia="宋体"/>
          <w:sz w:val="24"/>
          <w:szCs w:val="24"/>
        </w:rPr>
      </w:pPr>
      <w:r>
        <w:rPr>
          <w:rFonts w:hint="eastAsia" w:ascii="宋体" w:hAnsi="宋体" w:eastAsia="宋体"/>
          <w:sz w:val="24"/>
          <w:szCs w:val="24"/>
        </w:rPr>
        <w:t>5.维修技术人员及设备方面的保证措施及收费标准（附维修技术人员等级证书）</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480" w:lineRule="exact"/>
        <w:ind w:firstLine="480" w:firstLineChars="200"/>
        <w:jc w:val="left"/>
        <w:rPr>
          <w:rFonts w:ascii="宋体" w:hAnsi="宋体" w:eastAsia="宋体"/>
          <w:sz w:val="24"/>
          <w:szCs w:val="24"/>
        </w:rPr>
      </w:pPr>
      <w:r>
        <w:rPr>
          <w:rFonts w:hint="eastAsia" w:ascii="宋体" w:hAnsi="宋体" w:eastAsia="宋体"/>
          <w:sz w:val="24"/>
          <w:szCs w:val="24"/>
        </w:rPr>
        <w:t>6.制造厂商或代理商在采购项目所在地（实施地）设置的售后服务网络及相关情况</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480" w:lineRule="exact"/>
        <w:ind w:firstLine="480" w:firstLineChars="200"/>
        <w:jc w:val="left"/>
        <w:rPr>
          <w:rFonts w:ascii="宋体" w:hAnsi="宋体" w:eastAsia="宋体"/>
          <w:sz w:val="24"/>
          <w:szCs w:val="24"/>
        </w:rPr>
      </w:pPr>
      <w:r>
        <w:rPr>
          <w:rFonts w:hint="eastAsia" w:ascii="宋体" w:hAnsi="宋体" w:eastAsia="宋体"/>
          <w:sz w:val="24"/>
          <w:szCs w:val="24"/>
        </w:rPr>
        <w:t>7.备品备件供应情况及优惠价格</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480" w:lineRule="exact"/>
        <w:ind w:firstLine="480" w:firstLineChars="200"/>
        <w:jc w:val="left"/>
        <w:rPr>
          <w:rFonts w:ascii="宋体" w:hAnsi="宋体" w:eastAsia="宋体"/>
          <w:sz w:val="24"/>
          <w:szCs w:val="24"/>
        </w:rPr>
      </w:pPr>
      <w:r>
        <w:rPr>
          <w:rFonts w:hint="eastAsia" w:ascii="宋体" w:hAnsi="宋体" w:eastAsia="宋体"/>
          <w:sz w:val="24"/>
          <w:szCs w:val="24"/>
        </w:rPr>
        <w:t>8.其他</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480" w:lineRule="exact"/>
        <w:rPr>
          <w:rFonts w:ascii="宋体" w:hAnsi="宋体" w:eastAsia="宋体"/>
          <w:sz w:val="24"/>
          <w:szCs w:val="24"/>
        </w:rPr>
      </w:pPr>
    </w:p>
    <w:p>
      <w:pPr>
        <w:pStyle w:val="30"/>
        <w:snapToGrid w:val="0"/>
        <w:spacing w:line="300" w:lineRule="auto"/>
        <w:ind w:firstLine="0" w:firstLineChars="0"/>
        <w:contextualSpacing/>
        <w:rPr>
          <w:rFonts w:ascii="宋体" w:eastAsia="宋体"/>
          <w:sz w:val="24"/>
          <w:szCs w:val="24"/>
        </w:rPr>
      </w:pPr>
      <w:r>
        <w:rPr>
          <w:rFonts w:ascii="宋体" w:eastAsia="宋体"/>
          <w:sz w:val="24"/>
          <w:szCs w:val="24"/>
        </w:rPr>
        <w:br w:type="page"/>
      </w:r>
    </w:p>
    <w:p>
      <w:pPr>
        <w:pStyle w:val="30"/>
        <w:snapToGrid w:val="0"/>
        <w:spacing w:line="300" w:lineRule="auto"/>
        <w:ind w:firstLine="0" w:firstLineChars="0"/>
        <w:contextualSpacing/>
        <w:rPr>
          <w:rFonts w:ascii="宋体" w:eastAsia="宋体"/>
          <w:sz w:val="24"/>
          <w:szCs w:val="24"/>
        </w:rPr>
      </w:pPr>
      <w:r>
        <w:rPr>
          <w:rFonts w:hint="eastAsia" w:ascii="宋体" w:eastAsia="宋体"/>
          <w:sz w:val="24"/>
          <w:szCs w:val="24"/>
        </w:rPr>
        <w:t>附件7</w:t>
      </w:r>
      <w:bookmarkEnd w:id="18"/>
      <w:bookmarkEnd w:id="19"/>
      <w:bookmarkEnd w:id="20"/>
      <w:bookmarkEnd w:id="21"/>
    </w:p>
    <w:p>
      <w:pPr>
        <w:pStyle w:val="30"/>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拟安排本项目技术人员情况表</w:t>
      </w:r>
    </w:p>
    <w:p>
      <w:pPr>
        <w:spacing w:line="360" w:lineRule="auto"/>
        <w:jc w:val="center"/>
        <w:rPr>
          <w:rFonts w:ascii="宋体" w:hAnsi="宋体" w:eastAsia="宋体"/>
          <w:sz w:val="24"/>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315"/>
        <w:gridCol w:w="1315"/>
        <w:gridCol w:w="3109"/>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15" w:type="dxa"/>
            <w:tcBorders>
              <w:top w:val="double" w:color="auto" w:sz="4" w:space="0"/>
              <w:left w:val="double" w:color="auto" w:sz="4" w:space="0"/>
            </w:tcBorders>
            <w:vAlign w:val="center"/>
          </w:tcPr>
          <w:p>
            <w:pPr>
              <w:spacing w:before="120" w:line="360" w:lineRule="auto"/>
              <w:jc w:val="center"/>
              <w:rPr>
                <w:rFonts w:ascii="宋体" w:hAnsi="宋体" w:eastAsia="宋体"/>
                <w:b/>
                <w:sz w:val="24"/>
                <w:szCs w:val="24"/>
              </w:rPr>
            </w:pPr>
            <w:r>
              <w:rPr>
                <w:rFonts w:hint="eastAsia" w:ascii="宋体" w:hAnsi="宋体" w:eastAsia="宋体"/>
                <w:b/>
                <w:sz w:val="24"/>
                <w:szCs w:val="24"/>
              </w:rPr>
              <w:t>姓名</w:t>
            </w:r>
          </w:p>
        </w:tc>
        <w:tc>
          <w:tcPr>
            <w:tcW w:w="1315" w:type="dxa"/>
            <w:tcBorders>
              <w:top w:val="double" w:color="auto" w:sz="4" w:space="0"/>
            </w:tcBorders>
            <w:vAlign w:val="center"/>
          </w:tcPr>
          <w:p>
            <w:pPr>
              <w:spacing w:before="120" w:line="360" w:lineRule="auto"/>
              <w:jc w:val="center"/>
              <w:rPr>
                <w:rFonts w:ascii="宋体" w:hAnsi="宋体" w:eastAsia="宋体"/>
                <w:b/>
                <w:sz w:val="24"/>
                <w:szCs w:val="24"/>
              </w:rPr>
            </w:pPr>
            <w:r>
              <w:rPr>
                <w:rFonts w:hint="eastAsia" w:ascii="宋体" w:hAnsi="宋体" w:eastAsia="宋体"/>
                <w:b/>
                <w:sz w:val="24"/>
                <w:szCs w:val="24"/>
              </w:rPr>
              <w:t>职务</w:t>
            </w:r>
          </w:p>
        </w:tc>
        <w:tc>
          <w:tcPr>
            <w:tcW w:w="1315" w:type="dxa"/>
            <w:tcBorders>
              <w:top w:val="double" w:color="auto" w:sz="4" w:space="0"/>
            </w:tcBorders>
            <w:vAlign w:val="center"/>
          </w:tcPr>
          <w:p>
            <w:pPr>
              <w:spacing w:before="120" w:line="360" w:lineRule="auto"/>
              <w:jc w:val="center"/>
              <w:rPr>
                <w:rFonts w:ascii="宋体" w:hAnsi="宋体" w:eastAsia="宋体"/>
                <w:b/>
                <w:sz w:val="24"/>
                <w:szCs w:val="24"/>
              </w:rPr>
            </w:pPr>
            <w:r>
              <w:rPr>
                <w:rFonts w:hint="eastAsia" w:ascii="宋体" w:hAnsi="宋体" w:eastAsia="宋体"/>
                <w:b/>
                <w:sz w:val="24"/>
                <w:szCs w:val="24"/>
              </w:rPr>
              <w:t>职称</w:t>
            </w:r>
          </w:p>
        </w:tc>
        <w:tc>
          <w:tcPr>
            <w:tcW w:w="3109" w:type="dxa"/>
            <w:tcBorders>
              <w:top w:val="double" w:color="auto" w:sz="4" w:space="0"/>
            </w:tcBorders>
            <w:vAlign w:val="center"/>
          </w:tcPr>
          <w:p>
            <w:pPr>
              <w:spacing w:before="120" w:line="360" w:lineRule="auto"/>
              <w:jc w:val="center"/>
              <w:rPr>
                <w:rFonts w:ascii="宋体" w:hAnsi="宋体" w:eastAsia="宋体"/>
                <w:b/>
                <w:sz w:val="24"/>
                <w:szCs w:val="24"/>
              </w:rPr>
            </w:pPr>
            <w:r>
              <w:rPr>
                <w:rFonts w:hint="eastAsia" w:ascii="宋体" w:hAnsi="宋体" w:eastAsia="宋体"/>
                <w:b/>
                <w:sz w:val="24"/>
                <w:szCs w:val="24"/>
              </w:rPr>
              <w:t>相关资格</w:t>
            </w:r>
          </w:p>
        </w:tc>
        <w:tc>
          <w:tcPr>
            <w:tcW w:w="1437" w:type="dxa"/>
            <w:tcBorders>
              <w:top w:val="double" w:color="auto" w:sz="4" w:space="0"/>
              <w:right w:val="double" w:color="auto" w:sz="4" w:space="0"/>
            </w:tcBorders>
            <w:vAlign w:val="center"/>
          </w:tcPr>
          <w:p>
            <w:pPr>
              <w:spacing w:before="120" w:line="360" w:lineRule="auto"/>
              <w:jc w:val="center"/>
              <w:rPr>
                <w:rFonts w:ascii="宋体" w:hAnsi="宋体" w:eastAsia="宋体"/>
                <w:b/>
                <w:sz w:val="24"/>
                <w:szCs w:val="24"/>
              </w:rPr>
            </w:pPr>
            <w:r>
              <w:rPr>
                <w:rFonts w:hint="eastAsia" w:ascii="宋体" w:hAnsi="宋体" w:eastAsia="宋体"/>
                <w:b/>
                <w:sz w:val="24"/>
                <w:szCs w:val="24"/>
              </w:rPr>
              <w:t>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3109" w:type="dxa"/>
            <w:vAlign w:val="center"/>
          </w:tcPr>
          <w:p>
            <w:pPr>
              <w:spacing w:line="360" w:lineRule="auto"/>
              <w:jc w:val="center"/>
              <w:rPr>
                <w:rFonts w:ascii="宋体" w:hAnsi="宋体" w:eastAsia="宋体"/>
                <w:sz w:val="24"/>
                <w:szCs w:val="24"/>
              </w:rPr>
            </w:pPr>
          </w:p>
        </w:tc>
        <w:tc>
          <w:tcPr>
            <w:tcW w:w="1437" w:type="dxa"/>
            <w:tcBorders>
              <w:right w:val="doub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3109" w:type="dxa"/>
            <w:vAlign w:val="center"/>
          </w:tcPr>
          <w:p>
            <w:pPr>
              <w:spacing w:line="360" w:lineRule="auto"/>
              <w:jc w:val="center"/>
              <w:rPr>
                <w:rFonts w:ascii="宋体" w:hAnsi="宋体" w:eastAsia="宋体"/>
                <w:sz w:val="24"/>
                <w:szCs w:val="24"/>
              </w:rPr>
            </w:pPr>
          </w:p>
        </w:tc>
        <w:tc>
          <w:tcPr>
            <w:tcW w:w="1437" w:type="dxa"/>
            <w:tcBorders>
              <w:right w:val="doub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5" w:type="dxa"/>
            <w:tcBorders>
              <w:left w:val="double" w:color="auto" w:sz="4" w:space="0"/>
            </w:tcBorders>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3109" w:type="dxa"/>
            <w:vAlign w:val="center"/>
          </w:tcPr>
          <w:p>
            <w:pPr>
              <w:spacing w:line="360" w:lineRule="auto"/>
              <w:jc w:val="center"/>
              <w:rPr>
                <w:rFonts w:ascii="宋体" w:hAnsi="宋体" w:eastAsia="宋体"/>
                <w:sz w:val="24"/>
                <w:szCs w:val="24"/>
              </w:rPr>
            </w:pPr>
          </w:p>
        </w:tc>
        <w:tc>
          <w:tcPr>
            <w:tcW w:w="1437" w:type="dxa"/>
            <w:tcBorders>
              <w:right w:val="doub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3109" w:type="dxa"/>
            <w:vAlign w:val="center"/>
          </w:tcPr>
          <w:p>
            <w:pPr>
              <w:spacing w:line="360" w:lineRule="auto"/>
              <w:jc w:val="center"/>
              <w:rPr>
                <w:rFonts w:ascii="宋体" w:hAnsi="宋体" w:eastAsia="宋体"/>
                <w:sz w:val="24"/>
                <w:szCs w:val="24"/>
              </w:rPr>
            </w:pPr>
          </w:p>
        </w:tc>
        <w:tc>
          <w:tcPr>
            <w:tcW w:w="1437" w:type="dxa"/>
            <w:tcBorders>
              <w:right w:val="doub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3109" w:type="dxa"/>
            <w:vAlign w:val="center"/>
          </w:tcPr>
          <w:p>
            <w:pPr>
              <w:spacing w:line="360" w:lineRule="auto"/>
              <w:jc w:val="center"/>
              <w:rPr>
                <w:rFonts w:ascii="宋体" w:hAnsi="宋体" w:eastAsia="宋体"/>
                <w:sz w:val="24"/>
                <w:szCs w:val="24"/>
              </w:rPr>
            </w:pPr>
          </w:p>
        </w:tc>
        <w:tc>
          <w:tcPr>
            <w:tcW w:w="1437" w:type="dxa"/>
            <w:tcBorders>
              <w:right w:val="doub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bottom w:val="double" w:color="auto" w:sz="4" w:space="0"/>
            </w:tcBorders>
            <w:vAlign w:val="center"/>
          </w:tcPr>
          <w:p>
            <w:pPr>
              <w:spacing w:line="360" w:lineRule="auto"/>
              <w:jc w:val="center"/>
              <w:rPr>
                <w:rFonts w:ascii="宋体" w:hAnsi="宋体" w:eastAsia="宋体"/>
                <w:sz w:val="24"/>
                <w:szCs w:val="24"/>
              </w:rPr>
            </w:pPr>
          </w:p>
        </w:tc>
        <w:tc>
          <w:tcPr>
            <w:tcW w:w="1315" w:type="dxa"/>
            <w:tcBorders>
              <w:bottom w:val="double" w:color="auto" w:sz="4" w:space="0"/>
            </w:tcBorders>
            <w:vAlign w:val="center"/>
          </w:tcPr>
          <w:p>
            <w:pPr>
              <w:spacing w:line="360" w:lineRule="auto"/>
              <w:jc w:val="center"/>
              <w:rPr>
                <w:rFonts w:ascii="宋体" w:hAnsi="宋体" w:eastAsia="宋体"/>
                <w:sz w:val="24"/>
                <w:szCs w:val="24"/>
              </w:rPr>
            </w:pPr>
          </w:p>
        </w:tc>
        <w:tc>
          <w:tcPr>
            <w:tcW w:w="1315" w:type="dxa"/>
            <w:tcBorders>
              <w:bottom w:val="double" w:color="auto" w:sz="4" w:space="0"/>
            </w:tcBorders>
            <w:vAlign w:val="center"/>
          </w:tcPr>
          <w:p>
            <w:pPr>
              <w:spacing w:line="360" w:lineRule="auto"/>
              <w:jc w:val="center"/>
              <w:rPr>
                <w:rFonts w:ascii="宋体" w:hAnsi="宋体" w:eastAsia="宋体"/>
                <w:sz w:val="24"/>
                <w:szCs w:val="24"/>
              </w:rPr>
            </w:pPr>
          </w:p>
        </w:tc>
        <w:tc>
          <w:tcPr>
            <w:tcW w:w="3109" w:type="dxa"/>
            <w:tcBorders>
              <w:bottom w:val="double" w:color="auto" w:sz="4" w:space="0"/>
            </w:tcBorders>
            <w:vAlign w:val="center"/>
          </w:tcPr>
          <w:p>
            <w:pPr>
              <w:spacing w:line="360" w:lineRule="auto"/>
              <w:jc w:val="center"/>
              <w:rPr>
                <w:rFonts w:ascii="宋体" w:hAnsi="宋体" w:eastAsia="宋体"/>
                <w:sz w:val="24"/>
                <w:szCs w:val="24"/>
              </w:rPr>
            </w:pPr>
          </w:p>
        </w:tc>
        <w:tc>
          <w:tcPr>
            <w:tcW w:w="1437" w:type="dxa"/>
            <w:tcBorders>
              <w:bottom w:val="double" w:color="auto" w:sz="4" w:space="0"/>
              <w:right w:val="double" w:color="auto" w:sz="4" w:space="0"/>
            </w:tcBorders>
            <w:vAlign w:val="center"/>
          </w:tcPr>
          <w:p>
            <w:pPr>
              <w:spacing w:line="360" w:lineRule="auto"/>
              <w:jc w:val="center"/>
              <w:rPr>
                <w:rFonts w:ascii="宋体" w:hAnsi="宋体" w:eastAsia="宋体"/>
                <w:sz w:val="24"/>
                <w:szCs w:val="24"/>
              </w:rPr>
            </w:pPr>
          </w:p>
        </w:tc>
      </w:tr>
    </w:tbl>
    <w:p>
      <w:pPr>
        <w:snapToGrid w:val="0"/>
        <w:spacing w:before="120" w:line="300" w:lineRule="auto"/>
        <w:contextualSpacing/>
        <w:rPr>
          <w:rFonts w:ascii="宋体" w:hAnsi="宋体" w:eastAsia="宋体"/>
          <w:sz w:val="24"/>
          <w:szCs w:val="24"/>
        </w:rPr>
      </w:pPr>
    </w:p>
    <w:p>
      <w:pPr>
        <w:snapToGrid w:val="0"/>
        <w:spacing w:before="120" w:line="300" w:lineRule="auto"/>
        <w:contextualSpacing/>
        <w:rPr>
          <w:rFonts w:ascii="宋体" w:hAnsi="宋体" w:eastAsia="宋体"/>
          <w:b/>
          <w:sz w:val="24"/>
          <w:szCs w:val="24"/>
        </w:rPr>
      </w:pPr>
    </w:p>
    <w:p>
      <w:pPr>
        <w:snapToGrid w:val="0"/>
        <w:spacing w:before="120" w:line="300" w:lineRule="auto"/>
        <w:contextualSpacing/>
        <w:rPr>
          <w:rFonts w:ascii="宋体" w:hAnsi="宋体" w:eastAsia="宋体"/>
          <w:b/>
          <w:sz w:val="24"/>
          <w:szCs w:val="24"/>
        </w:rPr>
      </w:pPr>
    </w:p>
    <w:p>
      <w:pPr>
        <w:snapToGrid w:val="0"/>
        <w:spacing w:before="120" w:line="300" w:lineRule="auto"/>
        <w:ind w:firstLine="472" w:firstLineChars="196"/>
        <w:contextualSpacing/>
        <w:rPr>
          <w:rFonts w:ascii="宋体" w:hAnsi="宋体" w:eastAsia="宋体"/>
          <w:b/>
          <w:sz w:val="24"/>
          <w:szCs w:val="24"/>
        </w:rPr>
      </w:pPr>
      <w:r>
        <w:rPr>
          <w:rFonts w:hint="eastAsia" w:ascii="宋体" w:hAnsi="宋体" w:eastAsia="宋体"/>
          <w:b/>
          <w:sz w:val="24"/>
          <w:szCs w:val="24"/>
        </w:rPr>
        <w:t>附：1.上表所列人员的资历、资格文件、工作履历证明材料文件</w:t>
      </w:r>
    </w:p>
    <w:p>
      <w:pPr>
        <w:snapToGrid w:val="0"/>
        <w:spacing w:line="300" w:lineRule="auto"/>
        <w:ind w:firstLine="360"/>
        <w:contextualSpacing/>
        <w:rPr>
          <w:rFonts w:ascii="宋体" w:hAnsi="宋体" w:eastAsia="宋体"/>
          <w:b/>
          <w:sz w:val="24"/>
          <w:szCs w:val="24"/>
        </w:rPr>
      </w:pPr>
      <w:r>
        <w:rPr>
          <w:rFonts w:hint="eastAsia" w:ascii="宋体" w:hAnsi="宋体" w:eastAsia="宋体"/>
          <w:b/>
          <w:sz w:val="24"/>
          <w:szCs w:val="24"/>
        </w:rPr>
        <w:t xml:space="preserve">  2.有依法缴纳税赋和社会保障资金的良好记录（提供相关资料）</w:t>
      </w:r>
    </w:p>
    <w:p>
      <w:pPr>
        <w:rPr>
          <w:rFonts w:ascii="宋体" w:hAnsi="宋体" w:eastAsia="宋体"/>
          <w:sz w:val="24"/>
          <w:szCs w:val="24"/>
        </w:rPr>
      </w:pPr>
    </w:p>
    <w:p>
      <w:pPr>
        <w:pStyle w:val="30"/>
        <w:ind w:firstLine="494"/>
        <w:rPr>
          <w:rFonts w:ascii="宋体" w:eastAsia="宋体"/>
          <w:sz w:val="24"/>
          <w:szCs w:val="24"/>
        </w:rPr>
      </w:pPr>
    </w:p>
    <w:p>
      <w:pPr>
        <w:pStyle w:val="30"/>
        <w:ind w:firstLine="494"/>
        <w:rPr>
          <w:rFonts w:ascii="宋体" w:eastAsia="宋体"/>
          <w:sz w:val="24"/>
          <w:szCs w:val="24"/>
        </w:rPr>
      </w:pPr>
    </w:p>
    <w:p>
      <w:pPr>
        <w:pStyle w:val="30"/>
        <w:ind w:firstLine="494"/>
        <w:rPr>
          <w:rFonts w:ascii="宋体" w:eastAsia="宋体"/>
          <w:sz w:val="24"/>
          <w:szCs w:val="24"/>
        </w:rPr>
      </w:pPr>
    </w:p>
    <w:p>
      <w:pPr>
        <w:pStyle w:val="30"/>
        <w:ind w:firstLine="494"/>
        <w:rPr>
          <w:rFonts w:ascii="宋体" w:eastAsia="宋体"/>
          <w:sz w:val="24"/>
          <w:szCs w:val="24"/>
        </w:rPr>
      </w:pPr>
    </w:p>
    <w:p>
      <w:pPr>
        <w:pStyle w:val="30"/>
        <w:ind w:firstLine="494"/>
        <w:rPr>
          <w:rFonts w:ascii="宋体" w:eastAsia="宋体"/>
          <w:sz w:val="24"/>
          <w:szCs w:val="24"/>
        </w:rPr>
      </w:pPr>
    </w:p>
    <w:p>
      <w:pPr>
        <w:spacing w:line="500" w:lineRule="exact"/>
        <w:rPr>
          <w:rFonts w:ascii="宋体" w:hAnsi="宋体" w:eastAsia="宋体"/>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32"/>
          <w:szCs w:val="32"/>
        </w:rPr>
      </w:pPr>
      <w:r>
        <w:rPr>
          <w:rFonts w:hint="eastAsia" w:ascii="宋体" w:hAnsi="宋体" w:eastAsia="宋体"/>
          <w:b/>
          <w:bCs/>
          <w:sz w:val="32"/>
          <w:szCs w:val="32"/>
        </w:rPr>
        <w:t>响应文件</w:t>
      </w:r>
    </w:p>
    <w:p>
      <w:pPr>
        <w:spacing w:after="60" w:line="360" w:lineRule="auto"/>
        <w:jc w:val="center"/>
        <w:rPr>
          <w:rFonts w:ascii="宋体" w:hAnsi="宋体" w:eastAsia="宋体"/>
          <w:b/>
          <w:bCs/>
          <w:sz w:val="32"/>
          <w:szCs w:val="32"/>
        </w:rPr>
      </w:pPr>
      <w:r>
        <w:rPr>
          <w:rFonts w:hint="eastAsia" w:ascii="宋体" w:hAnsi="宋体" w:eastAsia="宋体"/>
          <w:b/>
          <w:bCs/>
          <w:sz w:val="32"/>
          <w:szCs w:val="32"/>
        </w:rPr>
        <w:t>（价格响应文件）</w:t>
      </w:r>
    </w:p>
    <w:p>
      <w:pPr>
        <w:spacing w:after="60"/>
        <w:jc w:val="center"/>
        <w:rPr>
          <w:rFonts w:ascii="宋体" w:hAnsi="宋体" w:eastAsia="宋体"/>
          <w:b/>
          <w:bCs/>
          <w:sz w:val="24"/>
          <w:szCs w:val="24"/>
        </w:rPr>
      </w:pPr>
    </w:p>
    <w:p>
      <w:pPr>
        <w:spacing w:after="60"/>
        <w:jc w:val="center"/>
        <w:rPr>
          <w:rFonts w:ascii="宋体" w:hAnsi="宋体" w:eastAsia="宋体"/>
          <w:b/>
          <w:bCs/>
          <w:sz w:val="24"/>
          <w:szCs w:val="24"/>
        </w:rPr>
      </w:pPr>
    </w:p>
    <w:p>
      <w:pPr>
        <w:spacing w:after="60"/>
        <w:jc w:val="center"/>
        <w:rPr>
          <w:rFonts w:ascii="宋体" w:hAnsi="宋体" w:eastAsia="宋体"/>
          <w:b/>
          <w:bCs/>
          <w:sz w:val="24"/>
          <w:szCs w:val="24"/>
        </w:rPr>
      </w:pPr>
    </w:p>
    <w:p>
      <w:pPr>
        <w:spacing w:after="60" w:line="360" w:lineRule="auto"/>
        <w:ind w:left="1579" w:leftChars="171" w:hanging="1220" w:hangingChars="533"/>
        <w:rPr>
          <w:rFonts w:ascii="宋体" w:hAnsi="宋体" w:eastAsia="宋体"/>
          <w:b/>
          <w:sz w:val="24"/>
          <w:szCs w:val="24"/>
          <w:u w:val="single"/>
        </w:rPr>
      </w:pPr>
      <w:r>
        <w:rPr>
          <w:rFonts w:hint="eastAsia" w:ascii="宋体" w:hAnsi="宋体" w:eastAsia="宋体"/>
          <w:b/>
          <w:bCs/>
          <w:spacing w:val="-6"/>
          <w:sz w:val="24"/>
          <w:szCs w:val="24"/>
        </w:rPr>
        <w:t>项目名称:</w:t>
      </w:r>
      <w:r>
        <w:rPr>
          <w:rFonts w:hint="eastAsia" w:ascii="宋体" w:hAnsi="宋体" w:eastAsia="宋体"/>
          <w:b/>
          <w:bCs/>
          <w:color w:val="000000"/>
          <w:sz w:val="24"/>
          <w:szCs w:val="24"/>
          <w:u w:val="single"/>
        </w:rPr>
        <w:t xml:space="preserve">   </w:t>
      </w:r>
      <w:r>
        <w:rPr>
          <w:rFonts w:hint="eastAsia" w:ascii="宋体" w:hAnsi="宋体" w:eastAsia="宋体"/>
          <w:bCs/>
          <w:color w:val="000000"/>
          <w:sz w:val="24"/>
          <w:szCs w:val="24"/>
          <w:u w:val="single"/>
        </w:rPr>
        <w:t xml:space="preserve">     </w:t>
      </w:r>
      <w:r>
        <w:rPr>
          <w:rFonts w:ascii="宋体" w:hAnsi="宋体" w:eastAsia="宋体"/>
          <w:bCs/>
          <w:color w:val="000000"/>
          <w:sz w:val="24"/>
          <w:szCs w:val="24"/>
          <w:u w:val="single"/>
        </w:rPr>
        <w:t xml:space="preserve">                           </w:t>
      </w:r>
      <w:r>
        <w:rPr>
          <w:rFonts w:hint="eastAsia" w:ascii="宋体" w:hAnsi="宋体" w:eastAsia="宋体"/>
          <w:b/>
          <w:sz w:val="24"/>
          <w:szCs w:val="24"/>
          <w:u w:val="single"/>
        </w:rPr>
        <w:t xml:space="preserve"> </w:t>
      </w:r>
    </w:p>
    <w:p>
      <w:pPr>
        <w:ind w:left="1282" w:leftChars="171" w:hanging="923" w:hangingChars="383"/>
        <w:rPr>
          <w:rFonts w:ascii="宋体" w:hAnsi="宋体" w:eastAsia="宋体"/>
          <w:b/>
          <w:sz w:val="24"/>
          <w:szCs w:val="24"/>
        </w:rPr>
      </w:pPr>
      <w:r>
        <w:rPr>
          <w:rFonts w:hint="eastAsia" w:ascii="宋体" w:hAnsi="宋体" w:eastAsia="宋体"/>
          <w:b/>
          <w:sz w:val="24"/>
          <w:szCs w:val="24"/>
        </w:rPr>
        <w:t>供应商：</w:t>
      </w:r>
      <w:r>
        <w:rPr>
          <w:rFonts w:hint="eastAsia" w:ascii="宋体" w:hAnsi="宋体" w:eastAsia="宋体"/>
          <w:b/>
          <w:sz w:val="24"/>
          <w:szCs w:val="24"/>
          <w:u w:val="single"/>
        </w:rPr>
        <w:t xml:space="preserve">                                    </w:t>
      </w:r>
    </w:p>
    <w:p>
      <w:pPr>
        <w:ind w:left="1282" w:leftChars="171" w:hanging="923" w:hangingChars="383"/>
        <w:rPr>
          <w:rFonts w:ascii="宋体" w:hAnsi="宋体" w:eastAsia="宋体"/>
          <w:b/>
          <w:sz w:val="24"/>
          <w:szCs w:val="24"/>
        </w:rPr>
      </w:pPr>
      <w:r>
        <w:rPr>
          <w:rFonts w:hint="eastAsia" w:ascii="宋体" w:hAnsi="宋体" w:eastAsia="宋体"/>
          <w:b/>
          <w:sz w:val="24"/>
          <w:szCs w:val="24"/>
        </w:rPr>
        <w:t>（盖公章）</w:t>
      </w:r>
    </w:p>
    <w:p>
      <w:pPr>
        <w:ind w:left="1282" w:leftChars="171" w:hanging="923" w:hangingChars="383"/>
        <w:rPr>
          <w:rFonts w:ascii="宋体" w:hAnsi="宋体" w:eastAsia="宋体"/>
          <w:b/>
          <w:sz w:val="24"/>
          <w:szCs w:val="24"/>
        </w:rPr>
      </w:pPr>
    </w:p>
    <w:p>
      <w:pPr>
        <w:ind w:left="1282" w:leftChars="171" w:hanging="923" w:hangingChars="383"/>
        <w:rPr>
          <w:rFonts w:ascii="宋体" w:hAnsi="宋体" w:eastAsia="宋体"/>
          <w:b/>
          <w:sz w:val="24"/>
          <w:szCs w:val="24"/>
          <w:u w:val="single"/>
        </w:rPr>
      </w:pPr>
      <w:r>
        <w:rPr>
          <w:rFonts w:hint="eastAsia" w:ascii="宋体" w:hAnsi="宋体" w:eastAsia="宋体"/>
          <w:b/>
          <w:sz w:val="24"/>
          <w:szCs w:val="24"/>
        </w:rPr>
        <w:t>法定代表人签字：</w:t>
      </w:r>
      <w:r>
        <w:rPr>
          <w:rFonts w:hint="eastAsia" w:ascii="宋体" w:hAnsi="宋体" w:eastAsia="宋体"/>
          <w:b/>
          <w:sz w:val="24"/>
          <w:szCs w:val="24"/>
          <w:u w:val="single"/>
        </w:rPr>
        <w:t xml:space="preserve">                              </w:t>
      </w:r>
    </w:p>
    <w:p>
      <w:pPr>
        <w:ind w:left="1282" w:leftChars="171" w:hanging="923" w:hangingChars="383"/>
        <w:rPr>
          <w:rFonts w:ascii="宋体" w:hAnsi="宋体" w:eastAsia="宋体"/>
          <w:b/>
          <w:sz w:val="24"/>
          <w:szCs w:val="24"/>
        </w:rPr>
      </w:pPr>
      <w:r>
        <w:rPr>
          <w:rFonts w:hint="eastAsia" w:ascii="宋体" w:hAnsi="宋体" w:eastAsia="宋体"/>
          <w:b/>
          <w:sz w:val="24"/>
          <w:szCs w:val="24"/>
        </w:rPr>
        <w:t>（或委托授权代表）</w:t>
      </w:r>
    </w:p>
    <w:p>
      <w:pPr>
        <w:spacing w:line="312" w:lineRule="auto"/>
        <w:rPr>
          <w:rFonts w:ascii="宋体" w:hAnsi="宋体" w:eastAsia="宋体"/>
          <w:b/>
          <w:sz w:val="24"/>
          <w:szCs w:val="24"/>
        </w:rPr>
      </w:pPr>
      <w:r>
        <w:rPr>
          <w:rFonts w:hint="eastAsia" w:ascii="宋体" w:hAnsi="宋体" w:eastAsia="宋体"/>
          <w:b/>
          <w:sz w:val="24"/>
          <w:szCs w:val="24"/>
        </w:rPr>
        <w:t xml:space="preserve"> </w:t>
      </w:r>
    </w:p>
    <w:p>
      <w:pPr>
        <w:spacing w:line="360" w:lineRule="auto"/>
        <w:ind w:firstLine="236" w:firstLineChars="98"/>
        <w:rPr>
          <w:rFonts w:ascii="宋体" w:hAnsi="宋体" w:eastAsia="宋体"/>
          <w:b/>
          <w:sz w:val="24"/>
          <w:szCs w:val="24"/>
          <w:u w:val="single"/>
        </w:rPr>
      </w:pPr>
      <w:r>
        <w:rPr>
          <w:rFonts w:hint="eastAsia" w:ascii="宋体" w:hAnsi="宋体" w:eastAsia="宋体"/>
          <w:b/>
          <w:sz w:val="24"/>
          <w:szCs w:val="24"/>
        </w:rPr>
        <w:t>日    期：</w:t>
      </w:r>
      <w:r>
        <w:rPr>
          <w:rFonts w:hint="eastAsia" w:ascii="宋体" w:hAnsi="宋体" w:eastAsia="宋体"/>
          <w:b/>
          <w:sz w:val="24"/>
          <w:szCs w:val="24"/>
          <w:u w:val="single"/>
        </w:rPr>
        <w:t xml:space="preserve">                                    </w:t>
      </w: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32"/>
          <w:szCs w:val="32"/>
        </w:rPr>
      </w:pPr>
      <w:r>
        <w:rPr>
          <w:rFonts w:hint="eastAsia" w:ascii="宋体" w:hAnsi="宋体" w:eastAsia="宋体"/>
          <w:sz w:val="24"/>
          <w:szCs w:val="24"/>
        </w:rPr>
        <w:t>附件1：</w:t>
      </w:r>
    </w:p>
    <w:p>
      <w:pPr>
        <w:snapToGrid w:val="0"/>
        <w:spacing w:line="360" w:lineRule="auto"/>
        <w:ind w:firstLine="482" w:firstLineChars="150"/>
        <w:jc w:val="center"/>
        <w:rPr>
          <w:rFonts w:ascii="宋体" w:hAnsi="宋体" w:eastAsia="宋体"/>
          <w:b/>
          <w:sz w:val="32"/>
          <w:szCs w:val="32"/>
        </w:rPr>
      </w:pPr>
      <w:r>
        <w:rPr>
          <w:rFonts w:hint="eastAsia" w:ascii="宋体" w:hAnsi="宋体" w:eastAsia="宋体"/>
          <w:b/>
          <w:sz w:val="32"/>
          <w:szCs w:val="32"/>
        </w:rPr>
        <w:t>响应报价总表</w:t>
      </w:r>
    </w:p>
    <w:p>
      <w:pPr>
        <w:snapToGrid w:val="0"/>
        <w:spacing w:line="360" w:lineRule="auto"/>
        <w:rPr>
          <w:rFonts w:ascii="宋体" w:hAnsi="宋体" w:eastAsia="宋体"/>
          <w:sz w:val="24"/>
          <w:szCs w:val="24"/>
        </w:rPr>
      </w:pPr>
      <w:r>
        <w:rPr>
          <w:rFonts w:hint="eastAsia" w:ascii="宋体" w:hAnsi="宋体" w:eastAsia="宋体"/>
          <w:sz w:val="24"/>
          <w:szCs w:val="24"/>
        </w:rPr>
        <w:t xml:space="preserve">响应人（盖章）：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652"/>
        <w:gridCol w:w="1739"/>
        <w:gridCol w:w="1739"/>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53" w:type="dxa"/>
          </w:tcPr>
          <w:p>
            <w:pPr>
              <w:snapToGrid w:val="0"/>
              <w:spacing w:line="360" w:lineRule="auto"/>
              <w:jc w:val="center"/>
              <w:rPr>
                <w:rFonts w:ascii="宋体" w:hAnsi="宋体" w:eastAsia="宋体"/>
                <w:sz w:val="24"/>
                <w:szCs w:val="24"/>
              </w:rPr>
            </w:pPr>
            <w:r>
              <w:rPr>
                <w:rFonts w:hint="eastAsia" w:ascii="宋体" w:hAnsi="宋体" w:eastAsia="宋体"/>
                <w:sz w:val="24"/>
                <w:szCs w:val="24"/>
              </w:rPr>
              <w:t>名   称</w:t>
            </w:r>
          </w:p>
        </w:tc>
        <w:tc>
          <w:tcPr>
            <w:tcW w:w="1652" w:type="dxa"/>
          </w:tcPr>
          <w:p>
            <w:pPr>
              <w:snapToGrid w:val="0"/>
              <w:spacing w:line="360" w:lineRule="auto"/>
              <w:jc w:val="center"/>
              <w:rPr>
                <w:rFonts w:ascii="宋体" w:hAnsi="宋体" w:eastAsia="宋体"/>
                <w:sz w:val="24"/>
                <w:szCs w:val="24"/>
              </w:rPr>
            </w:pPr>
            <w:r>
              <w:rPr>
                <w:rFonts w:hint="eastAsia" w:ascii="宋体" w:hAnsi="宋体" w:eastAsia="宋体"/>
                <w:sz w:val="24"/>
                <w:szCs w:val="24"/>
              </w:rPr>
              <w:t>规格型号</w:t>
            </w:r>
          </w:p>
        </w:tc>
        <w:tc>
          <w:tcPr>
            <w:tcW w:w="1739" w:type="dxa"/>
          </w:tcPr>
          <w:p>
            <w:pPr>
              <w:snapToGrid w:val="0"/>
              <w:spacing w:line="360" w:lineRule="auto"/>
              <w:jc w:val="center"/>
              <w:rPr>
                <w:rFonts w:ascii="宋体" w:hAnsi="宋体" w:eastAsia="宋体"/>
                <w:sz w:val="24"/>
                <w:szCs w:val="24"/>
              </w:rPr>
            </w:pPr>
            <w:r>
              <w:rPr>
                <w:rFonts w:hint="eastAsia" w:ascii="宋体" w:hAnsi="宋体" w:eastAsia="宋体"/>
                <w:sz w:val="24"/>
                <w:szCs w:val="24"/>
              </w:rPr>
              <w:t>数量（台）</w:t>
            </w:r>
          </w:p>
        </w:tc>
        <w:tc>
          <w:tcPr>
            <w:tcW w:w="1739" w:type="dxa"/>
          </w:tcPr>
          <w:p>
            <w:pPr>
              <w:snapToGrid w:val="0"/>
              <w:spacing w:line="360" w:lineRule="auto"/>
              <w:jc w:val="center"/>
              <w:rPr>
                <w:rFonts w:ascii="宋体" w:hAnsi="宋体" w:eastAsia="宋体"/>
                <w:sz w:val="24"/>
                <w:szCs w:val="24"/>
              </w:rPr>
            </w:pPr>
            <w:r>
              <w:rPr>
                <w:rFonts w:hint="eastAsia" w:ascii="宋体" w:hAnsi="宋体" w:eastAsia="宋体"/>
                <w:sz w:val="24"/>
                <w:szCs w:val="24"/>
              </w:rPr>
              <w:t>单价（元）</w:t>
            </w:r>
          </w:p>
        </w:tc>
        <w:tc>
          <w:tcPr>
            <w:tcW w:w="1739" w:type="dxa"/>
          </w:tcPr>
          <w:p>
            <w:pPr>
              <w:snapToGrid w:val="0"/>
              <w:spacing w:line="360" w:lineRule="auto"/>
              <w:jc w:val="center"/>
              <w:rPr>
                <w:rFonts w:ascii="宋体" w:hAnsi="宋体" w:eastAsia="宋体"/>
                <w:sz w:val="24"/>
                <w:szCs w:val="24"/>
              </w:rPr>
            </w:pPr>
            <w:r>
              <w:rPr>
                <w:rFonts w:hint="eastAsia" w:ascii="宋体" w:hAnsi="宋体" w:eastAsia="宋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tcPr>
          <w:p>
            <w:pPr>
              <w:snapToGrid w:val="0"/>
              <w:spacing w:line="360" w:lineRule="auto"/>
              <w:rPr>
                <w:rFonts w:ascii="宋体" w:hAnsi="宋体" w:eastAsia="宋体"/>
                <w:sz w:val="24"/>
                <w:szCs w:val="24"/>
              </w:rPr>
            </w:pPr>
          </w:p>
        </w:tc>
        <w:tc>
          <w:tcPr>
            <w:tcW w:w="1652"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tcPr>
          <w:p>
            <w:pPr>
              <w:snapToGrid w:val="0"/>
              <w:spacing w:line="360" w:lineRule="auto"/>
              <w:rPr>
                <w:rFonts w:ascii="宋体" w:hAnsi="宋体" w:eastAsia="宋体"/>
                <w:sz w:val="24"/>
                <w:szCs w:val="24"/>
              </w:rPr>
            </w:pPr>
          </w:p>
        </w:tc>
        <w:tc>
          <w:tcPr>
            <w:tcW w:w="1652"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tcPr>
          <w:p>
            <w:pPr>
              <w:snapToGrid w:val="0"/>
              <w:spacing w:line="360" w:lineRule="auto"/>
              <w:rPr>
                <w:rFonts w:ascii="宋体" w:hAnsi="宋体" w:eastAsia="宋体"/>
                <w:sz w:val="24"/>
                <w:szCs w:val="24"/>
              </w:rPr>
            </w:pPr>
          </w:p>
        </w:tc>
        <w:tc>
          <w:tcPr>
            <w:tcW w:w="1652"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3" w:type="dxa"/>
            <w:gridSpan w:val="4"/>
          </w:tcPr>
          <w:p>
            <w:pPr>
              <w:snapToGrid w:val="0"/>
              <w:spacing w:line="360" w:lineRule="auto"/>
              <w:rPr>
                <w:rFonts w:ascii="宋体" w:hAnsi="宋体" w:eastAsia="宋体"/>
                <w:sz w:val="24"/>
                <w:szCs w:val="24"/>
              </w:rPr>
            </w:pPr>
            <w:r>
              <w:rPr>
                <w:rFonts w:hint="eastAsia" w:ascii="宋体" w:hAnsi="宋体" w:eastAsia="宋体"/>
                <w:sz w:val="24"/>
                <w:szCs w:val="24"/>
              </w:rPr>
              <w:t>总报价含1</w:t>
            </w: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专业增值税</w:t>
            </w:r>
            <w:r>
              <w:rPr>
                <w:rFonts w:hint="eastAsia" w:ascii="宋体" w:hAnsi="宋体" w:eastAsia="宋体"/>
                <w:sz w:val="24"/>
                <w:szCs w:val="24"/>
              </w:rPr>
              <w:t>（大写）：</w:t>
            </w:r>
          </w:p>
        </w:tc>
        <w:tc>
          <w:tcPr>
            <w:tcW w:w="1739" w:type="dxa"/>
          </w:tcPr>
          <w:p>
            <w:pPr>
              <w:snapToGrid w:val="0"/>
              <w:spacing w:line="360" w:lineRule="auto"/>
              <w:rPr>
                <w:rFonts w:ascii="宋体" w:hAnsi="宋体" w:eastAsia="宋体"/>
                <w:sz w:val="24"/>
                <w:szCs w:val="24"/>
              </w:rPr>
            </w:pPr>
            <w:r>
              <w:rPr>
                <w:rFonts w:hint="eastAsia" w:ascii="宋体" w:hAnsi="宋体" w:eastAsia="宋体"/>
                <w:sz w:val="24"/>
                <w:szCs w:val="24"/>
              </w:rPr>
              <w:t>￥</w:t>
            </w:r>
          </w:p>
        </w:tc>
      </w:tr>
    </w:tbl>
    <w:p>
      <w:pPr>
        <w:snapToGrid w:val="0"/>
        <w:spacing w:line="360" w:lineRule="auto"/>
        <w:rPr>
          <w:rFonts w:ascii="宋体" w:hAnsi="宋体" w:eastAsia="宋体"/>
          <w:b/>
          <w:sz w:val="24"/>
          <w:szCs w:val="24"/>
        </w:rPr>
      </w:pPr>
    </w:p>
    <w:p>
      <w:pPr>
        <w:snapToGrid w:val="0"/>
        <w:spacing w:line="360" w:lineRule="auto"/>
        <w:ind w:firstLine="472" w:firstLineChars="196"/>
        <w:rPr>
          <w:rFonts w:ascii="宋体" w:hAnsi="宋体" w:eastAsia="宋体"/>
          <w:b/>
          <w:sz w:val="24"/>
          <w:szCs w:val="24"/>
        </w:rPr>
      </w:pPr>
      <w:r>
        <w:rPr>
          <w:rFonts w:hint="eastAsia" w:ascii="宋体" w:hAnsi="宋体" w:eastAsia="宋体"/>
          <w:b/>
          <w:sz w:val="24"/>
          <w:szCs w:val="24"/>
        </w:rPr>
        <w:t>注：本表只是表式，仅供参考。响应人可根据实际需要自行增减。</w:t>
      </w:r>
    </w:p>
    <w:p>
      <w:pPr>
        <w:snapToGrid w:val="0"/>
        <w:spacing w:line="300" w:lineRule="auto"/>
        <w:rPr>
          <w:rFonts w:ascii="宋体" w:hAnsi="宋体" w:eastAsia="宋体"/>
          <w:sz w:val="24"/>
          <w:szCs w:val="24"/>
        </w:rPr>
      </w:pPr>
      <w:r>
        <w:rPr>
          <w:rFonts w:ascii="宋体" w:hAnsi="宋体" w:eastAsia="宋体"/>
          <w:sz w:val="24"/>
          <w:szCs w:val="24"/>
        </w:rPr>
        <w:br w:type="page"/>
      </w:r>
    </w:p>
    <w:p>
      <w:pPr>
        <w:snapToGrid w:val="0"/>
        <w:spacing w:line="300" w:lineRule="auto"/>
        <w:rPr>
          <w:rFonts w:ascii="宋体" w:hAnsi="宋体" w:eastAsia="宋体"/>
          <w:sz w:val="24"/>
          <w:szCs w:val="24"/>
        </w:rPr>
      </w:pPr>
      <w:r>
        <w:rPr>
          <w:rFonts w:hint="eastAsia" w:ascii="宋体" w:hAnsi="宋体" w:eastAsia="宋体"/>
          <w:sz w:val="24"/>
          <w:szCs w:val="24"/>
        </w:rPr>
        <w:t>附件2：</w:t>
      </w:r>
      <w:bookmarkStart w:id="22" w:name="_Toc217446086"/>
    </w:p>
    <w:p>
      <w:pPr>
        <w:snapToGrid w:val="0"/>
        <w:spacing w:line="300" w:lineRule="auto"/>
        <w:jc w:val="center"/>
        <w:rPr>
          <w:rFonts w:ascii="宋体" w:hAnsi="宋体" w:eastAsia="宋体"/>
          <w:b/>
          <w:sz w:val="32"/>
          <w:szCs w:val="32"/>
        </w:rPr>
      </w:pPr>
      <w:r>
        <w:rPr>
          <w:rFonts w:hint="eastAsia" w:ascii="宋体" w:hAnsi="宋体" w:eastAsia="宋体"/>
          <w:b/>
          <w:bCs/>
          <w:color w:val="000000"/>
          <w:sz w:val="32"/>
          <w:szCs w:val="32"/>
        </w:rPr>
        <w:t>分项（包含功能模块与用户数）报价明细表</w:t>
      </w:r>
      <w:bookmarkEnd w:id="22"/>
    </w:p>
    <w:p>
      <w:pPr>
        <w:snapToGrid w:val="0"/>
        <w:spacing w:line="360" w:lineRule="auto"/>
        <w:rPr>
          <w:rFonts w:ascii="宋体" w:hAnsi="宋体" w:eastAsia="宋体"/>
          <w:color w:val="000000"/>
          <w:sz w:val="24"/>
          <w:szCs w:val="24"/>
        </w:rPr>
      </w:pPr>
      <w:r>
        <w:rPr>
          <w:rFonts w:hint="eastAsia" w:ascii="宋体" w:hAnsi="宋体" w:eastAsia="宋体"/>
          <w:color w:val="000000"/>
          <w:sz w:val="24"/>
          <w:szCs w:val="24"/>
        </w:rPr>
        <w:t xml:space="preserve"> </w:t>
      </w:r>
      <w:r>
        <w:rPr>
          <w:rFonts w:hint="eastAsia" w:ascii="宋体" w:hAnsi="宋体" w:eastAsia="宋体"/>
          <w:sz w:val="24"/>
          <w:szCs w:val="24"/>
        </w:rPr>
        <w:t>响应人（盖章）：</w:t>
      </w:r>
    </w:p>
    <w:tbl>
      <w:tblPr>
        <w:tblStyle w:val="21"/>
        <w:tblW w:w="8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28"/>
        <w:gridCol w:w="1214"/>
        <w:gridCol w:w="1172"/>
        <w:gridCol w:w="781"/>
        <w:gridCol w:w="781"/>
        <w:gridCol w:w="783"/>
        <w:gridCol w:w="879"/>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635"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序号</w:t>
            </w:r>
          </w:p>
        </w:tc>
        <w:tc>
          <w:tcPr>
            <w:tcW w:w="1228" w:type="dxa"/>
            <w:vAlign w:val="center"/>
          </w:tcPr>
          <w:p>
            <w:pPr>
              <w:snapToGrid w:val="0"/>
              <w:spacing w:line="360" w:lineRule="auto"/>
              <w:jc w:val="center"/>
              <w:rPr>
                <w:rFonts w:ascii="宋体" w:hAnsi="宋体" w:eastAsia="宋体"/>
                <w:b/>
                <w:color w:val="000000"/>
                <w:sz w:val="24"/>
                <w:szCs w:val="24"/>
              </w:rPr>
            </w:pPr>
            <w:r>
              <w:rPr>
                <w:rFonts w:hint="eastAsia" w:ascii="宋体" w:hAnsi="宋体" w:eastAsia="宋体"/>
                <w:b/>
                <w:color w:val="000000"/>
                <w:sz w:val="24"/>
                <w:szCs w:val="24"/>
              </w:rPr>
              <w:t>产品名称</w:t>
            </w:r>
          </w:p>
        </w:tc>
        <w:tc>
          <w:tcPr>
            <w:tcW w:w="1214"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规格型号</w:t>
            </w:r>
          </w:p>
        </w:tc>
        <w:tc>
          <w:tcPr>
            <w:tcW w:w="1172"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 xml:space="preserve">  品牌</w:t>
            </w:r>
          </w:p>
        </w:tc>
        <w:tc>
          <w:tcPr>
            <w:tcW w:w="781"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单位</w:t>
            </w:r>
          </w:p>
        </w:tc>
        <w:tc>
          <w:tcPr>
            <w:tcW w:w="781"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数量</w:t>
            </w:r>
          </w:p>
        </w:tc>
        <w:tc>
          <w:tcPr>
            <w:tcW w:w="783"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单价</w:t>
            </w:r>
          </w:p>
        </w:tc>
        <w:tc>
          <w:tcPr>
            <w:tcW w:w="879"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金额</w:t>
            </w:r>
          </w:p>
        </w:tc>
        <w:tc>
          <w:tcPr>
            <w:tcW w:w="1156" w:type="dxa"/>
            <w:vAlign w:val="center"/>
          </w:tcPr>
          <w:p>
            <w:pPr>
              <w:snapToGrid w:val="0"/>
              <w:spacing w:line="360" w:lineRule="auto"/>
              <w:ind w:firstLine="120" w:firstLineChars="50"/>
              <w:rPr>
                <w:rFonts w:ascii="宋体" w:hAnsi="宋体" w:eastAsia="宋体"/>
                <w:b/>
                <w:color w:val="000000"/>
                <w:sz w:val="24"/>
                <w:szCs w:val="24"/>
              </w:rPr>
            </w:pPr>
            <w:r>
              <w:rPr>
                <w:rFonts w:hint="eastAsia" w:ascii="宋体" w:hAnsi="宋体" w:eastAsia="宋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635" w:type="dxa"/>
            <w:vAlign w:val="center"/>
          </w:tcPr>
          <w:p>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1</w:t>
            </w:r>
          </w:p>
        </w:tc>
        <w:tc>
          <w:tcPr>
            <w:tcW w:w="1228" w:type="dxa"/>
            <w:vAlign w:val="center"/>
          </w:tcPr>
          <w:p>
            <w:pPr>
              <w:snapToGrid w:val="0"/>
              <w:spacing w:line="360" w:lineRule="auto"/>
              <w:jc w:val="center"/>
              <w:rPr>
                <w:rFonts w:ascii="宋体" w:hAnsi="宋体" w:eastAsia="宋体"/>
                <w:color w:val="000000"/>
                <w:sz w:val="24"/>
                <w:szCs w:val="24"/>
              </w:rPr>
            </w:pPr>
          </w:p>
        </w:tc>
        <w:tc>
          <w:tcPr>
            <w:tcW w:w="1214" w:type="dxa"/>
            <w:vAlign w:val="center"/>
          </w:tcPr>
          <w:p>
            <w:pPr>
              <w:snapToGrid w:val="0"/>
              <w:spacing w:line="360" w:lineRule="auto"/>
              <w:jc w:val="center"/>
              <w:rPr>
                <w:rFonts w:ascii="宋体" w:hAnsi="宋体" w:eastAsia="宋体"/>
                <w:color w:val="000000"/>
                <w:sz w:val="24"/>
                <w:szCs w:val="24"/>
              </w:rPr>
            </w:pPr>
          </w:p>
        </w:tc>
        <w:tc>
          <w:tcPr>
            <w:tcW w:w="1172"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3" w:type="dxa"/>
            <w:vAlign w:val="center"/>
          </w:tcPr>
          <w:p>
            <w:pPr>
              <w:snapToGrid w:val="0"/>
              <w:spacing w:line="360" w:lineRule="auto"/>
              <w:jc w:val="center"/>
              <w:rPr>
                <w:rFonts w:ascii="宋体" w:hAnsi="宋体" w:eastAsia="宋体"/>
                <w:color w:val="000000"/>
                <w:sz w:val="24"/>
                <w:szCs w:val="24"/>
              </w:rPr>
            </w:pPr>
          </w:p>
        </w:tc>
        <w:tc>
          <w:tcPr>
            <w:tcW w:w="879" w:type="dxa"/>
            <w:vAlign w:val="center"/>
          </w:tcPr>
          <w:p>
            <w:pPr>
              <w:snapToGrid w:val="0"/>
              <w:spacing w:line="360" w:lineRule="auto"/>
              <w:jc w:val="center"/>
              <w:rPr>
                <w:rFonts w:ascii="宋体" w:hAnsi="宋体" w:eastAsia="宋体"/>
                <w:color w:val="000000"/>
                <w:sz w:val="24"/>
                <w:szCs w:val="24"/>
              </w:rPr>
            </w:pPr>
          </w:p>
        </w:tc>
        <w:tc>
          <w:tcPr>
            <w:tcW w:w="1156" w:type="dxa"/>
            <w:vAlign w:val="center"/>
          </w:tcPr>
          <w:p>
            <w:pPr>
              <w:snapToGrid w:val="0"/>
              <w:spacing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dxa"/>
            <w:vAlign w:val="center"/>
          </w:tcPr>
          <w:p>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2</w:t>
            </w:r>
          </w:p>
        </w:tc>
        <w:tc>
          <w:tcPr>
            <w:tcW w:w="1228" w:type="dxa"/>
            <w:vAlign w:val="center"/>
          </w:tcPr>
          <w:p>
            <w:pPr>
              <w:snapToGrid w:val="0"/>
              <w:spacing w:line="360" w:lineRule="auto"/>
              <w:jc w:val="center"/>
              <w:rPr>
                <w:rFonts w:ascii="宋体" w:hAnsi="宋体" w:eastAsia="宋体"/>
                <w:color w:val="000000"/>
                <w:sz w:val="24"/>
                <w:szCs w:val="24"/>
              </w:rPr>
            </w:pPr>
          </w:p>
        </w:tc>
        <w:tc>
          <w:tcPr>
            <w:tcW w:w="1214" w:type="dxa"/>
            <w:vAlign w:val="center"/>
          </w:tcPr>
          <w:p>
            <w:pPr>
              <w:snapToGrid w:val="0"/>
              <w:spacing w:line="360" w:lineRule="auto"/>
              <w:jc w:val="center"/>
              <w:rPr>
                <w:rFonts w:ascii="宋体" w:hAnsi="宋体" w:eastAsia="宋体"/>
                <w:color w:val="000000"/>
                <w:sz w:val="24"/>
                <w:szCs w:val="24"/>
              </w:rPr>
            </w:pPr>
          </w:p>
        </w:tc>
        <w:tc>
          <w:tcPr>
            <w:tcW w:w="1172"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3" w:type="dxa"/>
            <w:vAlign w:val="center"/>
          </w:tcPr>
          <w:p>
            <w:pPr>
              <w:snapToGrid w:val="0"/>
              <w:spacing w:line="360" w:lineRule="auto"/>
              <w:jc w:val="center"/>
              <w:rPr>
                <w:rFonts w:ascii="宋体" w:hAnsi="宋体" w:eastAsia="宋体"/>
                <w:color w:val="000000"/>
                <w:sz w:val="24"/>
                <w:szCs w:val="24"/>
              </w:rPr>
            </w:pPr>
          </w:p>
        </w:tc>
        <w:tc>
          <w:tcPr>
            <w:tcW w:w="879" w:type="dxa"/>
            <w:vAlign w:val="center"/>
          </w:tcPr>
          <w:p>
            <w:pPr>
              <w:snapToGrid w:val="0"/>
              <w:spacing w:line="360" w:lineRule="auto"/>
              <w:jc w:val="center"/>
              <w:rPr>
                <w:rFonts w:ascii="宋体" w:hAnsi="宋体" w:eastAsia="宋体"/>
                <w:color w:val="000000"/>
                <w:sz w:val="24"/>
                <w:szCs w:val="24"/>
              </w:rPr>
            </w:pPr>
          </w:p>
        </w:tc>
        <w:tc>
          <w:tcPr>
            <w:tcW w:w="1156" w:type="dxa"/>
            <w:vAlign w:val="center"/>
          </w:tcPr>
          <w:p>
            <w:pPr>
              <w:snapToGrid w:val="0"/>
              <w:spacing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594" w:type="dxa"/>
            <w:gridSpan w:val="7"/>
            <w:vAlign w:val="center"/>
          </w:tcPr>
          <w:p>
            <w:pPr>
              <w:snapToGri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t>分项报价含1</w:t>
            </w:r>
            <w:r>
              <w:rPr>
                <w:rFonts w:ascii="宋体" w:hAnsi="宋体" w:eastAsia="宋体"/>
                <w:color w:val="000000"/>
                <w:sz w:val="24"/>
                <w:szCs w:val="24"/>
              </w:rPr>
              <w:t>3</w:t>
            </w:r>
            <w:r>
              <w:rPr>
                <w:rFonts w:hint="eastAsia" w:ascii="宋体" w:hAnsi="宋体" w:eastAsia="宋体"/>
                <w:color w:val="000000"/>
                <w:sz w:val="24"/>
                <w:szCs w:val="24"/>
              </w:rPr>
              <w:t>%专用</w:t>
            </w:r>
            <w:r>
              <w:rPr>
                <w:rFonts w:ascii="宋体" w:hAnsi="宋体" w:eastAsia="宋体"/>
                <w:color w:val="000000"/>
                <w:sz w:val="24"/>
                <w:szCs w:val="24"/>
              </w:rPr>
              <w:t>增值税</w:t>
            </w:r>
            <w:r>
              <w:rPr>
                <w:rFonts w:hint="eastAsia" w:ascii="宋体" w:hAnsi="宋体" w:eastAsia="宋体"/>
                <w:color w:val="000000"/>
                <w:sz w:val="24"/>
                <w:szCs w:val="24"/>
              </w:rPr>
              <w:t>。大写：</w:t>
            </w:r>
          </w:p>
        </w:tc>
        <w:tc>
          <w:tcPr>
            <w:tcW w:w="879" w:type="dxa"/>
            <w:vAlign w:val="center"/>
          </w:tcPr>
          <w:p>
            <w:pPr>
              <w:snapToGrid w:val="0"/>
              <w:spacing w:line="360" w:lineRule="auto"/>
              <w:rPr>
                <w:rFonts w:ascii="宋体" w:hAnsi="宋体" w:eastAsia="宋体"/>
                <w:color w:val="000000"/>
                <w:sz w:val="24"/>
                <w:szCs w:val="24"/>
              </w:rPr>
            </w:pPr>
          </w:p>
        </w:tc>
        <w:tc>
          <w:tcPr>
            <w:tcW w:w="1156" w:type="dxa"/>
            <w:vAlign w:val="center"/>
          </w:tcPr>
          <w:p>
            <w:pPr>
              <w:snapToGrid w:val="0"/>
              <w:spacing w:line="360" w:lineRule="auto"/>
              <w:jc w:val="center"/>
              <w:rPr>
                <w:rFonts w:ascii="宋体" w:hAnsi="宋体" w:eastAsia="宋体"/>
                <w:color w:val="000000"/>
                <w:sz w:val="24"/>
                <w:szCs w:val="24"/>
              </w:rPr>
            </w:pPr>
          </w:p>
        </w:tc>
      </w:tr>
    </w:tbl>
    <w:p>
      <w:pPr>
        <w:snapToGrid w:val="0"/>
        <w:spacing w:line="360" w:lineRule="auto"/>
        <w:ind w:left="843" w:hanging="843" w:hangingChars="350"/>
        <w:rPr>
          <w:rFonts w:ascii="宋体" w:hAnsi="宋体" w:eastAsia="宋体"/>
          <w:b/>
          <w:sz w:val="24"/>
          <w:szCs w:val="24"/>
        </w:rPr>
      </w:pPr>
    </w:p>
    <w:p>
      <w:pPr>
        <w:snapToGrid w:val="0"/>
        <w:spacing w:line="360" w:lineRule="auto"/>
        <w:ind w:left="843" w:hanging="843" w:hangingChars="350"/>
        <w:rPr>
          <w:rFonts w:ascii="宋体" w:hAnsi="宋体" w:eastAsia="宋体"/>
          <w:b/>
          <w:sz w:val="24"/>
          <w:szCs w:val="24"/>
        </w:rPr>
      </w:pPr>
    </w:p>
    <w:p>
      <w:pPr>
        <w:snapToGrid w:val="0"/>
        <w:spacing w:line="500" w:lineRule="exact"/>
        <w:ind w:firstLine="472" w:firstLineChars="196"/>
        <w:rPr>
          <w:rFonts w:ascii="宋体" w:hAnsi="宋体" w:eastAsia="宋体"/>
          <w:b/>
          <w:bCs/>
          <w:sz w:val="24"/>
          <w:szCs w:val="24"/>
        </w:rPr>
      </w:pPr>
      <w:r>
        <w:rPr>
          <w:rFonts w:hint="eastAsia" w:ascii="宋体" w:hAnsi="宋体" w:eastAsia="宋体"/>
          <w:b/>
          <w:sz w:val="24"/>
          <w:szCs w:val="24"/>
        </w:rPr>
        <w:t>注：响应人必须详细报出响应报价总表的各个组成部分的报价。且</w:t>
      </w:r>
      <w:r>
        <w:rPr>
          <w:rFonts w:hint="eastAsia" w:ascii="宋体" w:hAnsi="宋体" w:eastAsia="宋体"/>
          <w:b/>
          <w:bCs/>
          <w:sz w:val="24"/>
          <w:szCs w:val="24"/>
        </w:rPr>
        <w:t>本表各分项报价合计应当与响应报价总表报价合计相等。</w:t>
      </w:r>
    </w:p>
    <w:p>
      <w:pPr>
        <w:spacing w:line="50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1907"/>
    </w:sdtPr>
    <w:sdtContent>
      <w:p>
        <w:pPr>
          <w:pStyle w:val="16"/>
          <w:jc w:val="center"/>
        </w:pPr>
        <w:r>
          <w:rPr>
            <w:lang w:val="zh-CN"/>
          </w:rPr>
          <w:fldChar w:fldCharType="begin"/>
        </w:r>
        <w:r>
          <w:rPr>
            <w:lang w:val="zh-CN"/>
          </w:rPr>
          <w:instrText xml:space="preserve"> PAGE   \* MERGEFORMAT </w:instrText>
        </w:r>
        <w:r>
          <w:rPr>
            <w:lang w:val="zh-CN"/>
          </w:rPr>
          <w:fldChar w:fldCharType="separate"/>
        </w:r>
        <w:r>
          <w:rPr>
            <w:lang w:val="zh-CN"/>
          </w:rPr>
          <w:t>45</w:t>
        </w:r>
        <w:r>
          <w:rPr>
            <w:lang w:val="zh-CN"/>
          </w:rPr>
          <w:fldChar w:fldCharType="end"/>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lvl w:ilvl="0" w:tentative="0">
      <w:start w:val="1"/>
      <w:numFmt w:val="decimal"/>
      <w:pStyle w:val="5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B67E4E"/>
    <w:multiLevelType w:val="multilevel"/>
    <w:tmpl w:val="16B67E4E"/>
    <w:lvl w:ilvl="0" w:tentative="0">
      <w:start w:val="1"/>
      <w:numFmt w:val="chineseCountingThousand"/>
      <w:pStyle w:val="51"/>
      <w:lvlText w:val="第%1章 "/>
      <w:lvlJc w:val="left"/>
      <w:pPr>
        <w:ind w:left="567" w:firstLine="0"/>
      </w:pPr>
      <w:rPr>
        <w:rFonts w:hint="eastAsia"/>
      </w:rPr>
    </w:lvl>
    <w:lvl w:ilvl="1" w:tentative="0">
      <w:start w:val="1"/>
      <w:numFmt w:val="decimal"/>
      <w:pStyle w:val="52"/>
      <w:isLgl/>
      <w:lvlText w:val="%1.%2 "/>
      <w:lvlJc w:val="left"/>
      <w:pPr>
        <w:ind w:left="1078" w:hanging="227"/>
      </w:pPr>
      <w:rPr>
        <w:rFonts w:hint="eastAsia"/>
      </w:rPr>
    </w:lvl>
    <w:lvl w:ilvl="2" w:tentative="0">
      <w:start w:val="1"/>
      <w:numFmt w:val="decimal"/>
      <w:pStyle w:val="53"/>
      <w:isLgl/>
      <w:lvlText w:val="%1.%2.%3 "/>
      <w:lvlJc w:val="right"/>
      <w:pPr>
        <w:ind w:left="0" w:firstLine="1134"/>
      </w:pPr>
      <w:rPr>
        <w:rFonts w:hint="eastAsia"/>
      </w:rPr>
    </w:lvl>
    <w:lvl w:ilvl="3" w:tentative="0">
      <w:start w:val="1"/>
      <w:numFmt w:val="decimal"/>
      <w:pStyle w:val="54"/>
      <w:isLgl/>
      <w:lvlText w:val="%1.%2.%3.%4 "/>
      <w:lvlJc w:val="left"/>
      <w:pPr>
        <w:ind w:left="2723" w:hanging="170"/>
      </w:pPr>
      <w:rPr>
        <w:rFonts w:hint="eastAsia"/>
      </w:rPr>
    </w:lvl>
    <w:lvl w:ilvl="4" w:tentative="0">
      <w:start w:val="1"/>
      <w:numFmt w:val="lowerLetter"/>
      <w:lvlText w:val="%5)"/>
      <w:lvlJc w:val="left"/>
      <w:pPr>
        <w:ind w:left="2569" w:hanging="420"/>
      </w:pPr>
      <w:rPr>
        <w:rFonts w:hint="eastAsia"/>
      </w:rPr>
    </w:lvl>
    <w:lvl w:ilvl="5" w:tentative="0">
      <w:start w:val="1"/>
      <w:numFmt w:val="lowerRoman"/>
      <w:lvlText w:val="%6."/>
      <w:lvlJc w:val="right"/>
      <w:pPr>
        <w:ind w:left="2989" w:hanging="420"/>
      </w:pPr>
      <w:rPr>
        <w:rFonts w:hint="eastAsia"/>
      </w:rPr>
    </w:lvl>
    <w:lvl w:ilvl="6" w:tentative="0">
      <w:start w:val="1"/>
      <w:numFmt w:val="decimal"/>
      <w:lvlText w:val="%7."/>
      <w:lvlJc w:val="left"/>
      <w:pPr>
        <w:ind w:left="3409" w:hanging="420"/>
      </w:pPr>
      <w:rPr>
        <w:rFonts w:hint="eastAsia"/>
      </w:rPr>
    </w:lvl>
    <w:lvl w:ilvl="7" w:tentative="0">
      <w:start w:val="1"/>
      <w:numFmt w:val="lowerLetter"/>
      <w:lvlText w:val="%8)"/>
      <w:lvlJc w:val="left"/>
      <w:pPr>
        <w:ind w:left="3829" w:hanging="420"/>
      </w:pPr>
      <w:rPr>
        <w:rFonts w:hint="eastAsia"/>
      </w:rPr>
    </w:lvl>
    <w:lvl w:ilvl="8" w:tentative="0">
      <w:start w:val="1"/>
      <w:numFmt w:val="lowerRoman"/>
      <w:lvlText w:val="%9."/>
      <w:lvlJc w:val="right"/>
      <w:pPr>
        <w:ind w:left="4249" w:hanging="420"/>
      </w:pPr>
      <w:rPr>
        <w:rFonts w:hint="eastAsia"/>
      </w:rPr>
    </w:lvl>
  </w:abstractNum>
  <w:abstractNum w:abstractNumId="2">
    <w:nsid w:val="5C4218EB"/>
    <w:multiLevelType w:val="multilevel"/>
    <w:tmpl w:val="5C4218EB"/>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22"/>
    <w:rsid w:val="00000718"/>
    <w:rsid w:val="00000A10"/>
    <w:rsid w:val="00004DC8"/>
    <w:rsid w:val="00005B41"/>
    <w:rsid w:val="00006BBB"/>
    <w:rsid w:val="000111C0"/>
    <w:rsid w:val="0001522C"/>
    <w:rsid w:val="00016A2A"/>
    <w:rsid w:val="00024EB7"/>
    <w:rsid w:val="0002644E"/>
    <w:rsid w:val="0002798C"/>
    <w:rsid w:val="000306F7"/>
    <w:rsid w:val="00035083"/>
    <w:rsid w:val="00035A8A"/>
    <w:rsid w:val="00036067"/>
    <w:rsid w:val="00040143"/>
    <w:rsid w:val="00044703"/>
    <w:rsid w:val="00047322"/>
    <w:rsid w:val="00051B7F"/>
    <w:rsid w:val="00052454"/>
    <w:rsid w:val="0005431E"/>
    <w:rsid w:val="00056817"/>
    <w:rsid w:val="00060B1C"/>
    <w:rsid w:val="000630F6"/>
    <w:rsid w:val="00063BD3"/>
    <w:rsid w:val="00063D5B"/>
    <w:rsid w:val="000707EA"/>
    <w:rsid w:val="00075F0A"/>
    <w:rsid w:val="000772E9"/>
    <w:rsid w:val="00081783"/>
    <w:rsid w:val="00083B5A"/>
    <w:rsid w:val="000868C6"/>
    <w:rsid w:val="000876BE"/>
    <w:rsid w:val="00096CDC"/>
    <w:rsid w:val="00096E90"/>
    <w:rsid w:val="000A0255"/>
    <w:rsid w:val="000A38BA"/>
    <w:rsid w:val="000A5A8E"/>
    <w:rsid w:val="000B702E"/>
    <w:rsid w:val="000C0AD7"/>
    <w:rsid w:val="000C3952"/>
    <w:rsid w:val="000C674D"/>
    <w:rsid w:val="000C7DD0"/>
    <w:rsid w:val="000D08F2"/>
    <w:rsid w:val="000D1DFA"/>
    <w:rsid w:val="000D1E4D"/>
    <w:rsid w:val="000E0042"/>
    <w:rsid w:val="000E0524"/>
    <w:rsid w:val="000E0752"/>
    <w:rsid w:val="000E4E89"/>
    <w:rsid w:val="000F1073"/>
    <w:rsid w:val="000F295D"/>
    <w:rsid w:val="00101304"/>
    <w:rsid w:val="001031EF"/>
    <w:rsid w:val="00104D67"/>
    <w:rsid w:val="0010621F"/>
    <w:rsid w:val="0011240D"/>
    <w:rsid w:val="001147DC"/>
    <w:rsid w:val="00115EDE"/>
    <w:rsid w:val="001176F7"/>
    <w:rsid w:val="00131508"/>
    <w:rsid w:val="00133152"/>
    <w:rsid w:val="001339D2"/>
    <w:rsid w:val="0013431D"/>
    <w:rsid w:val="001440CC"/>
    <w:rsid w:val="00151E76"/>
    <w:rsid w:val="0015321B"/>
    <w:rsid w:val="001556EB"/>
    <w:rsid w:val="001579CB"/>
    <w:rsid w:val="00160A4C"/>
    <w:rsid w:val="00161A7E"/>
    <w:rsid w:val="00163712"/>
    <w:rsid w:val="00163DFD"/>
    <w:rsid w:val="0017202E"/>
    <w:rsid w:val="001752DB"/>
    <w:rsid w:val="00177A24"/>
    <w:rsid w:val="00182AC3"/>
    <w:rsid w:val="00182DD6"/>
    <w:rsid w:val="00182F5E"/>
    <w:rsid w:val="0018338B"/>
    <w:rsid w:val="00183986"/>
    <w:rsid w:val="001866E1"/>
    <w:rsid w:val="00190BCE"/>
    <w:rsid w:val="001915D8"/>
    <w:rsid w:val="001947AD"/>
    <w:rsid w:val="00195F5F"/>
    <w:rsid w:val="001960F4"/>
    <w:rsid w:val="00196F77"/>
    <w:rsid w:val="00197870"/>
    <w:rsid w:val="00197AB6"/>
    <w:rsid w:val="001A0BCE"/>
    <w:rsid w:val="001A5D44"/>
    <w:rsid w:val="001B0242"/>
    <w:rsid w:val="001B050F"/>
    <w:rsid w:val="001B0CD6"/>
    <w:rsid w:val="001B3F8E"/>
    <w:rsid w:val="001C07DB"/>
    <w:rsid w:val="001C5656"/>
    <w:rsid w:val="001D0D09"/>
    <w:rsid w:val="001D1B13"/>
    <w:rsid w:val="001D2AA6"/>
    <w:rsid w:val="001D46D6"/>
    <w:rsid w:val="001E01E0"/>
    <w:rsid w:val="001E173A"/>
    <w:rsid w:val="001E37BF"/>
    <w:rsid w:val="001E583D"/>
    <w:rsid w:val="001E6C00"/>
    <w:rsid w:val="001E7B46"/>
    <w:rsid w:val="001F2322"/>
    <w:rsid w:val="001F3384"/>
    <w:rsid w:val="001F4145"/>
    <w:rsid w:val="001F63E1"/>
    <w:rsid w:val="001F6AC8"/>
    <w:rsid w:val="001F6CCB"/>
    <w:rsid w:val="00202247"/>
    <w:rsid w:val="002022A6"/>
    <w:rsid w:val="00206499"/>
    <w:rsid w:val="00207B3F"/>
    <w:rsid w:val="00214A78"/>
    <w:rsid w:val="002274E1"/>
    <w:rsid w:val="00233223"/>
    <w:rsid w:val="002339BC"/>
    <w:rsid w:val="00233FC9"/>
    <w:rsid w:val="0024093F"/>
    <w:rsid w:val="00243278"/>
    <w:rsid w:val="00243F77"/>
    <w:rsid w:val="002455F5"/>
    <w:rsid w:val="00253CDA"/>
    <w:rsid w:val="00261D77"/>
    <w:rsid w:val="00270456"/>
    <w:rsid w:val="00272D4A"/>
    <w:rsid w:val="00273256"/>
    <w:rsid w:val="00276DA6"/>
    <w:rsid w:val="00276F81"/>
    <w:rsid w:val="0028546C"/>
    <w:rsid w:val="00285D57"/>
    <w:rsid w:val="00287790"/>
    <w:rsid w:val="0029112C"/>
    <w:rsid w:val="00293ED7"/>
    <w:rsid w:val="00294341"/>
    <w:rsid w:val="00295303"/>
    <w:rsid w:val="00297535"/>
    <w:rsid w:val="002A2259"/>
    <w:rsid w:val="002A3526"/>
    <w:rsid w:val="002A3E0F"/>
    <w:rsid w:val="002A4F32"/>
    <w:rsid w:val="002A66A6"/>
    <w:rsid w:val="002B072C"/>
    <w:rsid w:val="002B0DAC"/>
    <w:rsid w:val="002B46FB"/>
    <w:rsid w:val="002B697E"/>
    <w:rsid w:val="002C1DCE"/>
    <w:rsid w:val="002C2E7F"/>
    <w:rsid w:val="002C3243"/>
    <w:rsid w:val="002C479C"/>
    <w:rsid w:val="002D04AA"/>
    <w:rsid w:val="002D5507"/>
    <w:rsid w:val="002D6111"/>
    <w:rsid w:val="002E1646"/>
    <w:rsid w:val="002E2068"/>
    <w:rsid w:val="002E26A1"/>
    <w:rsid w:val="002E4DCA"/>
    <w:rsid w:val="002E5951"/>
    <w:rsid w:val="002E6D6A"/>
    <w:rsid w:val="002F1131"/>
    <w:rsid w:val="002F14DB"/>
    <w:rsid w:val="002F4E09"/>
    <w:rsid w:val="002F5E4C"/>
    <w:rsid w:val="002F648D"/>
    <w:rsid w:val="002F6CFC"/>
    <w:rsid w:val="0030694C"/>
    <w:rsid w:val="00306AF1"/>
    <w:rsid w:val="00310C6C"/>
    <w:rsid w:val="003110DD"/>
    <w:rsid w:val="003126F4"/>
    <w:rsid w:val="003137B0"/>
    <w:rsid w:val="00316BF5"/>
    <w:rsid w:val="00321ECA"/>
    <w:rsid w:val="003227EF"/>
    <w:rsid w:val="003233A4"/>
    <w:rsid w:val="0032374D"/>
    <w:rsid w:val="00327D72"/>
    <w:rsid w:val="003345A1"/>
    <w:rsid w:val="00337043"/>
    <w:rsid w:val="003434A0"/>
    <w:rsid w:val="00343D91"/>
    <w:rsid w:val="00353766"/>
    <w:rsid w:val="00353DBF"/>
    <w:rsid w:val="003549A7"/>
    <w:rsid w:val="00356012"/>
    <w:rsid w:val="003564A1"/>
    <w:rsid w:val="0035779E"/>
    <w:rsid w:val="00357AD3"/>
    <w:rsid w:val="00362744"/>
    <w:rsid w:val="003632AF"/>
    <w:rsid w:val="00365D86"/>
    <w:rsid w:val="00366DA7"/>
    <w:rsid w:val="0036793E"/>
    <w:rsid w:val="003701DD"/>
    <w:rsid w:val="0037387E"/>
    <w:rsid w:val="00381D11"/>
    <w:rsid w:val="0038220D"/>
    <w:rsid w:val="00385730"/>
    <w:rsid w:val="00390F56"/>
    <w:rsid w:val="00392CD1"/>
    <w:rsid w:val="003947BE"/>
    <w:rsid w:val="00394D2F"/>
    <w:rsid w:val="00394E5B"/>
    <w:rsid w:val="00395EBD"/>
    <w:rsid w:val="00396B72"/>
    <w:rsid w:val="003A0B4A"/>
    <w:rsid w:val="003A4F34"/>
    <w:rsid w:val="003A6676"/>
    <w:rsid w:val="003B0369"/>
    <w:rsid w:val="003B5139"/>
    <w:rsid w:val="003B75FE"/>
    <w:rsid w:val="003C1A39"/>
    <w:rsid w:val="003C394B"/>
    <w:rsid w:val="003D092D"/>
    <w:rsid w:val="003D260E"/>
    <w:rsid w:val="003D3043"/>
    <w:rsid w:val="003E188C"/>
    <w:rsid w:val="003E24B4"/>
    <w:rsid w:val="003E4330"/>
    <w:rsid w:val="003E4BE3"/>
    <w:rsid w:val="003E52A3"/>
    <w:rsid w:val="003E7BD2"/>
    <w:rsid w:val="003F46F1"/>
    <w:rsid w:val="003F4C25"/>
    <w:rsid w:val="00400215"/>
    <w:rsid w:val="00400A10"/>
    <w:rsid w:val="0040167C"/>
    <w:rsid w:val="0040217A"/>
    <w:rsid w:val="00406096"/>
    <w:rsid w:val="0041253C"/>
    <w:rsid w:val="00424C4B"/>
    <w:rsid w:val="004255B2"/>
    <w:rsid w:val="00425A0F"/>
    <w:rsid w:val="00425D89"/>
    <w:rsid w:val="004279A2"/>
    <w:rsid w:val="00427CEA"/>
    <w:rsid w:val="00435273"/>
    <w:rsid w:val="004506E8"/>
    <w:rsid w:val="00452C6E"/>
    <w:rsid w:val="00455C1D"/>
    <w:rsid w:val="00455C49"/>
    <w:rsid w:val="004565E3"/>
    <w:rsid w:val="00457069"/>
    <w:rsid w:val="00471229"/>
    <w:rsid w:val="0047373E"/>
    <w:rsid w:val="004743E1"/>
    <w:rsid w:val="0047530E"/>
    <w:rsid w:val="0047739A"/>
    <w:rsid w:val="00482C14"/>
    <w:rsid w:val="00484D29"/>
    <w:rsid w:val="00485492"/>
    <w:rsid w:val="0048577E"/>
    <w:rsid w:val="00487328"/>
    <w:rsid w:val="004921AC"/>
    <w:rsid w:val="00492DE2"/>
    <w:rsid w:val="00492EC2"/>
    <w:rsid w:val="0049590A"/>
    <w:rsid w:val="004964FA"/>
    <w:rsid w:val="004970B7"/>
    <w:rsid w:val="00497D31"/>
    <w:rsid w:val="004A0BE0"/>
    <w:rsid w:val="004A5F4B"/>
    <w:rsid w:val="004B23D0"/>
    <w:rsid w:val="004B2619"/>
    <w:rsid w:val="004B4F2C"/>
    <w:rsid w:val="004B5A82"/>
    <w:rsid w:val="004B5AD6"/>
    <w:rsid w:val="004B684B"/>
    <w:rsid w:val="004B76FE"/>
    <w:rsid w:val="004C02C1"/>
    <w:rsid w:val="004C4076"/>
    <w:rsid w:val="004C444E"/>
    <w:rsid w:val="004C616F"/>
    <w:rsid w:val="004C6266"/>
    <w:rsid w:val="004C7195"/>
    <w:rsid w:val="004D0FB3"/>
    <w:rsid w:val="004D106C"/>
    <w:rsid w:val="004D3C44"/>
    <w:rsid w:val="004D54A0"/>
    <w:rsid w:val="004D5914"/>
    <w:rsid w:val="004D6D3D"/>
    <w:rsid w:val="004D77B6"/>
    <w:rsid w:val="004E02F0"/>
    <w:rsid w:val="004E5AEB"/>
    <w:rsid w:val="004F0827"/>
    <w:rsid w:val="004F0E4E"/>
    <w:rsid w:val="004F1742"/>
    <w:rsid w:val="004F696A"/>
    <w:rsid w:val="00503542"/>
    <w:rsid w:val="00510660"/>
    <w:rsid w:val="00511E74"/>
    <w:rsid w:val="00512F59"/>
    <w:rsid w:val="0052129B"/>
    <w:rsid w:val="005250EB"/>
    <w:rsid w:val="005255EC"/>
    <w:rsid w:val="00525BAA"/>
    <w:rsid w:val="00527E79"/>
    <w:rsid w:val="00530ECA"/>
    <w:rsid w:val="005337EB"/>
    <w:rsid w:val="00535812"/>
    <w:rsid w:val="0054089E"/>
    <w:rsid w:val="005479E8"/>
    <w:rsid w:val="00550DAA"/>
    <w:rsid w:val="00553984"/>
    <w:rsid w:val="00553CB2"/>
    <w:rsid w:val="005548A3"/>
    <w:rsid w:val="00557857"/>
    <w:rsid w:val="00566964"/>
    <w:rsid w:val="00570DB7"/>
    <w:rsid w:val="00570FAF"/>
    <w:rsid w:val="0057579D"/>
    <w:rsid w:val="00582133"/>
    <w:rsid w:val="005836B4"/>
    <w:rsid w:val="00585FFD"/>
    <w:rsid w:val="005861A3"/>
    <w:rsid w:val="0059059E"/>
    <w:rsid w:val="00590874"/>
    <w:rsid w:val="00597AE0"/>
    <w:rsid w:val="005A6093"/>
    <w:rsid w:val="005A68E1"/>
    <w:rsid w:val="005B099B"/>
    <w:rsid w:val="005B1699"/>
    <w:rsid w:val="005B4565"/>
    <w:rsid w:val="005B5457"/>
    <w:rsid w:val="005B7E9C"/>
    <w:rsid w:val="005C0B9F"/>
    <w:rsid w:val="005C0C5C"/>
    <w:rsid w:val="005C0E24"/>
    <w:rsid w:val="005C15F0"/>
    <w:rsid w:val="005C3240"/>
    <w:rsid w:val="005C5F22"/>
    <w:rsid w:val="005D058C"/>
    <w:rsid w:val="005D161B"/>
    <w:rsid w:val="005D179E"/>
    <w:rsid w:val="005D51A7"/>
    <w:rsid w:val="005E2551"/>
    <w:rsid w:val="005E25AE"/>
    <w:rsid w:val="005E4E40"/>
    <w:rsid w:val="005E4F44"/>
    <w:rsid w:val="005F0859"/>
    <w:rsid w:val="005F0B41"/>
    <w:rsid w:val="005F0DEB"/>
    <w:rsid w:val="005F30BB"/>
    <w:rsid w:val="005F70EE"/>
    <w:rsid w:val="00603B98"/>
    <w:rsid w:val="006103D1"/>
    <w:rsid w:val="00610D60"/>
    <w:rsid w:val="00612687"/>
    <w:rsid w:val="00614A76"/>
    <w:rsid w:val="006169D9"/>
    <w:rsid w:val="006208E7"/>
    <w:rsid w:val="00621C6C"/>
    <w:rsid w:val="0062287F"/>
    <w:rsid w:val="00622A1C"/>
    <w:rsid w:val="0062671C"/>
    <w:rsid w:val="00630C7F"/>
    <w:rsid w:val="006323A6"/>
    <w:rsid w:val="006325CF"/>
    <w:rsid w:val="00633F98"/>
    <w:rsid w:val="00636FD0"/>
    <w:rsid w:val="00645E48"/>
    <w:rsid w:val="00646BCC"/>
    <w:rsid w:val="00656319"/>
    <w:rsid w:val="00657CF2"/>
    <w:rsid w:val="00657F26"/>
    <w:rsid w:val="006610FA"/>
    <w:rsid w:val="00665513"/>
    <w:rsid w:val="00666C89"/>
    <w:rsid w:val="006704C3"/>
    <w:rsid w:val="00674417"/>
    <w:rsid w:val="00680D29"/>
    <w:rsid w:val="00685D66"/>
    <w:rsid w:val="00686850"/>
    <w:rsid w:val="00686AEC"/>
    <w:rsid w:val="00691EA6"/>
    <w:rsid w:val="00693761"/>
    <w:rsid w:val="006940B0"/>
    <w:rsid w:val="00694957"/>
    <w:rsid w:val="00695290"/>
    <w:rsid w:val="00695743"/>
    <w:rsid w:val="006965C6"/>
    <w:rsid w:val="006966A9"/>
    <w:rsid w:val="006B1B48"/>
    <w:rsid w:val="006B3D97"/>
    <w:rsid w:val="006B67C0"/>
    <w:rsid w:val="006C16C8"/>
    <w:rsid w:val="006C2C18"/>
    <w:rsid w:val="006C3328"/>
    <w:rsid w:val="006D0433"/>
    <w:rsid w:val="006D2FF2"/>
    <w:rsid w:val="006E0B40"/>
    <w:rsid w:val="006E0F7B"/>
    <w:rsid w:val="006E367A"/>
    <w:rsid w:val="006E40F4"/>
    <w:rsid w:val="006E4E37"/>
    <w:rsid w:val="006E530A"/>
    <w:rsid w:val="006E745E"/>
    <w:rsid w:val="006F02D2"/>
    <w:rsid w:val="006F18A3"/>
    <w:rsid w:val="006F5953"/>
    <w:rsid w:val="006F5E48"/>
    <w:rsid w:val="006F6A22"/>
    <w:rsid w:val="007008C5"/>
    <w:rsid w:val="00700D4A"/>
    <w:rsid w:val="00703D81"/>
    <w:rsid w:val="00710017"/>
    <w:rsid w:val="00711612"/>
    <w:rsid w:val="00711F9A"/>
    <w:rsid w:val="007138EA"/>
    <w:rsid w:val="007140A7"/>
    <w:rsid w:val="00714BAC"/>
    <w:rsid w:val="00717AAD"/>
    <w:rsid w:val="00723400"/>
    <w:rsid w:val="00723F0E"/>
    <w:rsid w:val="007275F5"/>
    <w:rsid w:val="0073063C"/>
    <w:rsid w:val="00737E57"/>
    <w:rsid w:val="0074154D"/>
    <w:rsid w:val="007423C3"/>
    <w:rsid w:val="00745383"/>
    <w:rsid w:val="00745B0D"/>
    <w:rsid w:val="00747700"/>
    <w:rsid w:val="007504E9"/>
    <w:rsid w:val="00750FF0"/>
    <w:rsid w:val="007545D6"/>
    <w:rsid w:val="007554CD"/>
    <w:rsid w:val="00756E67"/>
    <w:rsid w:val="00757238"/>
    <w:rsid w:val="00764A72"/>
    <w:rsid w:val="00764DA2"/>
    <w:rsid w:val="0076766A"/>
    <w:rsid w:val="00772EC7"/>
    <w:rsid w:val="007749AF"/>
    <w:rsid w:val="00780B96"/>
    <w:rsid w:val="007822A7"/>
    <w:rsid w:val="007833BD"/>
    <w:rsid w:val="007852E1"/>
    <w:rsid w:val="00786FEB"/>
    <w:rsid w:val="0078726F"/>
    <w:rsid w:val="00787712"/>
    <w:rsid w:val="007923F7"/>
    <w:rsid w:val="00796432"/>
    <w:rsid w:val="00796F16"/>
    <w:rsid w:val="007A2CFE"/>
    <w:rsid w:val="007A46F6"/>
    <w:rsid w:val="007A5173"/>
    <w:rsid w:val="007A5DAA"/>
    <w:rsid w:val="007A6848"/>
    <w:rsid w:val="007B20FD"/>
    <w:rsid w:val="007B3A14"/>
    <w:rsid w:val="007B5C59"/>
    <w:rsid w:val="007C48AD"/>
    <w:rsid w:val="007C5CD9"/>
    <w:rsid w:val="007C5F54"/>
    <w:rsid w:val="007C69A6"/>
    <w:rsid w:val="007C701A"/>
    <w:rsid w:val="007C747A"/>
    <w:rsid w:val="007D239D"/>
    <w:rsid w:val="007D2A29"/>
    <w:rsid w:val="007D4467"/>
    <w:rsid w:val="007D5442"/>
    <w:rsid w:val="007D6A26"/>
    <w:rsid w:val="007D6DFD"/>
    <w:rsid w:val="007D75F5"/>
    <w:rsid w:val="007E3853"/>
    <w:rsid w:val="007E49B7"/>
    <w:rsid w:val="007E7C95"/>
    <w:rsid w:val="007F0919"/>
    <w:rsid w:val="007F407E"/>
    <w:rsid w:val="007F5F25"/>
    <w:rsid w:val="008001B7"/>
    <w:rsid w:val="00802F62"/>
    <w:rsid w:val="0080432B"/>
    <w:rsid w:val="00806DA1"/>
    <w:rsid w:val="0081032D"/>
    <w:rsid w:val="00814125"/>
    <w:rsid w:val="008216DB"/>
    <w:rsid w:val="0082659D"/>
    <w:rsid w:val="00827808"/>
    <w:rsid w:val="00830BEB"/>
    <w:rsid w:val="00831D92"/>
    <w:rsid w:val="00833C5F"/>
    <w:rsid w:val="00834664"/>
    <w:rsid w:val="00836C71"/>
    <w:rsid w:val="00836F61"/>
    <w:rsid w:val="008433CE"/>
    <w:rsid w:val="008458F6"/>
    <w:rsid w:val="008473A7"/>
    <w:rsid w:val="008513E8"/>
    <w:rsid w:val="008523BA"/>
    <w:rsid w:val="00852A4F"/>
    <w:rsid w:val="00853573"/>
    <w:rsid w:val="0085583A"/>
    <w:rsid w:val="00857819"/>
    <w:rsid w:val="0086153B"/>
    <w:rsid w:val="00863966"/>
    <w:rsid w:val="008639AD"/>
    <w:rsid w:val="0086680E"/>
    <w:rsid w:val="008710E6"/>
    <w:rsid w:val="00871955"/>
    <w:rsid w:val="00884966"/>
    <w:rsid w:val="00886F99"/>
    <w:rsid w:val="00887B51"/>
    <w:rsid w:val="0089172E"/>
    <w:rsid w:val="008917F0"/>
    <w:rsid w:val="008A2220"/>
    <w:rsid w:val="008A5716"/>
    <w:rsid w:val="008A748E"/>
    <w:rsid w:val="008B02E5"/>
    <w:rsid w:val="008B1077"/>
    <w:rsid w:val="008C4133"/>
    <w:rsid w:val="008C6DF8"/>
    <w:rsid w:val="008D0C74"/>
    <w:rsid w:val="008D17A5"/>
    <w:rsid w:val="008D1FED"/>
    <w:rsid w:val="008D2DD3"/>
    <w:rsid w:val="008E0C22"/>
    <w:rsid w:val="008E0D2F"/>
    <w:rsid w:val="008E432C"/>
    <w:rsid w:val="008E483A"/>
    <w:rsid w:val="008F47CD"/>
    <w:rsid w:val="008F6811"/>
    <w:rsid w:val="008F6E80"/>
    <w:rsid w:val="008F6EB7"/>
    <w:rsid w:val="008F7873"/>
    <w:rsid w:val="00900E73"/>
    <w:rsid w:val="00901066"/>
    <w:rsid w:val="00903BED"/>
    <w:rsid w:val="00903DF0"/>
    <w:rsid w:val="0090537D"/>
    <w:rsid w:val="00906823"/>
    <w:rsid w:val="009163C7"/>
    <w:rsid w:val="009215FB"/>
    <w:rsid w:val="00923A16"/>
    <w:rsid w:val="00925A32"/>
    <w:rsid w:val="009263B4"/>
    <w:rsid w:val="0092685D"/>
    <w:rsid w:val="009301F3"/>
    <w:rsid w:val="00931A47"/>
    <w:rsid w:val="00931CB2"/>
    <w:rsid w:val="00932402"/>
    <w:rsid w:val="00932724"/>
    <w:rsid w:val="00932842"/>
    <w:rsid w:val="0093723A"/>
    <w:rsid w:val="00937B43"/>
    <w:rsid w:val="0094367C"/>
    <w:rsid w:val="009441FD"/>
    <w:rsid w:val="00947013"/>
    <w:rsid w:val="009477F8"/>
    <w:rsid w:val="009477F9"/>
    <w:rsid w:val="0095188C"/>
    <w:rsid w:val="00955012"/>
    <w:rsid w:val="00960EB1"/>
    <w:rsid w:val="009670C7"/>
    <w:rsid w:val="0096783E"/>
    <w:rsid w:val="009726F7"/>
    <w:rsid w:val="00973253"/>
    <w:rsid w:val="00973B83"/>
    <w:rsid w:val="0097750F"/>
    <w:rsid w:val="00981A1C"/>
    <w:rsid w:val="00985632"/>
    <w:rsid w:val="00994D96"/>
    <w:rsid w:val="00995E14"/>
    <w:rsid w:val="009A2F58"/>
    <w:rsid w:val="009A52B2"/>
    <w:rsid w:val="009A595D"/>
    <w:rsid w:val="009A654B"/>
    <w:rsid w:val="009B1DB7"/>
    <w:rsid w:val="009B1F7A"/>
    <w:rsid w:val="009B3665"/>
    <w:rsid w:val="009B4A23"/>
    <w:rsid w:val="009C0791"/>
    <w:rsid w:val="009C2661"/>
    <w:rsid w:val="009C35FD"/>
    <w:rsid w:val="009C4373"/>
    <w:rsid w:val="009C46A3"/>
    <w:rsid w:val="009D4041"/>
    <w:rsid w:val="009E0CBD"/>
    <w:rsid w:val="009E5040"/>
    <w:rsid w:val="009F048C"/>
    <w:rsid w:val="009F2EF0"/>
    <w:rsid w:val="009F33B7"/>
    <w:rsid w:val="00A02AD1"/>
    <w:rsid w:val="00A07483"/>
    <w:rsid w:val="00A07EC2"/>
    <w:rsid w:val="00A127D2"/>
    <w:rsid w:val="00A14632"/>
    <w:rsid w:val="00A1541D"/>
    <w:rsid w:val="00A167AB"/>
    <w:rsid w:val="00A174F4"/>
    <w:rsid w:val="00A25D1B"/>
    <w:rsid w:val="00A262C8"/>
    <w:rsid w:val="00A35DE8"/>
    <w:rsid w:val="00A4005E"/>
    <w:rsid w:val="00A44452"/>
    <w:rsid w:val="00A52761"/>
    <w:rsid w:val="00A530C6"/>
    <w:rsid w:val="00A531F2"/>
    <w:rsid w:val="00A54E95"/>
    <w:rsid w:val="00A568D9"/>
    <w:rsid w:val="00A56FD6"/>
    <w:rsid w:val="00A57F8F"/>
    <w:rsid w:val="00A60535"/>
    <w:rsid w:val="00A61862"/>
    <w:rsid w:val="00A6557E"/>
    <w:rsid w:val="00A7100B"/>
    <w:rsid w:val="00A743C7"/>
    <w:rsid w:val="00A7530C"/>
    <w:rsid w:val="00A7576C"/>
    <w:rsid w:val="00A82991"/>
    <w:rsid w:val="00A82CD2"/>
    <w:rsid w:val="00A8354E"/>
    <w:rsid w:val="00A83664"/>
    <w:rsid w:val="00A8427B"/>
    <w:rsid w:val="00A92E36"/>
    <w:rsid w:val="00A97E65"/>
    <w:rsid w:val="00A97FA9"/>
    <w:rsid w:val="00AA100C"/>
    <w:rsid w:val="00AA1C89"/>
    <w:rsid w:val="00AA48DD"/>
    <w:rsid w:val="00AA4B23"/>
    <w:rsid w:val="00AA6B8B"/>
    <w:rsid w:val="00AA7717"/>
    <w:rsid w:val="00AA797D"/>
    <w:rsid w:val="00AA7C46"/>
    <w:rsid w:val="00AB308C"/>
    <w:rsid w:val="00AC5DE9"/>
    <w:rsid w:val="00AD2D82"/>
    <w:rsid w:val="00AD51FD"/>
    <w:rsid w:val="00AD6B80"/>
    <w:rsid w:val="00AE14D3"/>
    <w:rsid w:val="00AE7FB8"/>
    <w:rsid w:val="00AF49B5"/>
    <w:rsid w:val="00B0258D"/>
    <w:rsid w:val="00B05870"/>
    <w:rsid w:val="00B1058C"/>
    <w:rsid w:val="00B13E3E"/>
    <w:rsid w:val="00B14DB0"/>
    <w:rsid w:val="00B16638"/>
    <w:rsid w:val="00B22F23"/>
    <w:rsid w:val="00B24B49"/>
    <w:rsid w:val="00B25477"/>
    <w:rsid w:val="00B259EB"/>
    <w:rsid w:val="00B26436"/>
    <w:rsid w:val="00B2722B"/>
    <w:rsid w:val="00B27658"/>
    <w:rsid w:val="00B32E9A"/>
    <w:rsid w:val="00B35B37"/>
    <w:rsid w:val="00B4105C"/>
    <w:rsid w:val="00B44B55"/>
    <w:rsid w:val="00B44E5C"/>
    <w:rsid w:val="00B50717"/>
    <w:rsid w:val="00B55A0E"/>
    <w:rsid w:val="00B60410"/>
    <w:rsid w:val="00B63634"/>
    <w:rsid w:val="00B64293"/>
    <w:rsid w:val="00B672E0"/>
    <w:rsid w:val="00B74982"/>
    <w:rsid w:val="00B76630"/>
    <w:rsid w:val="00B82FFE"/>
    <w:rsid w:val="00B83BB8"/>
    <w:rsid w:val="00B952F9"/>
    <w:rsid w:val="00BA272B"/>
    <w:rsid w:val="00BA584D"/>
    <w:rsid w:val="00BA7152"/>
    <w:rsid w:val="00BA7726"/>
    <w:rsid w:val="00BB1F4C"/>
    <w:rsid w:val="00BB4E49"/>
    <w:rsid w:val="00BB5326"/>
    <w:rsid w:val="00BB5C93"/>
    <w:rsid w:val="00BB6022"/>
    <w:rsid w:val="00BB61C8"/>
    <w:rsid w:val="00BB73C0"/>
    <w:rsid w:val="00BB73D8"/>
    <w:rsid w:val="00BC067A"/>
    <w:rsid w:val="00BC1910"/>
    <w:rsid w:val="00BC3A4B"/>
    <w:rsid w:val="00BC3B36"/>
    <w:rsid w:val="00BC4A2D"/>
    <w:rsid w:val="00BC50AF"/>
    <w:rsid w:val="00BC6B7B"/>
    <w:rsid w:val="00BC70E4"/>
    <w:rsid w:val="00BD076C"/>
    <w:rsid w:val="00BD3B2A"/>
    <w:rsid w:val="00BE0237"/>
    <w:rsid w:val="00BE3C1C"/>
    <w:rsid w:val="00BE5F14"/>
    <w:rsid w:val="00BE6C7E"/>
    <w:rsid w:val="00BF2567"/>
    <w:rsid w:val="00BF3480"/>
    <w:rsid w:val="00BF439D"/>
    <w:rsid w:val="00BF62FB"/>
    <w:rsid w:val="00C00D82"/>
    <w:rsid w:val="00C026FD"/>
    <w:rsid w:val="00C05D78"/>
    <w:rsid w:val="00C06643"/>
    <w:rsid w:val="00C075E2"/>
    <w:rsid w:val="00C07904"/>
    <w:rsid w:val="00C13276"/>
    <w:rsid w:val="00C15C6D"/>
    <w:rsid w:val="00C2255E"/>
    <w:rsid w:val="00C22CDC"/>
    <w:rsid w:val="00C22CEF"/>
    <w:rsid w:val="00C27852"/>
    <w:rsid w:val="00C31B57"/>
    <w:rsid w:val="00C33506"/>
    <w:rsid w:val="00C336A5"/>
    <w:rsid w:val="00C33819"/>
    <w:rsid w:val="00C360DB"/>
    <w:rsid w:val="00C37A26"/>
    <w:rsid w:val="00C449A0"/>
    <w:rsid w:val="00C45E6F"/>
    <w:rsid w:val="00C467A5"/>
    <w:rsid w:val="00C51A91"/>
    <w:rsid w:val="00C52BDF"/>
    <w:rsid w:val="00C55D3B"/>
    <w:rsid w:val="00C60DF6"/>
    <w:rsid w:val="00C63782"/>
    <w:rsid w:val="00C643B1"/>
    <w:rsid w:val="00C66F2E"/>
    <w:rsid w:val="00C7199E"/>
    <w:rsid w:val="00C71A77"/>
    <w:rsid w:val="00C72B8C"/>
    <w:rsid w:val="00C72BBB"/>
    <w:rsid w:val="00C738B5"/>
    <w:rsid w:val="00C76E7A"/>
    <w:rsid w:val="00C7785B"/>
    <w:rsid w:val="00C80290"/>
    <w:rsid w:val="00C8220C"/>
    <w:rsid w:val="00C82EF6"/>
    <w:rsid w:val="00C91C78"/>
    <w:rsid w:val="00CA0F76"/>
    <w:rsid w:val="00CA221C"/>
    <w:rsid w:val="00CA2499"/>
    <w:rsid w:val="00CB1435"/>
    <w:rsid w:val="00CB2272"/>
    <w:rsid w:val="00CB2AEA"/>
    <w:rsid w:val="00CC71A3"/>
    <w:rsid w:val="00CC75FA"/>
    <w:rsid w:val="00CC7B2D"/>
    <w:rsid w:val="00CD5A0D"/>
    <w:rsid w:val="00CD6686"/>
    <w:rsid w:val="00CD7425"/>
    <w:rsid w:val="00CE1EFA"/>
    <w:rsid w:val="00CE3500"/>
    <w:rsid w:val="00CE4030"/>
    <w:rsid w:val="00CE4086"/>
    <w:rsid w:val="00CF35C6"/>
    <w:rsid w:val="00CF5A20"/>
    <w:rsid w:val="00D00A67"/>
    <w:rsid w:val="00D06541"/>
    <w:rsid w:val="00D07CF4"/>
    <w:rsid w:val="00D10D94"/>
    <w:rsid w:val="00D1119B"/>
    <w:rsid w:val="00D11D98"/>
    <w:rsid w:val="00D123A4"/>
    <w:rsid w:val="00D12CC0"/>
    <w:rsid w:val="00D12D96"/>
    <w:rsid w:val="00D226AF"/>
    <w:rsid w:val="00D24B75"/>
    <w:rsid w:val="00D24C30"/>
    <w:rsid w:val="00D25610"/>
    <w:rsid w:val="00D26146"/>
    <w:rsid w:val="00D265DB"/>
    <w:rsid w:val="00D26F4D"/>
    <w:rsid w:val="00D33123"/>
    <w:rsid w:val="00D33F0B"/>
    <w:rsid w:val="00D40D91"/>
    <w:rsid w:val="00D414FF"/>
    <w:rsid w:val="00D42E83"/>
    <w:rsid w:val="00D45567"/>
    <w:rsid w:val="00D465C8"/>
    <w:rsid w:val="00D54D4A"/>
    <w:rsid w:val="00D55D6B"/>
    <w:rsid w:val="00D64103"/>
    <w:rsid w:val="00D65161"/>
    <w:rsid w:val="00D6551A"/>
    <w:rsid w:val="00D71FF3"/>
    <w:rsid w:val="00D73FC9"/>
    <w:rsid w:val="00D75FAD"/>
    <w:rsid w:val="00D7627B"/>
    <w:rsid w:val="00D7761A"/>
    <w:rsid w:val="00D83383"/>
    <w:rsid w:val="00D847B0"/>
    <w:rsid w:val="00D85347"/>
    <w:rsid w:val="00D868C2"/>
    <w:rsid w:val="00D87343"/>
    <w:rsid w:val="00D93D84"/>
    <w:rsid w:val="00D967E4"/>
    <w:rsid w:val="00D977FF"/>
    <w:rsid w:val="00DA2143"/>
    <w:rsid w:val="00DA2940"/>
    <w:rsid w:val="00DA4D68"/>
    <w:rsid w:val="00DA7B13"/>
    <w:rsid w:val="00DB520F"/>
    <w:rsid w:val="00DB53B8"/>
    <w:rsid w:val="00DB6F3C"/>
    <w:rsid w:val="00DC0953"/>
    <w:rsid w:val="00DC2583"/>
    <w:rsid w:val="00DC38D1"/>
    <w:rsid w:val="00DD3B17"/>
    <w:rsid w:val="00DD4749"/>
    <w:rsid w:val="00DD53FD"/>
    <w:rsid w:val="00DD6ABB"/>
    <w:rsid w:val="00DE49B4"/>
    <w:rsid w:val="00DE5457"/>
    <w:rsid w:val="00DE7F05"/>
    <w:rsid w:val="00DF31A9"/>
    <w:rsid w:val="00E01D93"/>
    <w:rsid w:val="00E03748"/>
    <w:rsid w:val="00E06026"/>
    <w:rsid w:val="00E065A1"/>
    <w:rsid w:val="00E11FAC"/>
    <w:rsid w:val="00E12FAB"/>
    <w:rsid w:val="00E1546C"/>
    <w:rsid w:val="00E20BE9"/>
    <w:rsid w:val="00E20E0F"/>
    <w:rsid w:val="00E22001"/>
    <w:rsid w:val="00E2261B"/>
    <w:rsid w:val="00E2366F"/>
    <w:rsid w:val="00E32DEA"/>
    <w:rsid w:val="00E36006"/>
    <w:rsid w:val="00E36C05"/>
    <w:rsid w:val="00E373A9"/>
    <w:rsid w:val="00E424C4"/>
    <w:rsid w:val="00E42B02"/>
    <w:rsid w:val="00E438D6"/>
    <w:rsid w:val="00E45511"/>
    <w:rsid w:val="00E504CD"/>
    <w:rsid w:val="00E50667"/>
    <w:rsid w:val="00E57836"/>
    <w:rsid w:val="00E60DE4"/>
    <w:rsid w:val="00E642CC"/>
    <w:rsid w:val="00E64458"/>
    <w:rsid w:val="00E665B5"/>
    <w:rsid w:val="00E70A16"/>
    <w:rsid w:val="00E70D31"/>
    <w:rsid w:val="00E74B1A"/>
    <w:rsid w:val="00E812DF"/>
    <w:rsid w:val="00E813C6"/>
    <w:rsid w:val="00E81A1A"/>
    <w:rsid w:val="00E851AD"/>
    <w:rsid w:val="00E90327"/>
    <w:rsid w:val="00E90479"/>
    <w:rsid w:val="00E93BED"/>
    <w:rsid w:val="00E94AB3"/>
    <w:rsid w:val="00E9546D"/>
    <w:rsid w:val="00EA03C1"/>
    <w:rsid w:val="00EA3E90"/>
    <w:rsid w:val="00EA7F12"/>
    <w:rsid w:val="00EA7F83"/>
    <w:rsid w:val="00EB140D"/>
    <w:rsid w:val="00EB3125"/>
    <w:rsid w:val="00EB3548"/>
    <w:rsid w:val="00EB3A4D"/>
    <w:rsid w:val="00EB6DAC"/>
    <w:rsid w:val="00EC27FD"/>
    <w:rsid w:val="00EC37EB"/>
    <w:rsid w:val="00EC4577"/>
    <w:rsid w:val="00EC57AC"/>
    <w:rsid w:val="00EC5E43"/>
    <w:rsid w:val="00EC72AB"/>
    <w:rsid w:val="00ED4D07"/>
    <w:rsid w:val="00EE501D"/>
    <w:rsid w:val="00EE5DBF"/>
    <w:rsid w:val="00EE5DF7"/>
    <w:rsid w:val="00EF211E"/>
    <w:rsid w:val="00EF53A1"/>
    <w:rsid w:val="00EF5931"/>
    <w:rsid w:val="00F015DF"/>
    <w:rsid w:val="00F14A77"/>
    <w:rsid w:val="00F2074F"/>
    <w:rsid w:val="00F20870"/>
    <w:rsid w:val="00F218B3"/>
    <w:rsid w:val="00F21A2D"/>
    <w:rsid w:val="00F21B4A"/>
    <w:rsid w:val="00F21D89"/>
    <w:rsid w:val="00F271BA"/>
    <w:rsid w:val="00F30BC3"/>
    <w:rsid w:val="00F34C63"/>
    <w:rsid w:val="00F369BE"/>
    <w:rsid w:val="00F36E75"/>
    <w:rsid w:val="00F4235E"/>
    <w:rsid w:val="00F43862"/>
    <w:rsid w:val="00F43EE7"/>
    <w:rsid w:val="00F43F1B"/>
    <w:rsid w:val="00F50B61"/>
    <w:rsid w:val="00F51978"/>
    <w:rsid w:val="00F53520"/>
    <w:rsid w:val="00F54E38"/>
    <w:rsid w:val="00F75DDB"/>
    <w:rsid w:val="00F822E4"/>
    <w:rsid w:val="00F84675"/>
    <w:rsid w:val="00F8474E"/>
    <w:rsid w:val="00F856DA"/>
    <w:rsid w:val="00F8612E"/>
    <w:rsid w:val="00F87D6C"/>
    <w:rsid w:val="00F95CEA"/>
    <w:rsid w:val="00FA138B"/>
    <w:rsid w:val="00FA1B5E"/>
    <w:rsid w:val="00FA22DB"/>
    <w:rsid w:val="00FA2430"/>
    <w:rsid w:val="00FA38B6"/>
    <w:rsid w:val="00FA5145"/>
    <w:rsid w:val="00FA53F9"/>
    <w:rsid w:val="00FA661A"/>
    <w:rsid w:val="00FB2EF4"/>
    <w:rsid w:val="00FB4AF7"/>
    <w:rsid w:val="00FB5F08"/>
    <w:rsid w:val="00FB73B2"/>
    <w:rsid w:val="00FB74DA"/>
    <w:rsid w:val="00FC4810"/>
    <w:rsid w:val="00FC6625"/>
    <w:rsid w:val="00FC6E74"/>
    <w:rsid w:val="00FC762E"/>
    <w:rsid w:val="00FD37A5"/>
    <w:rsid w:val="00FD735A"/>
    <w:rsid w:val="00FE2F41"/>
    <w:rsid w:val="00FF0BD0"/>
    <w:rsid w:val="00FF1A14"/>
    <w:rsid w:val="03156B27"/>
    <w:rsid w:val="257E33D4"/>
    <w:rsid w:val="2AEE51CD"/>
    <w:rsid w:val="39CF1386"/>
    <w:rsid w:val="3CD66177"/>
    <w:rsid w:val="412A7A49"/>
    <w:rsid w:val="529B076D"/>
    <w:rsid w:val="5FBA20EE"/>
    <w:rsid w:val="6A314397"/>
    <w:rsid w:val="76923E1C"/>
    <w:rsid w:val="7A79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32"/>
      <w:szCs w:val="44"/>
    </w:rPr>
  </w:style>
  <w:style w:type="paragraph" w:styleId="5">
    <w:name w:val="heading 2"/>
    <w:basedOn w:val="1"/>
    <w:next w:val="1"/>
    <w:link w:val="27"/>
    <w:qFormat/>
    <w:uiPriority w:val="9"/>
    <w:pPr>
      <w:keepNext/>
      <w:keepLines/>
      <w:spacing w:before="260" w:after="260" w:line="416" w:lineRule="auto"/>
      <w:outlineLvl w:val="1"/>
    </w:pPr>
    <w:rPr>
      <w:rFonts w:ascii="Arial" w:hAnsi="Arial" w:eastAsia="黑体" w:cs="Times New Roman"/>
      <w:b/>
      <w:bCs/>
      <w:kern w:val="0"/>
      <w:sz w:val="32"/>
      <w:szCs w:val="32"/>
    </w:rPr>
  </w:style>
  <w:style w:type="paragraph" w:styleId="6">
    <w:name w:val="heading 3"/>
    <w:basedOn w:val="1"/>
    <w:next w:val="1"/>
    <w:link w:val="28"/>
    <w:qFormat/>
    <w:uiPriority w:val="99"/>
    <w:pPr>
      <w:keepNext/>
      <w:keepLines/>
      <w:spacing w:before="260" w:after="260" w:line="416" w:lineRule="auto"/>
      <w:outlineLvl w:val="2"/>
    </w:pPr>
    <w:rPr>
      <w:rFonts w:ascii="Times New Roman" w:hAnsi="Times New Roman" w:eastAsia="宋体" w:cs="Times New Roman"/>
      <w:b/>
      <w:bCs/>
      <w:kern w:val="0"/>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rFonts w:ascii="Calibri" w:hAnsi="Calibri" w:eastAsia="宋体"/>
      <w:sz w:val="21"/>
      <w:szCs w:val="22"/>
    </w:rPr>
  </w:style>
  <w:style w:type="paragraph" w:styleId="3">
    <w:name w:val="Body Text Indent"/>
    <w:basedOn w:val="1"/>
    <w:link w:val="38"/>
    <w:qFormat/>
    <w:uiPriority w:val="0"/>
    <w:pPr>
      <w:ind w:left="765"/>
    </w:pPr>
    <w:rPr>
      <w:rFonts w:ascii="仿宋_GB2312" w:hAnsi="Times New Roman" w:eastAsia="仿宋_GB2312" w:cs="Times New Roman"/>
      <w:sz w:val="28"/>
      <w:szCs w:val="20"/>
    </w:rPr>
  </w:style>
  <w:style w:type="paragraph" w:styleId="7">
    <w:name w:val="Normal Indent"/>
    <w:basedOn w:val="1"/>
    <w:link w:val="37"/>
    <w:qFormat/>
    <w:uiPriority w:val="0"/>
    <w:pPr>
      <w:ind w:firstLine="420"/>
    </w:pPr>
    <w:rPr>
      <w:rFonts w:ascii="Times New Roman" w:hAnsi="Times New Roman" w:eastAsia="宋体" w:cs="Times New Roman"/>
      <w:kern w:val="0"/>
      <w:sz w:val="20"/>
      <w:szCs w:val="20"/>
    </w:rPr>
  </w:style>
  <w:style w:type="paragraph" w:styleId="8">
    <w:name w:val="Document Map"/>
    <w:basedOn w:val="1"/>
    <w:link w:val="59"/>
    <w:semiHidden/>
    <w:unhideWhenUsed/>
    <w:qFormat/>
    <w:uiPriority w:val="99"/>
    <w:rPr>
      <w:rFonts w:ascii="宋体" w:eastAsia="宋体"/>
      <w:sz w:val="18"/>
      <w:szCs w:val="18"/>
    </w:rPr>
  </w:style>
  <w:style w:type="paragraph" w:styleId="9">
    <w:name w:val="annotation text"/>
    <w:basedOn w:val="1"/>
    <w:link w:val="49"/>
    <w:semiHidden/>
    <w:unhideWhenUsed/>
    <w:qFormat/>
    <w:uiPriority w:val="99"/>
    <w:pPr>
      <w:jc w:val="left"/>
    </w:pPr>
    <w:rPr>
      <w:rFonts w:ascii="Times New Roman" w:hAnsi="Times New Roman" w:eastAsia="宋体" w:cs="Times New Roman"/>
      <w:szCs w:val="24"/>
    </w:rPr>
  </w:style>
  <w:style w:type="paragraph" w:styleId="10">
    <w:name w:val="Body Text"/>
    <w:basedOn w:val="1"/>
    <w:link w:val="61"/>
    <w:semiHidden/>
    <w:unhideWhenUsed/>
    <w:qFormat/>
    <w:uiPriority w:val="99"/>
    <w:pPr>
      <w:spacing w:after="120"/>
    </w:pPr>
  </w:style>
  <w:style w:type="paragraph" w:styleId="11">
    <w:name w:val="toc 3"/>
    <w:basedOn w:val="1"/>
    <w:next w:val="1"/>
    <w:semiHidden/>
    <w:unhideWhenUsed/>
    <w:qFormat/>
    <w:uiPriority w:val="39"/>
    <w:pPr>
      <w:widowControl/>
      <w:spacing w:after="100" w:line="276" w:lineRule="auto"/>
      <w:ind w:left="440"/>
      <w:jc w:val="left"/>
    </w:pPr>
    <w:rPr>
      <w:kern w:val="0"/>
      <w:sz w:val="22"/>
    </w:rPr>
  </w:style>
  <w:style w:type="paragraph" w:styleId="12">
    <w:name w:val="Plain Text"/>
    <w:basedOn w:val="1"/>
    <w:link w:val="46"/>
    <w:qFormat/>
    <w:uiPriority w:val="0"/>
    <w:rPr>
      <w:rFonts w:ascii="宋体" w:hAnsi="Courier New" w:eastAsia="宋体" w:cs="Times New Roman"/>
      <w:szCs w:val="20"/>
    </w:rPr>
  </w:style>
  <w:style w:type="paragraph" w:styleId="13">
    <w:name w:val="Date"/>
    <w:basedOn w:val="1"/>
    <w:next w:val="1"/>
    <w:link w:val="35"/>
    <w:qFormat/>
    <w:uiPriority w:val="0"/>
    <w:rPr>
      <w:rFonts w:ascii="Times New Roman" w:hAnsi="Times New Roman"/>
      <w:sz w:val="24"/>
    </w:rPr>
  </w:style>
  <w:style w:type="paragraph" w:styleId="14">
    <w:name w:val="Body Text Indent 2"/>
    <w:basedOn w:val="1"/>
    <w:link w:val="45"/>
    <w:semiHidden/>
    <w:unhideWhenUsed/>
    <w:qFormat/>
    <w:uiPriority w:val="99"/>
    <w:pPr>
      <w:spacing w:after="120" w:line="480" w:lineRule="auto"/>
      <w:ind w:left="420" w:leftChars="200"/>
    </w:pPr>
  </w:style>
  <w:style w:type="paragraph" w:styleId="15">
    <w:name w:val="Balloon Text"/>
    <w:basedOn w:val="1"/>
    <w:link w:val="50"/>
    <w:semiHidden/>
    <w:unhideWhenUsed/>
    <w:qFormat/>
    <w:uiPriority w:val="99"/>
    <w:rPr>
      <w:sz w:val="18"/>
      <w:szCs w:val="18"/>
    </w:rPr>
  </w:style>
  <w:style w:type="paragraph" w:styleId="16">
    <w:name w:val="footer"/>
    <w:basedOn w:val="1"/>
    <w:link w:val="48"/>
    <w:unhideWhenUsed/>
    <w:qFormat/>
    <w:uiPriority w:val="99"/>
    <w:pPr>
      <w:tabs>
        <w:tab w:val="center" w:pos="4153"/>
        <w:tab w:val="right" w:pos="8306"/>
      </w:tabs>
      <w:snapToGrid w:val="0"/>
      <w:jc w:val="left"/>
    </w:pPr>
    <w:rPr>
      <w:sz w:val="18"/>
      <w:szCs w:val="18"/>
    </w:rPr>
  </w:style>
  <w:style w:type="paragraph" w:styleId="17">
    <w:name w:val="header"/>
    <w:basedOn w:val="1"/>
    <w:link w:val="4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rPr>
      <w:rFonts w:ascii="Times New Roman" w:hAnsi="Times New Roman" w:eastAsia="宋体" w:cs="Times New Roman"/>
      <w:szCs w:val="24"/>
    </w:rPr>
  </w:style>
  <w:style w:type="paragraph" w:styleId="19">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themeColor="followedHyperlink"/>
      <w:u w:val="single"/>
    </w:rPr>
  </w:style>
  <w:style w:type="character" w:styleId="25">
    <w:name w:val="Hyperlink"/>
    <w:basedOn w:val="22"/>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标题 2 Char"/>
    <w:basedOn w:val="22"/>
    <w:link w:val="5"/>
    <w:qFormat/>
    <w:uiPriority w:val="9"/>
    <w:rPr>
      <w:rFonts w:ascii="Arial" w:hAnsi="Arial" w:eastAsia="黑体" w:cs="Times New Roman"/>
      <w:b/>
      <w:bCs/>
      <w:kern w:val="0"/>
      <w:sz w:val="32"/>
      <w:szCs w:val="32"/>
    </w:rPr>
  </w:style>
  <w:style w:type="character" w:customStyle="1" w:styleId="28">
    <w:name w:val="标题 3 Char"/>
    <w:basedOn w:val="22"/>
    <w:link w:val="6"/>
    <w:qFormat/>
    <w:uiPriority w:val="99"/>
    <w:rPr>
      <w:rFonts w:ascii="Times New Roman" w:hAnsi="Times New Roman" w:eastAsia="宋体" w:cs="Times New Roman"/>
      <w:b/>
      <w:bCs/>
      <w:kern w:val="0"/>
      <w:sz w:val="32"/>
      <w:szCs w:val="32"/>
    </w:rPr>
  </w:style>
  <w:style w:type="character" w:customStyle="1" w:styleId="29">
    <w:name w:val="正文缩进2格 Char"/>
    <w:link w:val="30"/>
    <w:qFormat/>
    <w:locked/>
    <w:uiPriority w:val="0"/>
    <w:rPr>
      <w:rFonts w:ascii="仿宋_GB2312" w:hAnsi="宋体" w:eastAsia="仿宋_GB2312"/>
      <w:sz w:val="28"/>
    </w:rPr>
  </w:style>
  <w:style w:type="paragraph" w:customStyle="1" w:styleId="30">
    <w:name w:val="正文缩进2格"/>
    <w:basedOn w:val="1"/>
    <w:link w:val="29"/>
    <w:qFormat/>
    <w:uiPriority w:val="0"/>
    <w:pPr>
      <w:spacing w:line="600" w:lineRule="exact"/>
      <w:ind w:firstLine="639" w:firstLineChars="206"/>
    </w:pPr>
    <w:rPr>
      <w:rFonts w:ascii="仿宋_GB2312" w:hAnsi="宋体" w:eastAsia="仿宋_GB2312"/>
      <w:sz w:val="28"/>
    </w:rPr>
  </w:style>
  <w:style w:type="character" w:customStyle="1" w:styleId="31">
    <w:name w:val="标题 1 Char"/>
    <w:basedOn w:val="22"/>
    <w:link w:val="4"/>
    <w:qFormat/>
    <w:uiPriority w:val="9"/>
    <w:rPr>
      <w:b/>
      <w:bCs/>
      <w:kern w:val="44"/>
      <w:sz w:val="32"/>
      <w:szCs w:val="44"/>
    </w:rPr>
  </w:style>
  <w:style w:type="paragraph" w:styleId="32">
    <w:name w:val="List Paragraph"/>
    <w:basedOn w:val="1"/>
    <w:qFormat/>
    <w:uiPriority w:val="34"/>
    <w:pPr>
      <w:ind w:firstLine="420" w:firstLineChars="200"/>
    </w:pPr>
  </w:style>
  <w:style w:type="paragraph" w:customStyle="1" w:styleId="33">
    <w:name w:val="A 样式 正文"/>
    <w:basedOn w:val="1"/>
    <w:link w:val="34"/>
    <w:qFormat/>
    <w:uiPriority w:val="0"/>
    <w:pPr>
      <w:spacing w:line="360" w:lineRule="auto"/>
      <w:ind w:firstLine="480" w:firstLineChars="200"/>
    </w:pPr>
    <w:rPr>
      <w:rFonts w:ascii="宋体" w:hAnsi="宋体" w:eastAsia="宋体" w:cs="宋体"/>
      <w:sz w:val="24"/>
      <w:szCs w:val="20"/>
    </w:rPr>
  </w:style>
  <w:style w:type="character" w:customStyle="1" w:styleId="34">
    <w:name w:val="A 样式 正文 Char"/>
    <w:link w:val="33"/>
    <w:qFormat/>
    <w:uiPriority w:val="0"/>
    <w:rPr>
      <w:rFonts w:ascii="宋体" w:hAnsi="宋体" w:eastAsia="宋体" w:cs="宋体"/>
      <w:sz w:val="24"/>
      <w:szCs w:val="20"/>
    </w:rPr>
  </w:style>
  <w:style w:type="character" w:customStyle="1" w:styleId="35">
    <w:name w:val="日期 Char"/>
    <w:link w:val="13"/>
    <w:qFormat/>
    <w:uiPriority w:val="0"/>
    <w:rPr>
      <w:rFonts w:ascii="Times New Roman" w:hAnsi="Times New Roman"/>
      <w:sz w:val="24"/>
    </w:rPr>
  </w:style>
  <w:style w:type="character" w:customStyle="1" w:styleId="36">
    <w:name w:val="日期 Char1"/>
    <w:basedOn w:val="22"/>
    <w:semiHidden/>
    <w:qFormat/>
    <w:uiPriority w:val="99"/>
  </w:style>
  <w:style w:type="character" w:customStyle="1" w:styleId="37">
    <w:name w:val="正文缩进 Char"/>
    <w:link w:val="7"/>
    <w:qFormat/>
    <w:uiPriority w:val="0"/>
    <w:rPr>
      <w:rFonts w:ascii="Times New Roman" w:hAnsi="Times New Roman" w:eastAsia="宋体" w:cs="Times New Roman"/>
      <w:kern w:val="0"/>
      <w:sz w:val="20"/>
      <w:szCs w:val="20"/>
    </w:rPr>
  </w:style>
  <w:style w:type="character" w:customStyle="1" w:styleId="38">
    <w:name w:val="正文文本缩进 Char"/>
    <w:basedOn w:val="22"/>
    <w:link w:val="3"/>
    <w:qFormat/>
    <w:uiPriority w:val="0"/>
    <w:rPr>
      <w:rFonts w:ascii="仿宋_GB2312" w:hAnsi="Times New Roman" w:eastAsia="仿宋_GB2312" w:cs="Times New Roman"/>
      <w:sz w:val="28"/>
      <w:szCs w:val="20"/>
    </w:rPr>
  </w:style>
  <w:style w:type="paragraph" w:customStyle="1" w:styleId="39">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msonormalcxspla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2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2cxspla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正文缩进4格"/>
    <w:basedOn w:val="30"/>
    <w:qFormat/>
    <w:uiPriority w:val="0"/>
    <w:pPr>
      <w:ind w:left="2" w:firstLine="538" w:firstLineChars="192"/>
    </w:pPr>
    <w:rPr>
      <w:rFonts w:cs="Times New Roman"/>
      <w:color w:val="0000FF"/>
      <w:szCs w:val="28"/>
    </w:rPr>
  </w:style>
  <w:style w:type="paragraph" w:customStyle="1" w:styleId="44">
    <w:name w:val="正文缩进6格"/>
    <w:basedOn w:val="43"/>
    <w:qFormat/>
    <w:uiPriority w:val="0"/>
    <w:pPr>
      <w:ind w:left="1758" w:leftChars="854"/>
    </w:pPr>
  </w:style>
  <w:style w:type="character" w:customStyle="1" w:styleId="45">
    <w:name w:val="正文文本缩进 2 Char"/>
    <w:basedOn w:val="22"/>
    <w:link w:val="14"/>
    <w:semiHidden/>
    <w:qFormat/>
    <w:uiPriority w:val="99"/>
  </w:style>
  <w:style w:type="character" w:customStyle="1" w:styleId="46">
    <w:name w:val="纯文本 Char"/>
    <w:basedOn w:val="22"/>
    <w:link w:val="12"/>
    <w:qFormat/>
    <w:uiPriority w:val="0"/>
    <w:rPr>
      <w:rFonts w:ascii="宋体" w:hAnsi="Courier New" w:eastAsia="宋体" w:cs="Times New Roman"/>
      <w:szCs w:val="20"/>
    </w:rPr>
  </w:style>
  <w:style w:type="character" w:customStyle="1" w:styleId="47">
    <w:name w:val="页眉 Char"/>
    <w:basedOn w:val="22"/>
    <w:link w:val="17"/>
    <w:semiHidden/>
    <w:qFormat/>
    <w:uiPriority w:val="99"/>
    <w:rPr>
      <w:sz w:val="18"/>
      <w:szCs w:val="18"/>
    </w:rPr>
  </w:style>
  <w:style w:type="character" w:customStyle="1" w:styleId="48">
    <w:name w:val="页脚 Char"/>
    <w:basedOn w:val="22"/>
    <w:link w:val="16"/>
    <w:qFormat/>
    <w:uiPriority w:val="99"/>
    <w:rPr>
      <w:sz w:val="18"/>
      <w:szCs w:val="18"/>
    </w:rPr>
  </w:style>
  <w:style w:type="character" w:customStyle="1" w:styleId="49">
    <w:name w:val="批注文字 Char"/>
    <w:basedOn w:val="22"/>
    <w:link w:val="9"/>
    <w:semiHidden/>
    <w:qFormat/>
    <w:uiPriority w:val="99"/>
    <w:rPr>
      <w:rFonts w:ascii="Times New Roman" w:hAnsi="Times New Roman" w:eastAsia="宋体" w:cs="Times New Roman"/>
      <w:szCs w:val="24"/>
    </w:rPr>
  </w:style>
  <w:style w:type="character" w:customStyle="1" w:styleId="50">
    <w:name w:val="批注框文本 Char"/>
    <w:basedOn w:val="22"/>
    <w:link w:val="15"/>
    <w:semiHidden/>
    <w:qFormat/>
    <w:uiPriority w:val="99"/>
    <w:rPr>
      <w:sz w:val="18"/>
      <w:szCs w:val="18"/>
    </w:rPr>
  </w:style>
  <w:style w:type="paragraph" w:customStyle="1" w:styleId="51">
    <w:name w:val="DL001"/>
    <w:basedOn w:val="1"/>
    <w:qFormat/>
    <w:uiPriority w:val="0"/>
    <w:pPr>
      <w:numPr>
        <w:ilvl w:val="0"/>
        <w:numId w:val="1"/>
      </w:numPr>
      <w:tabs>
        <w:tab w:val="left" w:pos="936"/>
      </w:tabs>
      <w:spacing w:line="360" w:lineRule="auto"/>
      <w:ind w:left="936"/>
      <w:jc w:val="center"/>
      <w:outlineLvl w:val="0"/>
    </w:pPr>
    <w:rPr>
      <w:rFonts w:ascii="Calibri" w:hAnsi="Calibri" w:eastAsia="宋体" w:cs="Times New Roman"/>
      <w:b/>
      <w:sz w:val="32"/>
      <w:szCs w:val="32"/>
    </w:rPr>
  </w:style>
  <w:style w:type="paragraph" w:customStyle="1" w:styleId="52">
    <w:name w:val="DL002"/>
    <w:basedOn w:val="1"/>
    <w:qFormat/>
    <w:uiPriority w:val="0"/>
    <w:pPr>
      <w:numPr>
        <w:ilvl w:val="1"/>
        <w:numId w:val="1"/>
      </w:numPr>
      <w:autoSpaceDE w:val="0"/>
      <w:autoSpaceDN w:val="0"/>
      <w:adjustRightInd w:val="0"/>
      <w:spacing w:line="360" w:lineRule="auto"/>
      <w:ind w:firstLine="200" w:firstLineChars="200"/>
      <w:outlineLvl w:val="1"/>
    </w:pPr>
    <w:rPr>
      <w:rFonts w:ascii="宋体" w:hAnsi="宋体" w:eastAsia="宋体" w:cs="宋体"/>
      <w:b/>
      <w:sz w:val="30"/>
      <w:szCs w:val="30"/>
      <w:lang w:val="zh-CN"/>
    </w:rPr>
  </w:style>
  <w:style w:type="paragraph" w:customStyle="1" w:styleId="53">
    <w:name w:val="DL003"/>
    <w:basedOn w:val="1"/>
    <w:qFormat/>
    <w:uiPriority w:val="0"/>
    <w:pPr>
      <w:numPr>
        <w:ilvl w:val="2"/>
        <w:numId w:val="1"/>
      </w:numPr>
      <w:tabs>
        <w:tab w:val="left" w:pos="936"/>
      </w:tabs>
      <w:spacing w:line="360" w:lineRule="auto"/>
      <w:ind w:left="936" w:hanging="511" w:firstLineChars="200"/>
      <w:outlineLvl w:val="2"/>
    </w:pPr>
    <w:rPr>
      <w:rFonts w:ascii="Calibri" w:hAnsi="Calibri" w:eastAsia="宋体" w:cs="Times New Roman"/>
      <w:b/>
      <w:sz w:val="28"/>
      <w:szCs w:val="28"/>
    </w:rPr>
  </w:style>
  <w:style w:type="paragraph" w:customStyle="1" w:styleId="54">
    <w:name w:val="DL004"/>
    <w:basedOn w:val="1"/>
    <w:qFormat/>
    <w:uiPriority w:val="0"/>
    <w:pPr>
      <w:numPr>
        <w:ilvl w:val="3"/>
        <w:numId w:val="1"/>
      </w:numPr>
      <w:tabs>
        <w:tab w:val="left" w:pos="936"/>
      </w:tabs>
      <w:spacing w:line="360" w:lineRule="auto"/>
      <w:ind w:left="936" w:hanging="511" w:firstLineChars="200"/>
      <w:outlineLvl w:val="3"/>
    </w:pPr>
    <w:rPr>
      <w:rFonts w:ascii="Calibri" w:hAnsi="Calibri" w:eastAsia="宋体" w:cs="Times New Roman"/>
      <w:sz w:val="28"/>
      <w:szCs w:val="24"/>
    </w:rPr>
  </w:style>
  <w:style w:type="character" w:customStyle="1" w:styleId="55">
    <w:name w:val="Item List in Table Char Char"/>
    <w:link w:val="56"/>
    <w:qFormat/>
    <w:uiPriority w:val="0"/>
    <w:rPr>
      <w:rFonts w:ascii="Arial" w:hAnsi="Arial" w:cs="Arial"/>
      <w:sz w:val="18"/>
      <w:szCs w:val="18"/>
    </w:rPr>
  </w:style>
  <w:style w:type="paragraph" w:customStyle="1" w:styleId="56">
    <w:name w:val="Item List in Table"/>
    <w:link w:val="55"/>
    <w:qFormat/>
    <w:uiPriority w:val="0"/>
    <w:pPr>
      <w:numPr>
        <w:ilvl w:val="0"/>
        <w:numId w:val="2"/>
      </w:numPr>
      <w:tabs>
        <w:tab w:val="left" w:pos="284"/>
      </w:tabs>
      <w:spacing w:before="40" w:after="40"/>
      <w:jc w:val="both"/>
    </w:pPr>
    <w:rPr>
      <w:rFonts w:ascii="Arial" w:hAnsi="Arial" w:cs="Arial" w:eastAsiaTheme="minorEastAsia"/>
      <w:kern w:val="2"/>
      <w:sz w:val="18"/>
      <w:szCs w:val="18"/>
      <w:lang w:val="en-US" w:eastAsia="zh-CN" w:bidi="ar-SA"/>
    </w:rPr>
  </w:style>
  <w:style w:type="paragraph" w:customStyle="1" w:styleId="57">
    <w:name w:val="表格"/>
    <w:basedOn w:val="1"/>
    <w:qFormat/>
    <w:uiPriority w:val="99"/>
    <w:rPr>
      <w:rFonts w:ascii="Arial" w:hAnsi="Arial" w:eastAsia="宋体" w:cs="Times New Roman"/>
      <w:sz w:val="24"/>
      <w:szCs w:val="24"/>
    </w:rPr>
  </w:style>
  <w:style w:type="paragraph" w:customStyle="1" w:styleId="58">
    <w:name w:val="列出段落1"/>
    <w:basedOn w:val="1"/>
    <w:qFormat/>
    <w:uiPriority w:val="0"/>
    <w:pPr>
      <w:ind w:firstLine="200" w:firstLineChars="200"/>
    </w:pPr>
    <w:rPr>
      <w:rFonts w:ascii="Calibri" w:hAnsi="Calibri" w:eastAsia="宋体" w:cs="Times New Roman"/>
    </w:rPr>
  </w:style>
  <w:style w:type="character" w:customStyle="1" w:styleId="59">
    <w:name w:val="文档结构图 Char"/>
    <w:basedOn w:val="22"/>
    <w:link w:val="8"/>
    <w:semiHidden/>
    <w:qFormat/>
    <w:uiPriority w:val="99"/>
    <w:rPr>
      <w:rFonts w:ascii="宋体" w:eastAsia="宋体"/>
      <w:sz w:val="18"/>
      <w:szCs w:val="18"/>
    </w:rPr>
  </w:style>
  <w:style w:type="paragraph" w:customStyle="1" w:styleId="6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1">
    <w:name w:val="正文文本 Char"/>
    <w:basedOn w:val="22"/>
    <w:link w:val="10"/>
    <w:semiHidden/>
    <w:qFormat/>
    <w:uiPriority w:val="99"/>
  </w:style>
  <w:style w:type="paragraph" w:customStyle="1" w:styleId="62">
    <w:name w:val="Normal_0_1"/>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CE0BE6-42C5-4495-B184-53952266B8B7}">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59</Pages>
  <Words>4536</Words>
  <Characters>25858</Characters>
  <Lines>215</Lines>
  <Paragraphs>60</Paragraphs>
  <TotalTime>38</TotalTime>
  <ScaleCrop>false</ScaleCrop>
  <LinksUpToDate>false</LinksUpToDate>
  <CharactersWithSpaces>30334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2018-04-19T07:17:00Z</dcterms:created>
  <dc:creator>user</dc:creator>
  <cp:lastModifiedBy>吴一多</cp:lastModifiedBy>
  <cp:lastPrinted>2016-07-04T01:56:00Z</cp:lastPrinted>
  <dcterms:modified xsi:type="dcterms:W3CDTF">2020-11-03T08:59:19Z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