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hint="eastAsia" w:ascii="宋体" w:hAnsi="宋体" w:eastAsia="宋体" w:cs="宋体"/>
          <w:b/>
          <w:color w:val="auto"/>
          <w:sz w:val="48"/>
          <w:szCs w:val="48"/>
          <w:highlight w:val="none"/>
        </w:rPr>
      </w:pPr>
    </w:p>
    <w:p>
      <w:pPr>
        <w:spacing w:beforeLines="50" w:afterLines="50" w:line="360" w:lineRule="auto"/>
        <w:jc w:val="center"/>
        <w:rPr>
          <w:rFonts w:hint="eastAsia" w:ascii="宋体" w:hAnsi="宋体" w:eastAsia="宋体" w:cs="宋体"/>
          <w:b/>
          <w:color w:val="auto"/>
          <w:sz w:val="48"/>
          <w:szCs w:val="48"/>
          <w:highlight w:val="none"/>
        </w:rPr>
      </w:pPr>
    </w:p>
    <w:p>
      <w:pPr>
        <w:spacing w:beforeLines="50" w:after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南通日报社（南通报业传媒集团）</w:t>
      </w:r>
    </w:p>
    <w:p>
      <w:pPr>
        <w:spacing w:beforeLines="50" w:afterLines="50"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48"/>
          <w:szCs w:val="48"/>
          <w:highlight w:val="none"/>
        </w:rPr>
        <w:t>网络信息系统安全等级保护测评服务项目</w:t>
      </w:r>
    </w:p>
    <w:p>
      <w:pPr>
        <w:pStyle w:val="22"/>
        <w:rPr>
          <w:rFonts w:hint="eastAsia" w:ascii="宋体" w:hAnsi="宋体" w:eastAsia="宋体" w:cs="宋体"/>
          <w:color w:val="auto"/>
          <w:highlight w:val="none"/>
        </w:rPr>
      </w:pPr>
    </w:p>
    <w:p>
      <w:pPr>
        <w:spacing w:beforeLines="50" w:after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竞争性磋商</w:t>
      </w:r>
      <w:r>
        <w:rPr>
          <w:rFonts w:hint="eastAsia" w:ascii="宋体" w:hAnsi="宋体" w:eastAsia="宋体" w:cs="宋体"/>
          <w:b/>
          <w:color w:val="auto"/>
          <w:sz w:val="44"/>
          <w:szCs w:val="44"/>
          <w:highlight w:val="none"/>
          <w:lang w:val="en-US" w:eastAsia="zh-CN"/>
        </w:rPr>
        <w:t>采购</w:t>
      </w:r>
      <w:r>
        <w:rPr>
          <w:rFonts w:hint="eastAsia" w:ascii="宋体" w:hAnsi="宋体" w:eastAsia="宋体" w:cs="宋体"/>
          <w:b/>
          <w:color w:val="auto"/>
          <w:sz w:val="44"/>
          <w:szCs w:val="44"/>
          <w:highlight w:val="none"/>
        </w:rPr>
        <w:t>文件</w:t>
      </w:r>
    </w:p>
    <w:p>
      <w:pPr>
        <w:spacing w:beforeLines="50" w:afterLines="50" w:line="360" w:lineRule="auto"/>
        <w:rPr>
          <w:rFonts w:hint="eastAsia" w:ascii="宋体" w:hAnsi="宋体" w:eastAsia="宋体" w:cs="宋体"/>
          <w:color w:val="auto"/>
          <w:sz w:val="28"/>
          <w:szCs w:val="28"/>
          <w:highlight w:val="none"/>
        </w:rPr>
      </w:pPr>
    </w:p>
    <w:p>
      <w:pPr>
        <w:spacing w:beforeLines="50" w:afterLines="50" w:line="360" w:lineRule="auto"/>
        <w:rPr>
          <w:rFonts w:hint="eastAsia" w:ascii="宋体" w:hAnsi="宋体" w:eastAsia="宋体" w:cs="宋体"/>
          <w:color w:val="auto"/>
          <w:sz w:val="28"/>
          <w:szCs w:val="28"/>
          <w:highlight w:val="none"/>
        </w:rPr>
      </w:pPr>
    </w:p>
    <w:p>
      <w:pPr>
        <w:spacing w:beforeLines="50" w:afterLines="50" w:line="360" w:lineRule="auto"/>
        <w:rPr>
          <w:rFonts w:hint="eastAsia" w:ascii="宋体" w:hAnsi="宋体" w:eastAsia="宋体" w:cs="宋体"/>
          <w:b/>
          <w:color w:val="auto"/>
          <w:sz w:val="32"/>
          <w:szCs w:val="32"/>
          <w:highlight w:val="none"/>
        </w:rPr>
      </w:pPr>
    </w:p>
    <w:p>
      <w:pPr>
        <w:pStyle w:val="22"/>
        <w:rPr>
          <w:rFonts w:hint="eastAsia" w:ascii="宋体" w:hAnsi="宋体" w:eastAsia="宋体" w:cs="宋体"/>
          <w:color w:val="auto"/>
          <w:highlight w:val="none"/>
        </w:rPr>
      </w:pPr>
    </w:p>
    <w:p>
      <w:pPr>
        <w:spacing w:beforeLines="50" w:afterLines="50" w:line="360" w:lineRule="auto"/>
        <w:rPr>
          <w:rFonts w:hint="eastAsia" w:ascii="宋体" w:hAnsi="宋体" w:eastAsia="宋体" w:cs="宋体"/>
          <w:b/>
          <w:color w:val="auto"/>
          <w:sz w:val="32"/>
          <w:szCs w:val="32"/>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spacing w:beforeLines="100" w:afterLines="100" w:line="360" w:lineRule="auto"/>
        <w:ind w:firstLine="1431" w:firstLineChars="39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南通日报社（南通报业传媒集团）</w:t>
      </w:r>
    </w:p>
    <w:p>
      <w:pPr>
        <w:spacing w:beforeLines="100" w:afterLines="100" w:line="360" w:lineRule="auto"/>
        <w:ind w:firstLine="2877" w:firstLineChars="79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2021年</w:t>
      </w:r>
      <w:r>
        <w:rPr>
          <w:rFonts w:hint="eastAsia" w:ascii="宋体" w:hAnsi="宋体" w:cs="宋体"/>
          <w:b/>
          <w:color w:val="auto"/>
          <w:sz w:val="36"/>
          <w:szCs w:val="36"/>
          <w:highlight w:val="none"/>
          <w:lang w:val="en-US" w:eastAsia="zh-CN"/>
        </w:rPr>
        <w:t>12</w:t>
      </w:r>
      <w:r>
        <w:rPr>
          <w:rFonts w:hint="eastAsia" w:ascii="宋体" w:hAnsi="宋体" w:eastAsia="宋体" w:cs="宋体"/>
          <w:b/>
          <w:color w:val="auto"/>
          <w:sz w:val="36"/>
          <w:szCs w:val="36"/>
          <w:highlight w:val="none"/>
        </w:rPr>
        <w:t>月</w:t>
      </w:r>
      <w:r>
        <w:rPr>
          <w:rFonts w:hint="eastAsia" w:ascii="宋体" w:hAnsi="宋体" w:cs="宋体"/>
          <w:b/>
          <w:color w:val="auto"/>
          <w:sz w:val="36"/>
          <w:szCs w:val="36"/>
          <w:highlight w:val="none"/>
          <w:lang w:val="en-US" w:eastAsia="zh-CN"/>
        </w:rPr>
        <w:t>14</w:t>
      </w:r>
      <w:r>
        <w:rPr>
          <w:rFonts w:hint="eastAsia" w:ascii="宋体" w:hAnsi="宋体" w:eastAsia="宋体" w:cs="宋体"/>
          <w:b/>
          <w:color w:val="auto"/>
          <w:sz w:val="36"/>
          <w:szCs w:val="36"/>
          <w:highlight w:val="none"/>
        </w:rPr>
        <w:t>日</w:t>
      </w:r>
    </w:p>
    <w:p>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5"/>
        <w:ind w:firstLine="3855" w:firstLineChars="1200"/>
        <w:jc w:val="both"/>
        <w:rPr>
          <w:rFonts w:hint="eastAsia" w:ascii="宋体" w:hAnsi="宋体" w:eastAsia="宋体" w:cs="宋体"/>
          <w:color w:val="auto"/>
          <w:sz w:val="32"/>
          <w:szCs w:val="32"/>
          <w:highlight w:val="none"/>
          <w:lang w:val="zh-CN"/>
        </w:rPr>
      </w:pPr>
    </w:p>
    <w:p>
      <w:pPr>
        <w:pStyle w:val="25"/>
        <w:ind w:firstLine="3855" w:firstLineChars="1200"/>
        <w:jc w:val="both"/>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目  录</w:t>
      </w:r>
    </w:p>
    <w:p>
      <w:pPr>
        <w:rPr>
          <w:rFonts w:hint="eastAsia"/>
          <w:color w:val="auto"/>
          <w:highlight w:val="none"/>
        </w:rPr>
      </w:pPr>
    </w:p>
    <w:p>
      <w:pPr>
        <w:pStyle w:val="14"/>
        <w:tabs>
          <w:tab w:val="right" w:leader="dot" w:pos="8306"/>
        </w:tabs>
        <w:spacing w:line="360" w:lineRule="auto"/>
        <w:rPr>
          <w:rFonts w:hint="eastAsia" w:ascii="宋体" w:hAnsi="宋体" w:eastAsia="宋体" w:cs="宋体"/>
          <w:color w:val="auto"/>
          <w:highlight w:val="none"/>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 TOC \o "1-3" \h \z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highlight w:val="none"/>
        </w:rPr>
        <w:fldChar w:fldCharType="begin"/>
      </w:r>
      <w:r>
        <w:rPr>
          <w:rFonts w:hint="eastAsia" w:ascii="宋体" w:hAnsi="宋体" w:eastAsia="宋体" w:cs="宋体"/>
          <w:color w:val="auto"/>
          <w:sz w:val="28"/>
          <w:highlight w:val="none"/>
        </w:rPr>
        <w:instrText xml:space="preserve"> TOC \o "1-3" \h \z \u </w:instrText>
      </w:r>
      <w:r>
        <w:rPr>
          <w:rFonts w:hint="eastAsia" w:ascii="宋体" w:hAnsi="宋体" w:eastAsia="宋体" w:cs="宋体"/>
          <w:color w:val="auto"/>
          <w:sz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第一部分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竞争性磋商</w:t>
      </w:r>
      <w:r>
        <w:rPr>
          <w:rFonts w:hint="eastAsia" w:ascii="宋体" w:hAnsi="宋体" w:eastAsia="宋体" w:cs="宋体"/>
          <w:color w:val="auto"/>
          <w:highlight w:val="none"/>
          <w:lang w:val="en-US" w:eastAsia="zh-CN"/>
        </w:rPr>
        <w:t>公告</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fldChar w:fldCharType="end"/>
      </w:r>
    </w:p>
    <w:p>
      <w:pPr>
        <w:pStyle w:val="14"/>
        <w:tabs>
          <w:tab w:val="right" w:leader="dot" w:pos="8306"/>
        </w:tabs>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 xml:space="preserve">第二部分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供应商磋商须知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5</w:t>
      </w:r>
    </w:p>
    <w:p>
      <w:pPr>
        <w:pStyle w:val="14"/>
        <w:tabs>
          <w:tab w:val="right" w:leader="dot" w:pos="8306"/>
        </w:tabs>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第三部分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9</w:t>
      </w:r>
    </w:p>
    <w:p>
      <w:pPr>
        <w:pStyle w:val="14"/>
        <w:tabs>
          <w:tab w:val="right" w:leader="dot" w:pos="8306"/>
        </w:tabs>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lang w:val="zh-CN"/>
        </w:rPr>
        <w:t>第四部分  磋商评审程序和内容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p>
      <w:pPr>
        <w:pStyle w:val="14"/>
        <w:tabs>
          <w:tab w:val="right" w:leader="dot" w:pos="8306"/>
        </w:tabs>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第五部分  拟签订的合同文本格式及条款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17</w:t>
      </w:r>
    </w:p>
    <w:p>
      <w:pPr>
        <w:pStyle w:val="14"/>
        <w:tabs>
          <w:tab w:val="right" w:leader="dot" w:pos="8306"/>
        </w:tabs>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_Toc16982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第六部分  质疑提出和处理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1</w:t>
      </w:r>
    </w:p>
    <w:p>
      <w:pPr>
        <w:pStyle w:val="14"/>
        <w:tabs>
          <w:tab w:val="right" w:leader="dot" w:pos="8306"/>
        </w:tabs>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_Toc25551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第七部分  响应文件组成及编制要求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pStyle w:val="14"/>
        <w:tabs>
          <w:tab w:val="right" w:leader="dot" w:pos="9344"/>
        </w:tabs>
        <w:spacing w:line="360" w:lineRule="auto"/>
        <w:rPr>
          <w:rFonts w:hint="eastAsia" w:ascii="宋体" w:hAnsi="宋体" w:eastAsia="宋体" w:cs="宋体"/>
          <w:color w:val="auto"/>
          <w:sz w:val="28"/>
          <w:szCs w:val="32"/>
          <w:highlight w:val="none"/>
        </w:rPr>
      </w:pPr>
    </w:p>
    <w:p>
      <w:pP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fldChar w:fldCharType="end"/>
      </w:r>
    </w:p>
    <w:p>
      <w:pPr>
        <w:widowControl/>
        <w:jc w:val="left"/>
        <w:rPr>
          <w:rFonts w:hint="eastAsia" w:ascii="宋体" w:hAnsi="宋体" w:eastAsia="宋体" w:cs="宋体"/>
          <w:color w:val="auto"/>
          <w:sz w:val="28"/>
          <w:szCs w:val="28"/>
          <w:highlight w:val="none"/>
        </w:rPr>
      </w:pPr>
    </w:p>
    <w:p>
      <w:pPr>
        <w:spacing w:beforeLines="50" w:afterLines="50" w:line="360" w:lineRule="auto"/>
        <w:jc w:val="center"/>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br w:type="page"/>
      </w:r>
      <w:bookmarkStart w:id="0" w:name="_Toc38556321"/>
      <w:bookmarkStart w:id="1" w:name="_Toc42779651"/>
      <w:r>
        <w:rPr>
          <w:rFonts w:hint="eastAsia" w:ascii="宋体" w:hAnsi="宋体" w:eastAsia="宋体" w:cs="宋体"/>
          <w:b/>
          <w:bCs/>
          <w:color w:val="auto"/>
          <w:sz w:val="30"/>
          <w:szCs w:val="30"/>
          <w:highlight w:val="none"/>
          <w:lang w:val="en-US" w:eastAsia="zh-CN"/>
        </w:rPr>
        <w:t>第一部分</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南通日报社（南通报业传媒集团）</w:t>
      </w:r>
    </w:p>
    <w:p>
      <w:pPr>
        <w:spacing w:beforeLines="50" w:afterLines="50" w:line="360" w:lineRule="auto"/>
        <w:jc w:val="center"/>
        <w:rPr>
          <w:rFonts w:hint="eastAsia" w:ascii="宋体" w:hAnsi="宋体" w:eastAsia="宋体" w:cs="宋体"/>
          <w:color w:val="auto"/>
          <w:highlight w:val="none"/>
          <w:lang w:val="en-US" w:eastAsia="zh-CN"/>
        </w:rPr>
      </w:pPr>
      <w:r>
        <w:rPr>
          <w:rFonts w:hint="eastAsia" w:ascii="宋体" w:hAnsi="宋体" w:eastAsia="宋体" w:cs="宋体"/>
          <w:b/>
          <w:color w:val="auto"/>
          <w:sz w:val="36"/>
          <w:szCs w:val="36"/>
          <w:highlight w:val="none"/>
        </w:rPr>
        <w:t>网络信息系统安全等级保护测评服务项目</w:t>
      </w:r>
    </w:p>
    <w:p>
      <w:pPr>
        <w:pStyle w:val="17"/>
        <w:rPr>
          <w:rFonts w:hint="eastAsia" w:ascii="宋体" w:hAnsi="宋体" w:eastAsia="宋体" w:cs="宋体"/>
          <w:b/>
          <w:bCs/>
          <w:color w:val="auto"/>
          <w:kern w:val="0"/>
          <w:sz w:val="32"/>
          <w:szCs w:val="32"/>
          <w:highlight w:val="none"/>
        </w:rPr>
      </w:pPr>
      <w:r>
        <w:rPr>
          <w:rFonts w:hint="eastAsia" w:ascii="宋体" w:hAnsi="宋体" w:eastAsia="宋体" w:cs="宋体"/>
          <w:color w:val="auto"/>
          <w:sz w:val="32"/>
          <w:szCs w:val="32"/>
          <w:highlight w:val="none"/>
        </w:rPr>
        <w:t>竞争性磋商</w:t>
      </w:r>
      <w:r>
        <w:rPr>
          <w:rFonts w:hint="eastAsia" w:ascii="宋体" w:hAnsi="宋体" w:cs="宋体"/>
          <w:color w:val="auto"/>
          <w:sz w:val="32"/>
          <w:szCs w:val="32"/>
          <w:highlight w:val="none"/>
          <w:lang w:val="en-US" w:eastAsia="zh-CN"/>
        </w:rPr>
        <w:t>采购</w:t>
      </w:r>
      <w:r>
        <w:rPr>
          <w:rFonts w:hint="eastAsia" w:ascii="宋体" w:hAnsi="宋体" w:eastAsia="宋体" w:cs="宋体"/>
          <w:color w:val="auto"/>
          <w:sz w:val="32"/>
          <w:szCs w:val="32"/>
          <w:highlight w:val="none"/>
        </w:rPr>
        <w:t>公告</w:t>
      </w:r>
      <w:bookmarkEnd w:id="0"/>
      <w:bookmarkEnd w:id="1"/>
    </w:p>
    <w:p>
      <w:pPr>
        <w:numPr>
          <w:ilvl w:val="0"/>
          <w:numId w:val="0"/>
        </w:numPr>
        <w:snapToGrid w:val="0"/>
        <w:spacing w:line="48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rPr>
        <w:t>采购项目名称：</w:t>
      </w:r>
      <w:r>
        <w:rPr>
          <w:rFonts w:hint="eastAsia" w:ascii="宋体" w:hAnsi="宋体" w:eastAsia="宋体" w:cs="宋体"/>
          <w:color w:val="auto"/>
          <w:kern w:val="0"/>
          <w:sz w:val="24"/>
          <w:szCs w:val="24"/>
          <w:highlight w:val="none"/>
        </w:rPr>
        <w:t>南通日报社（南通报业传媒集团）网络信息系统安全等级保护测评服务项目</w:t>
      </w:r>
    </w:p>
    <w:p>
      <w:pPr>
        <w:numPr>
          <w:ilvl w:val="0"/>
          <w:numId w:val="0"/>
        </w:numPr>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b/>
          <w:color w:val="auto"/>
          <w:sz w:val="24"/>
          <w:szCs w:val="24"/>
          <w:highlight w:val="none"/>
        </w:rPr>
        <w:t>采购方式</w:t>
      </w:r>
      <w:r>
        <w:rPr>
          <w:rFonts w:hint="eastAsia" w:ascii="宋体" w:hAnsi="宋体" w:eastAsia="宋体" w:cs="宋体"/>
          <w:color w:val="auto"/>
          <w:sz w:val="24"/>
          <w:szCs w:val="24"/>
          <w:highlight w:val="none"/>
        </w:rPr>
        <w:t>：竞争性磋商采购</w:t>
      </w:r>
    </w:p>
    <w:p>
      <w:pPr>
        <w:widowControl/>
        <w:numPr>
          <w:ilvl w:val="0"/>
          <w:numId w:val="0"/>
        </w:numPr>
        <w:spacing w:after="75"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项目预算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万元</w:t>
      </w:r>
    </w:p>
    <w:p>
      <w:pPr>
        <w:pStyle w:val="22"/>
        <w:numPr>
          <w:ilvl w:val="0"/>
          <w:numId w:val="0"/>
        </w:num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color w:val="auto"/>
          <w:sz w:val="24"/>
          <w:szCs w:val="24"/>
          <w:highlight w:val="none"/>
        </w:rPr>
        <w:t>采购项目背景及基本概况介绍</w:t>
      </w:r>
      <w:r>
        <w:rPr>
          <w:rFonts w:hint="eastAsia" w:ascii="宋体" w:hAnsi="宋体" w:eastAsia="宋体" w:cs="宋体"/>
          <w:color w:val="auto"/>
          <w:sz w:val="24"/>
          <w:szCs w:val="24"/>
          <w:highlight w:val="none"/>
        </w:rPr>
        <w:t>：为了确保我单位网络信息系统安全，根据上级网络信息系统安全要求，拟在今年12月底前后开展对本单位南通网网站系统、南通报业传媒集团采编系统进行安全等级保护测评。</w:t>
      </w:r>
    </w:p>
    <w:p>
      <w:pPr>
        <w:widowControl/>
        <w:spacing w:after="75" w:line="360" w:lineRule="auto"/>
        <w:ind w:firstLine="480"/>
        <w:jc w:val="left"/>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磋商响应</w:t>
      </w:r>
      <w:r>
        <w:rPr>
          <w:rFonts w:hint="eastAsia" w:ascii="宋体" w:hAnsi="宋体" w:eastAsia="宋体" w:cs="宋体"/>
          <w:b/>
          <w:color w:val="auto"/>
          <w:kern w:val="0"/>
          <w:sz w:val="24"/>
          <w:szCs w:val="24"/>
          <w:highlight w:val="none"/>
        </w:rPr>
        <w:t>供应商资格要求</w:t>
      </w:r>
      <w:r>
        <w:rPr>
          <w:rFonts w:hint="eastAsia" w:ascii="宋体" w:hAnsi="宋体" w:eastAsia="宋体" w:cs="宋体"/>
          <w:b/>
          <w:color w:val="auto"/>
          <w:kern w:val="0"/>
          <w:sz w:val="24"/>
          <w:szCs w:val="24"/>
          <w:highlight w:val="none"/>
          <w:lang w:eastAsia="zh-CN"/>
        </w:rPr>
        <w:t>：</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1、法人或者其他组织的营业执照等证明文件；</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2、上一年度的财务报告（成立不满一年不需提供）；</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3、依法缴纳税收和社会保障资金的相关证明材料；</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4、具备履行合同所必需的设备和专业技术能力的证明材料；</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5、参加政府采购活动前3年内在经营活动中没有重大违法记录的书面声明；</w:t>
      </w:r>
    </w:p>
    <w:p>
      <w:pPr>
        <w:snapToGrid w:val="0"/>
        <w:spacing w:line="360" w:lineRule="auto"/>
        <w:ind w:firstLine="480" w:firstLineChars="200"/>
        <w:contextualSpacing/>
        <w:rPr>
          <w:rFonts w:hint="eastAsia" w:ascii="宋体" w:hAnsi="宋体" w:eastAsia="宋体" w:cs="宋体"/>
          <w:b/>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潜在供应商需具有有效期内的《网络安全等级保护测评机构推荐证书》</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pacing w:val="7"/>
          <w:kern w:val="0"/>
          <w:sz w:val="24"/>
          <w:szCs w:val="24"/>
          <w:highlight w:val="none"/>
        </w:rPr>
        <w:t xml:space="preserve">投标时提供证书复印件（加盖公章）； </w:t>
      </w:r>
    </w:p>
    <w:p>
      <w:pPr>
        <w:widowControl/>
        <w:spacing w:after="75" w:line="360" w:lineRule="auto"/>
        <w:ind w:firstLine="48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eastAsia="宋体" w:cs="宋体"/>
          <w:b/>
          <w:color w:val="auto"/>
          <w:kern w:val="0"/>
          <w:sz w:val="24"/>
          <w:szCs w:val="24"/>
          <w:highlight w:val="none"/>
        </w:rPr>
        <w:t>采购</w:t>
      </w:r>
      <w:r>
        <w:rPr>
          <w:rFonts w:hint="eastAsia" w:ascii="宋体" w:hAnsi="宋体" w:eastAsia="宋体" w:cs="宋体"/>
          <w:b/>
          <w:color w:val="auto"/>
          <w:kern w:val="0"/>
          <w:sz w:val="24"/>
          <w:szCs w:val="24"/>
          <w:highlight w:val="none"/>
          <w:lang w:val="en-US" w:eastAsia="zh-CN"/>
        </w:rPr>
        <w:t>项目需求：</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具体需求详见本项目竞争性磋商文件。</w:t>
      </w:r>
    </w:p>
    <w:p>
      <w:pPr>
        <w:widowControl/>
        <w:spacing w:after="75"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七</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zh-CN"/>
        </w:rPr>
        <w:t>获取磋商文件的</w:t>
      </w:r>
      <w:r>
        <w:rPr>
          <w:rFonts w:hint="eastAsia" w:ascii="宋体" w:hAnsi="宋体" w:eastAsia="宋体" w:cs="宋体"/>
          <w:b/>
          <w:color w:val="auto"/>
          <w:kern w:val="0"/>
          <w:sz w:val="24"/>
          <w:szCs w:val="24"/>
          <w:highlight w:val="none"/>
        </w:rPr>
        <w:t>获取</w:t>
      </w:r>
      <w:r>
        <w:rPr>
          <w:rFonts w:hint="eastAsia" w:ascii="宋体" w:hAnsi="宋体" w:eastAsia="宋体" w:cs="宋体"/>
          <w:b/>
          <w:color w:val="auto"/>
          <w:kern w:val="0"/>
          <w:sz w:val="24"/>
          <w:szCs w:val="24"/>
          <w:highlight w:val="none"/>
          <w:lang w:val="zh-CN"/>
        </w:rPr>
        <w:t>时间、</w:t>
      </w:r>
      <w:r>
        <w:rPr>
          <w:rFonts w:hint="eastAsia" w:ascii="宋体" w:hAnsi="宋体" w:eastAsia="宋体" w:cs="宋体"/>
          <w:b/>
          <w:color w:val="auto"/>
          <w:kern w:val="0"/>
          <w:sz w:val="24"/>
          <w:szCs w:val="24"/>
          <w:highlight w:val="none"/>
        </w:rPr>
        <w:t>方式及费用</w:t>
      </w:r>
      <w:r>
        <w:rPr>
          <w:rFonts w:hint="eastAsia" w:ascii="宋体" w:hAnsi="宋体" w:eastAsia="宋体" w:cs="宋体"/>
          <w:color w:val="auto"/>
          <w:kern w:val="0"/>
          <w:sz w:val="24"/>
          <w:szCs w:val="24"/>
          <w:highlight w:val="none"/>
          <w:lang w:val="zh-CN"/>
        </w:rPr>
        <w:t>：</w:t>
      </w:r>
    </w:p>
    <w:p>
      <w:pPr>
        <w:widowControl/>
        <w:spacing w:after="75"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cs="宋体"/>
          <w:color w:val="auto"/>
          <w:kern w:val="0"/>
          <w:sz w:val="24"/>
          <w:szCs w:val="24"/>
          <w:highlight w:val="none"/>
          <w:lang w:val="en-US" w:eastAsia="zh-CN"/>
        </w:rPr>
        <w:t>021</w:t>
      </w:r>
      <w:r>
        <w:rPr>
          <w:rFonts w:hint="eastAsia" w:ascii="宋体" w:hAnsi="宋体" w:eastAsia="宋体" w:cs="宋体"/>
          <w:color w:val="auto"/>
          <w:kern w:val="0"/>
          <w:sz w:val="24"/>
          <w:szCs w:val="24"/>
          <w:highlight w:val="none"/>
          <w:lang w:val="zh-CN"/>
        </w:rPr>
        <w:t>年12月</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zh-CN"/>
        </w:rPr>
        <w:t>日起至202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年12月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lang w:val="zh-CN"/>
        </w:rPr>
        <w:t>日 17：00时（备注：本公告发布日期202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年12月</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zh-CN"/>
        </w:rPr>
        <w:t>日至12月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lang w:val="zh-CN"/>
        </w:rPr>
        <w:t>日，详见《南通网》http://www.zgnt.net/</w:t>
      </w:r>
      <w:r>
        <w:rPr>
          <w:rFonts w:hint="eastAsia" w:ascii="宋体" w:hAnsi="宋体" w:eastAsia="宋体" w:cs="宋体"/>
          <w:color w:val="auto"/>
          <w:kern w:val="0"/>
          <w:sz w:val="24"/>
          <w:szCs w:val="24"/>
          <w:highlight w:val="none"/>
        </w:rPr>
        <w:t>如对本项目招标文件有异议的，请于投标截止日前两日将书面意见反馈给采购单位。</w:t>
      </w:r>
      <w:r>
        <w:rPr>
          <w:rFonts w:hint="eastAsia" w:ascii="宋体" w:hAnsi="宋体" w:eastAsia="宋体" w:cs="宋体"/>
          <w:color w:val="auto"/>
          <w:kern w:val="0"/>
          <w:sz w:val="24"/>
          <w:szCs w:val="24"/>
          <w:highlight w:val="none"/>
          <w:lang w:val="zh-CN"/>
        </w:rPr>
        <w:t>），联系人：李旋 电话：0513-68218829。邮箱：190896297@qq.com 。建议采用电子邮箱、</w:t>
      </w:r>
      <w:r>
        <w:rPr>
          <w:rFonts w:hint="eastAsia" w:ascii="宋体" w:hAnsi="宋体" w:eastAsia="宋体" w:cs="宋体"/>
          <w:color w:val="auto"/>
          <w:kern w:val="0"/>
          <w:sz w:val="24"/>
          <w:szCs w:val="24"/>
          <w:highlight w:val="none"/>
        </w:rPr>
        <w:t>现场报名等</w:t>
      </w:r>
      <w:r>
        <w:rPr>
          <w:rFonts w:hint="eastAsia" w:ascii="宋体" w:hAnsi="宋体" w:eastAsia="宋体" w:cs="宋体"/>
          <w:color w:val="auto"/>
          <w:kern w:val="0"/>
          <w:sz w:val="24"/>
          <w:szCs w:val="24"/>
          <w:highlight w:val="none"/>
          <w:lang w:val="zh-CN"/>
        </w:rPr>
        <w:t>方式报名、获取磋商文件。</w:t>
      </w:r>
    </w:p>
    <w:p>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磋商文件售价为500元（一律不予退还）。</w:t>
      </w:r>
    </w:p>
    <w:p>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逾期要求获取的磋商文件，采购人不予受理。</w:t>
      </w:r>
    </w:p>
    <w:p>
      <w:pPr>
        <w:snapToGrid w:val="0"/>
        <w:spacing w:line="360" w:lineRule="auto"/>
        <w:ind w:firstLine="48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color w:val="auto"/>
          <w:kern w:val="0"/>
          <w:sz w:val="24"/>
          <w:szCs w:val="24"/>
          <w:highlight w:val="none"/>
          <w:lang w:val="zh-CN"/>
        </w:rPr>
        <w:t>有效获取磋商文件的供应商不足二家时，</w:t>
      </w:r>
      <w:r>
        <w:rPr>
          <w:rFonts w:hint="eastAsia" w:ascii="宋体" w:hAnsi="宋体" w:cs="宋体"/>
          <w:color w:val="auto"/>
          <w:kern w:val="0"/>
          <w:sz w:val="24"/>
          <w:szCs w:val="24"/>
          <w:highlight w:val="none"/>
          <w:lang w:val="en-US" w:eastAsia="zh-CN"/>
        </w:rPr>
        <w:t>采购人终止竞争性磋商采购活动，发布项目终止公告并说明原因，重新开展采购活动。</w:t>
      </w:r>
    </w:p>
    <w:p>
      <w:pPr>
        <w:widowControl/>
        <w:adjustRightInd w:val="0"/>
        <w:spacing w:line="360" w:lineRule="auto"/>
        <w:ind w:firstLine="482"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color w:val="auto"/>
          <w:kern w:val="0"/>
          <w:sz w:val="24"/>
          <w:szCs w:val="24"/>
          <w:highlight w:val="none"/>
          <w:lang w:val="zh-CN"/>
        </w:rPr>
        <w:t>响应文件提交的截止时间、开启时间及地点：</w:t>
      </w:r>
    </w:p>
    <w:p>
      <w:pPr>
        <w:pStyle w:val="35"/>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截止时间、开启时间及提交磋商文件地点：202</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年12月</w:t>
      </w:r>
      <w:r>
        <w:rPr>
          <w:rFonts w:hint="eastAsia"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lang w:val="zh-CN"/>
        </w:rPr>
        <w:t>日下午2时30分前。</w:t>
      </w:r>
      <w:r>
        <w:rPr>
          <w:rFonts w:hint="eastAsia" w:ascii="宋体" w:hAnsi="宋体" w:eastAsia="宋体" w:cs="宋体"/>
          <w:color w:val="auto"/>
          <w:sz w:val="24"/>
          <w:szCs w:val="24"/>
          <w:highlight w:val="none"/>
        </w:rPr>
        <w:t>地点：南通市崇川区世纪大道8号南通报业新闻传媒中心大厦</w:t>
      </w:r>
      <w:r>
        <w:rPr>
          <w:rFonts w:hint="eastAsia" w:ascii="宋体" w:hAnsi="宋体" w:eastAsia="宋体" w:cs="宋体"/>
          <w:color w:val="auto"/>
          <w:sz w:val="24"/>
          <w:szCs w:val="24"/>
          <w:highlight w:val="none"/>
          <w:lang w:val="en-US" w:eastAsia="zh-CN"/>
        </w:rPr>
        <w:t>2012</w:t>
      </w:r>
      <w:r>
        <w:rPr>
          <w:rFonts w:hint="eastAsia" w:ascii="宋体" w:hAnsi="宋体" w:eastAsia="宋体" w:cs="宋体"/>
          <w:color w:val="auto"/>
          <w:sz w:val="24"/>
          <w:szCs w:val="24"/>
          <w:highlight w:val="none"/>
        </w:rPr>
        <w:t>会议室。逾时现场将不接受文件。</w:t>
      </w:r>
    </w:p>
    <w:p>
      <w:pPr>
        <w:widowControl/>
        <w:adjustRightInd w:val="0"/>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视南通市“新冠肺炎”疫情防控实际情况，上述时间和地点如有变动，另行通知。</w:t>
      </w:r>
    </w:p>
    <w:p>
      <w:pP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九、</w:t>
      </w:r>
      <w:r>
        <w:rPr>
          <w:rFonts w:hint="eastAsia" w:ascii="宋体" w:hAnsi="宋体" w:eastAsia="宋体" w:cs="宋体"/>
          <w:b/>
          <w:color w:val="auto"/>
          <w:kern w:val="0"/>
          <w:sz w:val="24"/>
          <w:szCs w:val="24"/>
          <w:highlight w:val="none"/>
        </w:rPr>
        <w:t>磋商保证金：</w:t>
      </w:r>
      <w:r>
        <w:rPr>
          <w:rFonts w:hint="eastAsia" w:ascii="宋体" w:hAnsi="宋体" w:eastAsia="宋体" w:cs="宋体"/>
          <w:color w:val="auto"/>
          <w:kern w:val="0"/>
          <w:sz w:val="24"/>
          <w:szCs w:val="24"/>
          <w:highlight w:val="none"/>
        </w:rPr>
        <w:t xml:space="preserve">本项目不需提供保证金。 </w:t>
      </w:r>
    </w:p>
    <w:p>
      <w:pPr>
        <w:widowControl/>
        <w:spacing w:after="75" w:line="360" w:lineRule="auto"/>
        <w:ind w:firstLine="48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十</w:t>
      </w:r>
      <w:r>
        <w:rPr>
          <w:rFonts w:hint="eastAsia" w:ascii="宋体" w:hAnsi="宋体" w:eastAsia="宋体" w:cs="宋体"/>
          <w:b/>
          <w:color w:val="auto"/>
          <w:kern w:val="0"/>
          <w:sz w:val="24"/>
          <w:szCs w:val="24"/>
          <w:highlight w:val="none"/>
        </w:rPr>
        <w:t>、采购方联系人和联系电话</w:t>
      </w:r>
    </w:p>
    <w:p>
      <w:pPr>
        <w:widowControl/>
        <w:spacing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采购单位：南通日报社（南通报业传媒集团）</w:t>
      </w:r>
    </w:p>
    <w:p>
      <w:pPr>
        <w:widowControl/>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地址：江苏省南通市崇川区世纪大道8号2406室  邮编：226018</w:t>
      </w:r>
    </w:p>
    <w:p>
      <w:pPr>
        <w:widowControl/>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联系人：</w:t>
      </w:r>
      <w:r>
        <w:rPr>
          <w:rFonts w:hint="eastAsia" w:ascii="宋体" w:hAnsi="宋体" w:eastAsia="宋体" w:cs="宋体"/>
          <w:color w:val="auto"/>
          <w:kern w:val="0"/>
          <w:sz w:val="24"/>
          <w:szCs w:val="24"/>
          <w:highlight w:val="none"/>
          <w:lang w:val="en-US" w:eastAsia="zh-CN"/>
        </w:rPr>
        <w:t>张庆锋</w:t>
      </w: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电话：0513-682188</w:t>
      </w:r>
      <w:r>
        <w:rPr>
          <w:rFonts w:hint="eastAsia" w:ascii="宋体" w:hAnsi="宋体" w:eastAsia="宋体" w:cs="宋体"/>
          <w:color w:val="auto"/>
          <w:kern w:val="0"/>
          <w:sz w:val="24"/>
          <w:szCs w:val="24"/>
          <w:highlight w:val="none"/>
          <w:lang w:val="en-US" w:eastAsia="zh-CN"/>
        </w:rPr>
        <w:t xml:space="preserve">29 </w:t>
      </w:r>
      <w:r>
        <w:rPr>
          <w:rFonts w:hint="eastAsia" w:ascii="宋体" w:hAnsi="宋体" w:eastAsia="宋体" w:cs="宋体"/>
          <w:color w:val="auto"/>
          <w:kern w:val="0"/>
          <w:sz w:val="24"/>
          <w:szCs w:val="24"/>
          <w:highlight w:val="none"/>
          <w:lang w:val="zh-CN"/>
        </w:rPr>
        <w:t>传真：0513-85118880</w:t>
      </w:r>
    </w:p>
    <w:p>
      <w:pPr>
        <w:widowControl/>
        <w:spacing w:after="75" w:line="360" w:lineRule="auto"/>
        <w:ind w:firstLine="4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南通日报社（南通报业传媒集团）</w:t>
      </w:r>
    </w:p>
    <w:p>
      <w:pPr>
        <w:widowControl/>
        <w:spacing w:after="75" w:line="360" w:lineRule="auto"/>
        <w:ind w:firstLine="48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2021年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日</w:t>
      </w:r>
    </w:p>
    <w:p>
      <w:pPr>
        <w:widowControl/>
        <w:jc w:val="left"/>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5"/>
        <w:pageBreakBefore w:val="0"/>
        <w:kinsoku/>
        <w:wordWrap/>
        <w:overflowPunct/>
        <w:topLinePunct w:val="0"/>
        <w:bidi w:val="0"/>
        <w:spacing w:line="420" w:lineRule="exact"/>
        <w:ind w:firstLine="2249" w:firstLineChars="700"/>
        <w:jc w:val="both"/>
        <w:textAlignment w:val="auto"/>
        <w:rPr>
          <w:rFonts w:hint="eastAsia" w:ascii="宋体" w:hAnsi="宋体" w:eastAsia="宋体" w:cs="宋体"/>
          <w:color w:val="auto"/>
          <w:sz w:val="32"/>
          <w:szCs w:val="32"/>
          <w:highlight w:val="none"/>
        </w:rPr>
      </w:pPr>
      <w:bookmarkStart w:id="2" w:name="_Toc42779652"/>
      <w:r>
        <w:rPr>
          <w:rFonts w:hint="eastAsia" w:ascii="宋体" w:hAnsi="宋体" w:eastAsia="宋体" w:cs="宋体"/>
          <w:color w:val="auto"/>
          <w:sz w:val="32"/>
          <w:szCs w:val="32"/>
          <w:highlight w:val="none"/>
          <w:lang w:val="en-US" w:eastAsia="zh-CN"/>
        </w:rPr>
        <w:t xml:space="preserve">第二部分   </w:t>
      </w:r>
      <w:bookmarkEnd w:id="2"/>
      <w:r>
        <w:rPr>
          <w:rFonts w:hint="eastAsia" w:ascii="宋体" w:hAnsi="宋体" w:eastAsia="宋体" w:cs="宋体"/>
          <w:color w:val="auto"/>
          <w:sz w:val="32"/>
          <w:szCs w:val="32"/>
          <w:highlight w:val="none"/>
        </w:rPr>
        <w:t>供应商磋商须知</w:t>
      </w:r>
    </w:p>
    <w:p>
      <w:pPr>
        <w:keepNext w:val="0"/>
        <w:keepLines w:val="0"/>
        <w:pageBreakBefore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bookmarkStart w:id="3" w:name="_Toc42779653"/>
      <w:r>
        <w:rPr>
          <w:rFonts w:hint="eastAsia" w:ascii="宋体" w:hAnsi="宋体" w:eastAsia="宋体" w:cs="宋体"/>
          <w:b/>
          <w:color w:val="auto"/>
          <w:sz w:val="24"/>
          <w:szCs w:val="24"/>
          <w:highlight w:val="none"/>
        </w:rPr>
        <w:t>一、对供应商投标磋商响应文件编制要求</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仔细阅读本竞争性磋商采购文件，认真审阅文件中所有的事项、格式、条款和规范要求等，按照磋商文件的要求编制响应文件，并在响应文件中对磋商文件的实质性要求和条件做出响应。如果没有按照磋商文件要求提交响应文件，或者响应文件没有对磋商文件做出实质性响应，将被拒绝参与磋商，供应商自行承担责任。</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2.供应商应按照竞争性磋商采购文件中货物或者服务需求一览表和技术规格有关内容分别填写磋商响应报价表、技术规格响应表，并书面承诺所能提供的详细服务。    </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对响应文件表格应逐项填清，并算出单项总价及投标总报价，投标文件报价出现前后不一致的，除招标文件另有规定外，按照下列规定修正：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4.一项货物或者服务只允许一个报价。</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5.响应磋商总报价应包括所列货物或者服务的材料、附件、标准配件、包装、运输、保险、安装、调试、专用工具、人工、税费等全部费用。</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6.供应商须准备一式五份响应文件（一份正本、四份副本），每份响应文件须清楚地标明“正本”或“副本”。一旦正本和副本不符，以正本为准。</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7.响应文件的正本和所有的副本均须打印并由响应文件人或经正式授权并对供应商有约束力的代表签字。授权代表须以书面形式出具的“授权证书”附在响应文件中。</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8.除供应商对错处必要修改外，响应文件中不得行间插字、涂改或增删，如有修改错漏处，必须由供应商或其授权代表签字和盖章。</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9.供应商应根据采购人要求在响应文件标袋上项目名称，密封并加盖单位公章后，按照磋商文件中注明的地址于提交响应文件截止日期前送到指定地点。</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10.竞争性磋商过程中，采购人磋商小组评审会可要求响应供应商对其磋商响应文件的内容进行解释或者澄清其响应文件，但供应商的澄清、说明或者更正不得超出响应文件的范围或者改变响应文件的实质性内容。</w:t>
      </w:r>
    </w:p>
    <w:p>
      <w:pPr>
        <w:keepNext w:val="0"/>
        <w:keepLines w:val="0"/>
        <w:pageBreakBefore w:val="0"/>
        <w:tabs>
          <w:tab w:val="left" w:pos="525"/>
        </w:tabs>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11.竞争性磋商采购的主要评审要素为：以满足采购人实际需求的评审标准因素为原则，所提供的服务等能够最大限度地满足磋商文件全部实质性要求和规定的各项综合评价标准。</w:t>
      </w:r>
    </w:p>
    <w:p>
      <w:pPr>
        <w:keepNext w:val="0"/>
        <w:keepLines w:val="0"/>
        <w:pageBreakBefore w:val="0"/>
        <w:tabs>
          <w:tab w:val="left" w:pos="525"/>
        </w:tabs>
        <w:kinsoku/>
        <w:wordWrap/>
        <w:overflowPunct/>
        <w:topLinePunct w:val="0"/>
        <w:bidi w:val="0"/>
        <w:spacing w:line="500" w:lineRule="exact"/>
        <w:ind w:left="52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13.确定成交供应商后，采购人经行业主管单位指定媒体公告1</w:t>
      </w:r>
    </w:p>
    <w:p>
      <w:pPr>
        <w:keepNext w:val="0"/>
        <w:keepLines w:val="0"/>
        <w:pageBreakBefore w:val="0"/>
        <w:tabs>
          <w:tab w:val="left" w:pos="525"/>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日，并</w:t>
      </w:r>
      <w:r>
        <w:rPr>
          <w:rFonts w:hint="eastAsia" w:ascii="宋体" w:hAnsi="宋体" w:eastAsia="宋体" w:cs="宋体"/>
          <w:color w:val="auto"/>
          <w:sz w:val="24"/>
          <w:szCs w:val="24"/>
          <w:highlight w:val="none"/>
          <w:shd w:val="clear" w:color="auto" w:fill="FFFFFF"/>
        </w:rPr>
        <w:t>在公告中标成交结果的同时，向中标成交人发出中标成交结果通知书。</w:t>
      </w:r>
    </w:p>
    <w:p>
      <w:pPr>
        <w:keepNext w:val="0"/>
        <w:keepLines w:val="0"/>
        <w:pageBreakBefore w:val="0"/>
        <w:kinsoku/>
        <w:wordWrap/>
        <w:overflowPunct/>
        <w:topLinePunct w:val="0"/>
        <w:bidi w:val="0"/>
        <w:snapToGrid w:val="0"/>
        <w:spacing w:line="500" w:lineRule="exact"/>
        <w:ind w:firstLine="5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14.如对磋商文件需求有异议，或需现场踏勘，请即时与采购人及采购单位联系，否则视同认可，对可能产生的后果自负。</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磋商文件如有内容或页码残缺、资格要求和技术参数含有倾向性或排他性等表述的，供应商应在磋商开始前5日内（节假日除外）以书面形式提出询问或疑问，未在规定的5日内提出询问或疑问的，视同供应商理解并接受本磋商采购文件所有内容，并由此引起的磋商响应损失自负。供应商不得在磋商采购结束后针对本磋商采购文件所有内容提出质疑事项。</w:t>
      </w:r>
    </w:p>
    <w:p>
      <w:pPr>
        <w:keepNext w:val="0"/>
        <w:keepLines w:val="0"/>
        <w:pageBreakBefore w:val="0"/>
        <w:kinsoku/>
        <w:wordWrap/>
        <w:overflowPunct/>
        <w:topLinePunct w:val="0"/>
        <w:bidi w:val="0"/>
        <w:snapToGrid w:val="0"/>
        <w:spacing w:line="500" w:lineRule="exact"/>
        <w:ind w:firstLine="5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16.供应商应对其提交的响应文件的真实性、合法性承担法律责任。</w:t>
      </w:r>
    </w:p>
    <w:p>
      <w:pPr>
        <w:keepNext w:val="0"/>
        <w:keepLines w:val="0"/>
        <w:pageBreakBefore w:val="0"/>
        <w:kinsoku/>
        <w:wordWrap/>
        <w:overflowPunct/>
        <w:topLinePunct w:val="0"/>
        <w:bidi w:val="0"/>
        <w:snapToGrid w:val="0"/>
        <w:spacing w:line="500" w:lineRule="exact"/>
        <w:ind w:firstLine="5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17.报名截止时间后，未报名的供应商，不能提出质疑。</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18.本须知和竞争性磋商采购文件由采购人负责解释和修改。</w:t>
      </w:r>
    </w:p>
    <w:p>
      <w:pPr>
        <w:keepNext w:val="0"/>
        <w:keepLines w:val="0"/>
        <w:pageBreakBefore w:val="0"/>
        <w:kinsoku/>
        <w:wordWrap/>
        <w:overflowPunct/>
        <w:topLinePunct w:val="0"/>
        <w:bidi w:val="0"/>
        <w:snapToGrid w:val="0"/>
        <w:spacing w:line="500" w:lineRule="exact"/>
        <w:ind w:firstLine="555"/>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19.政府采购将建立供应商诚信体系。供应商在参与投标过程中，对其提交的投标文件的真实性、合法性承担法律责任。</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20.请各供应商关注</w:t>
      </w:r>
      <w:r>
        <w:rPr>
          <w:rFonts w:hint="eastAsia" w:ascii="宋体" w:hAnsi="宋体" w:eastAsia="宋体" w:cs="宋体"/>
          <w:snapToGrid w:val="0"/>
          <w:color w:val="auto"/>
          <w:sz w:val="24"/>
          <w:szCs w:val="24"/>
          <w:highlight w:val="none"/>
        </w:rPr>
        <w:t>《南通网》http://www.zgnt.net</w:t>
      </w:r>
      <w:r>
        <w:rPr>
          <w:rFonts w:hint="eastAsia" w:ascii="宋体" w:hAnsi="宋体" w:eastAsia="宋体" w:cs="宋体"/>
          <w:color w:val="auto"/>
          <w:sz w:val="24"/>
          <w:szCs w:val="24"/>
          <w:highlight w:val="none"/>
        </w:rPr>
        <w:t>可能发生的相关变化等信息。</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21.请各供应商认真阅读采购文件，严格遵守约定，如有疑问请及时来人、来函、来电询问。</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22.报名截止时间后，未投标响应的供应商，不能提出质疑。</w:t>
      </w:r>
    </w:p>
    <w:p>
      <w:pPr>
        <w:keepNext w:val="0"/>
        <w:keepLines w:val="0"/>
        <w:pageBreakBefore w:val="0"/>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二、竞争性磋商采购文件的澄清、修改、答疑</w:t>
      </w:r>
    </w:p>
    <w:p>
      <w:pPr>
        <w:pStyle w:val="3"/>
        <w:keepNext w:val="0"/>
        <w:keepLines w:val="0"/>
        <w:pageBreakBefore w:val="0"/>
        <w:kinsoku/>
        <w:wordWrap/>
        <w:overflowPunct/>
        <w:topLinePunct w:val="0"/>
        <w:bidi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磋商文件进行必要的澄清或修改。澄清或者修改的内容作为磋商文件的组成部分，对供应商具有约束力。澄清或者修改的内容可能影响响应文件编制的，采购人将在提交首次响应文件截止之日至少3日前，以书面形式通知所有接收磋商文件的供应商，不足3日的，应当顺延提交首次响应文件截止。</w:t>
      </w:r>
    </w:p>
    <w:p>
      <w:pPr>
        <w:pStyle w:val="3"/>
        <w:keepNext w:val="0"/>
        <w:keepLines w:val="0"/>
        <w:pageBreakBefore w:val="0"/>
        <w:kinsoku/>
        <w:wordWrap/>
        <w:overflowPunct/>
        <w:topLinePunct w:val="0"/>
        <w:bidi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2.供应商由于对磋商文件的任何推论和误解以及采购人对有</w:t>
      </w:r>
      <w:r>
        <w:rPr>
          <w:rFonts w:hint="eastAsia" w:ascii="宋体" w:hAnsi="宋体" w:eastAsia="宋体" w:cs="宋体"/>
          <w:color w:val="auto"/>
          <w:sz w:val="24"/>
          <w:szCs w:val="24"/>
          <w:highlight w:val="none"/>
          <w:lang w:val="zh-CN"/>
        </w:rPr>
        <w:t>关问题的口头解释所造成的后果，均由供应商自负。</w:t>
      </w:r>
    </w:p>
    <w:p>
      <w:pPr>
        <w:pStyle w:val="3"/>
        <w:keepNext w:val="0"/>
        <w:keepLines w:val="0"/>
        <w:pageBreakBefore w:val="0"/>
        <w:kinsoku/>
        <w:wordWrap/>
        <w:overflowPunct/>
        <w:topLinePunct w:val="0"/>
        <w:bidi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3.采购人可视情取消、延长相关时间，不负责解释。</w:t>
      </w:r>
    </w:p>
    <w:p>
      <w:pPr>
        <w:pStyle w:val="3"/>
        <w:keepNext w:val="0"/>
        <w:keepLines w:val="0"/>
        <w:pageBreakBefore w:val="0"/>
        <w:kinsoku/>
        <w:wordWrap/>
        <w:overflowPunct/>
        <w:topLinePunct w:val="0"/>
        <w:bidi w:val="0"/>
        <w:snapToGrid w:val="0"/>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4.采购人可视情组织答疑会。</w:t>
      </w:r>
    </w:p>
    <w:p>
      <w:pPr>
        <w:keepNext w:val="0"/>
        <w:keepLines w:val="0"/>
        <w:pageBreakBefore w:val="0"/>
        <w:kinsoku/>
        <w:wordWrap/>
        <w:overflowPunct/>
        <w:topLinePunct w:val="0"/>
        <w:bidi w:val="0"/>
        <w:snapToGrid w:val="0"/>
        <w:spacing w:line="500" w:lineRule="exact"/>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三、响应报价</w:t>
      </w:r>
    </w:p>
    <w:p>
      <w:pPr>
        <w:pStyle w:val="3"/>
        <w:keepNext w:val="0"/>
        <w:keepLines w:val="0"/>
        <w:pageBreakBefore w:val="0"/>
        <w:kinsoku/>
        <w:wordWrap/>
        <w:overflowPunct/>
        <w:topLinePunct w:val="0"/>
        <w:bidi w:val="0"/>
        <w:snapToGrid w:val="0"/>
        <w:spacing w:line="500" w:lineRule="exact"/>
        <w:ind w:left="0"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一个标的只允许一个报价，不接受任何有选择性的报价。</w:t>
      </w:r>
    </w:p>
    <w:p>
      <w:pPr>
        <w:pStyle w:val="6"/>
        <w:keepNext w:val="0"/>
        <w:keepLines w:val="0"/>
        <w:pageBreakBefore w:val="0"/>
        <w:widowControl/>
        <w:tabs>
          <w:tab w:val="left" w:pos="540"/>
        </w:tabs>
        <w:kinsoku/>
        <w:wordWrap/>
        <w:overflowPunct/>
        <w:topLinePunct w:val="0"/>
        <w:bidi w:val="0"/>
        <w:snapToGrid w:val="0"/>
        <w:spacing w:line="500" w:lineRule="exact"/>
        <w:ind w:firstLine="0"/>
        <w:contextualSpacing/>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四、磋商文件的编写、份数和签署</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1.供应商按第 七 部分“响应文件组成及编制要求”编写响应文件，</w:t>
      </w:r>
      <w:r>
        <w:rPr>
          <w:rFonts w:hint="eastAsia" w:ascii="宋体" w:hAnsi="宋体" w:eastAsia="宋体" w:cs="宋体"/>
          <w:color w:val="auto"/>
          <w:sz w:val="24"/>
          <w:szCs w:val="24"/>
          <w:highlight w:val="none"/>
          <w:lang w:val="zh-CN"/>
        </w:rPr>
        <w:t>自编目录并连续标注页码，不得将内容拆开，并牢固装订成册。响应文件均需采用A4纸（</w:t>
      </w:r>
      <w:r>
        <w:rPr>
          <w:rFonts w:hint="eastAsia" w:ascii="宋体" w:hAnsi="宋体" w:eastAsia="宋体" w:cs="宋体"/>
          <w:color w:val="auto"/>
          <w:sz w:val="24"/>
          <w:szCs w:val="24"/>
          <w:highlight w:val="none"/>
        </w:rPr>
        <w:t>图纸等除外），不允许使用活页夹、拉杆夹、文件夹、塑料方便式书脊（插入式或穿孔式）装订。响应文件不得行间插字、涂改、增删，如修补错漏处，须经响应文件签署人签字并加盖公章。</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w:t>
      </w: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rPr>
        <w:t>份正本和四份副本，并明确标注供应商</w:t>
      </w:r>
      <w:r>
        <w:rPr>
          <w:rFonts w:hint="eastAsia" w:ascii="宋体" w:hAnsi="宋体" w:eastAsia="宋体" w:cs="宋体"/>
          <w:color w:val="auto"/>
          <w:sz w:val="24"/>
          <w:szCs w:val="24"/>
          <w:highlight w:val="none"/>
          <w:lang w:val="zh-CN"/>
        </w:rPr>
        <w:t>全称、</w:t>
      </w:r>
      <w:r>
        <w:rPr>
          <w:rFonts w:hint="eastAsia" w:ascii="宋体" w:hAnsi="宋体" w:eastAsia="宋体" w:cs="宋体"/>
          <w:color w:val="auto"/>
          <w:sz w:val="24"/>
          <w:szCs w:val="24"/>
          <w:highlight w:val="none"/>
        </w:rPr>
        <w:t>“正本”、“副本”字样。</w:t>
      </w:r>
    </w:p>
    <w:p>
      <w:pPr>
        <w:keepNext w:val="0"/>
        <w:keepLines w:val="0"/>
        <w:pageBreakBefore w:val="0"/>
        <w:kinsoku/>
        <w:wordWrap/>
        <w:overflowPunct/>
        <w:topLinePunct w:val="0"/>
        <w:bidi w:val="0"/>
        <w:snapToGrid w:val="0"/>
        <w:spacing w:line="500" w:lineRule="exact"/>
        <w:ind w:firstLine="480" w:firstLineChars="200"/>
        <w:contextualSpacing/>
        <w:jc w:val="distribute"/>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3.响应文件正本须打印并由供应商法定代表人或授权代理人签</w:t>
      </w:r>
    </w:p>
    <w:p>
      <w:pPr>
        <w:keepNext w:val="0"/>
        <w:keepLines w:val="0"/>
        <w:pageBreakBefore w:val="0"/>
        <w:kinsoku/>
        <w:wordWrap/>
        <w:overflowPunct/>
        <w:topLinePunct w:val="0"/>
        <w:bidi w:val="0"/>
        <w:snapToGrid w:val="0"/>
        <w:spacing w:line="5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字并加盖单位印章。副本可复印，但须加盖单位印章。</w:t>
      </w:r>
    </w:p>
    <w:p>
      <w:pPr>
        <w:keepNext w:val="0"/>
        <w:keepLines w:val="0"/>
        <w:pageBreakBefore w:val="0"/>
        <w:kinsoku/>
        <w:wordWrap/>
        <w:overflowPunct/>
        <w:topLinePunct w:val="0"/>
        <w:bidi w:val="0"/>
        <w:snapToGrid w:val="0"/>
        <w:spacing w:line="500" w:lineRule="exact"/>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五、响应文件的密封及标记</w:t>
      </w:r>
    </w:p>
    <w:p>
      <w:pPr>
        <w:keepNext w:val="0"/>
        <w:keepLines w:val="0"/>
        <w:pageBreakBefore w:val="0"/>
        <w:kinsoku/>
        <w:wordWrap/>
        <w:overflowPunct/>
        <w:topLinePunct w:val="0"/>
        <w:bidi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1.供应商应将正本、副本及图纸类等（如需提供图纸等其它资料的话）合并密封，统一装在一个密封袋或密封箱内（如有A3大小的图纸类，可单独密封）。</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2.响应报价表一式五份须单独密封，不得出现于正本或副本等响应文件资料中。</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3.密封后应分别标明响应文件项目名称及竞争性磋商资格审查证明材料（原件包备查）、磋商响应文件包、价格包、原件包、电子投标文件，边缝处加盖单位骑缝章或骑缝签字，并注明于开标前不得启封。</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4.原件包由授权委托代理人携带至磋商开标现场递交。</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响应文件递交截止时间前，必须随附与响应文件正本内容相同的电子文档U盘（放在电子投标文件袋内单独密封）。电子文档容量小于100M，格式为只读文件（.pdf）。所有商务技术部分必须归集到一个文件名下，文件格式为公司名加磋商项目（例：X公司X竞争性磋商采购项目）。未提交响应文件电子文档的，采购人将拒绝接收磋商响应文件。</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6.提交的响应文件的内容不清楚或不清晰的（含扫描件），造成无法评审或部分影响评审的，或者</w:t>
      </w:r>
      <w:r>
        <w:rPr>
          <w:rFonts w:hint="eastAsia" w:ascii="宋体" w:hAnsi="宋体" w:eastAsia="宋体" w:cs="宋体"/>
          <w:color w:val="auto"/>
          <w:kern w:val="0"/>
          <w:sz w:val="24"/>
          <w:szCs w:val="24"/>
          <w:highlight w:val="none"/>
          <w:lang w:val="zh-CN"/>
        </w:rPr>
        <w:t>电子文件与正本文件不符，导致评审差错的，责任由响应人自负。</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shd w:val="clear" w:color="auto" w:fill="FFFFFF"/>
        </w:rPr>
        <w:t>不予退还投标保证金的情形</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有下列情形之一的，保证金不予退还：</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（一）供应商在提交响应文件截止时间后撤回响应文件的；</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（二）供应商在响应文件中提供虚假材料的；</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（三）除因不可抗力或磋商文件认可的情形以外，成交供应商不与采购人签订合同的；</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（四）供应商与采购人、其他供应商或者采购人恶意串通的；</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（五）磋商文件规定的其他情形。</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（六）上线测试15天，出现与招标文件要求的性能参数或者服务不符的，一周内不能解决问题的，即视为投标人以其他方式弄虚作假骗取中标的。</w:t>
      </w:r>
    </w:p>
    <w:p>
      <w:pPr>
        <w:pStyle w:val="16"/>
        <w:keepNext w:val="0"/>
        <w:keepLines w:val="0"/>
        <w:pageBreakBefore w:val="0"/>
        <w:shd w:val="clear" w:color="auto" w:fill="FFFFFF"/>
        <w:kinsoku/>
        <w:wordWrap/>
        <w:overflowPunct/>
        <w:topLinePunct w:val="0"/>
        <w:bidi w:val="0"/>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供应商在磋商规定开始时间无故迟到的，采购单位有权收取其保证金的10%作为违约金。</w:t>
      </w:r>
    </w:p>
    <w:p>
      <w:pPr>
        <w:keepNext w:val="0"/>
        <w:keepLines w:val="0"/>
        <w:pageBreakBefore w:val="0"/>
        <w:widowControl/>
        <w:shd w:val="clear" w:color="auto" w:fill="FFFFFF"/>
        <w:kinsoku/>
        <w:wordWrap/>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已提交响应文件的供应商，在提交最后报价之前，可以根据磋商情况退出磋商（参与磋商的供应商少于2家的，不得退出磋商）。采购单位应当退还退出磋商的供应商的保证金。</w:t>
      </w:r>
    </w:p>
    <w:p>
      <w:pPr>
        <w:keepNext w:val="0"/>
        <w:keepLines w:val="0"/>
        <w:pageBreakBefore w:val="0"/>
        <w:kinsoku/>
        <w:wordWrap/>
        <w:overflowPunct/>
        <w:topLinePunct w:val="0"/>
        <w:bidi w:val="0"/>
        <w:snapToGrid w:val="0"/>
        <w:spacing w:line="500" w:lineRule="exact"/>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七、最后报价</w:t>
      </w:r>
    </w:p>
    <w:p>
      <w:pPr>
        <w:pStyle w:val="40"/>
        <w:keepNext w:val="0"/>
        <w:keepLines w:val="0"/>
        <w:pageBreakBefore w:val="0"/>
        <w:kinsoku/>
        <w:wordWrap/>
        <w:overflowPunct/>
        <w:topLinePunct w:val="0"/>
        <w:bidi w:val="0"/>
        <w:snapToGrid w:val="0"/>
        <w:spacing w:line="500" w:lineRule="exact"/>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1.磋商及评审结束后，供应商就所有内容进行最后报价，少报无效。</w:t>
      </w:r>
    </w:p>
    <w:p>
      <w:pPr>
        <w:pStyle w:val="40"/>
        <w:keepNext w:val="0"/>
        <w:keepLines w:val="0"/>
        <w:pageBreakBefore w:val="0"/>
        <w:kinsoku/>
        <w:wordWrap/>
        <w:overflowPunct/>
        <w:topLinePunct w:val="0"/>
        <w:bidi w:val="0"/>
        <w:snapToGrid w:val="0"/>
        <w:spacing w:line="500" w:lineRule="exact"/>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2.最后报价应包括本项目的全部费用 (含一切必须的辅助费用)及相关服务费等。 </w:t>
      </w:r>
    </w:p>
    <w:p>
      <w:pPr>
        <w:pStyle w:val="40"/>
        <w:keepNext w:val="0"/>
        <w:keepLines w:val="0"/>
        <w:pageBreakBefore w:val="0"/>
        <w:kinsoku/>
        <w:wordWrap/>
        <w:overflowPunct/>
        <w:topLinePunct w:val="0"/>
        <w:bidi w:val="0"/>
        <w:snapToGrid w:val="0"/>
        <w:spacing w:line="500" w:lineRule="exact"/>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3.最后报价将作为磋商小组评定成交候选供应商的组成依据。</w:t>
      </w:r>
    </w:p>
    <w:p>
      <w:pPr>
        <w:keepNext w:val="0"/>
        <w:keepLines w:val="0"/>
        <w:pageBreakBefore w:val="0"/>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八、磋商</w:t>
      </w:r>
      <w:r>
        <w:rPr>
          <w:rFonts w:hint="eastAsia" w:ascii="宋体" w:hAnsi="宋体" w:eastAsia="宋体" w:cs="宋体"/>
          <w:b/>
          <w:color w:val="auto"/>
          <w:sz w:val="24"/>
          <w:szCs w:val="24"/>
          <w:highlight w:val="none"/>
        </w:rPr>
        <w:t>相关</w:t>
      </w:r>
      <w:r>
        <w:rPr>
          <w:rFonts w:hint="eastAsia" w:ascii="宋体" w:hAnsi="宋体" w:eastAsia="宋体" w:cs="宋体"/>
          <w:b/>
          <w:bCs/>
          <w:color w:val="auto"/>
          <w:sz w:val="24"/>
          <w:szCs w:val="24"/>
          <w:highlight w:val="none"/>
        </w:rPr>
        <w:t>费用</w:t>
      </w:r>
    </w:p>
    <w:p>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1.供应商承担参与磋商采购可能发生的全部费用，采购人在任何情况下均无义务和责任承担这些费用。</w:t>
      </w:r>
    </w:p>
    <w:p>
      <w:pPr>
        <w:keepNext w:val="0"/>
        <w:keepLines w:val="0"/>
        <w:pageBreakBefore w:val="0"/>
        <w:kinsoku/>
        <w:wordWrap/>
        <w:overflowPunct/>
        <w:topLinePunct w:val="0"/>
        <w:bidi w:val="0"/>
        <w:snapToGrid w:val="0"/>
        <w:spacing w:line="50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2.采购人不收取任何本项目磋商公告以外的费用。</w:t>
      </w:r>
    </w:p>
    <w:p>
      <w:pPr>
        <w:pStyle w:val="5"/>
        <w:spacing w:before="240" w:after="24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第三部分  </w:t>
      </w:r>
      <w:r>
        <w:rPr>
          <w:rFonts w:hint="eastAsia" w:ascii="宋体" w:hAnsi="宋体" w:eastAsia="宋体" w:cs="宋体"/>
          <w:color w:val="auto"/>
          <w:sz w:val="32"/>
          <w:szCs w:val="32"/>
          <w:highlight w:val="none"/>
        </w:rPr>
        <w:t>采购需求</w:t>
      </w:r>
      <w:bookmarkEnd w:id="3"/>
    </w:p>
    <w:p>
      <w:pPr>
        <w:pageBreakBefore w:val="0"/>
        <w:widowControl/>
        <w:kinsoku/>
        <w:wordWrap/>
        <w:overflowPunct/>
        <w:topLinePunct w:val="0"/>
        <w:bidi w:val="0"/>
        <w:spacing w:line="4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为落实《网络安全法》第二十一条第三款“网络运营者应当按照网络安全等级保护制度的要求”，</w:t>
      </w:r>
      <w:r>
        <w:rPr>
          <w:rFonts w:hint="eastAsia" w:ascii="宋体" w:hAnsi="宋体" w:eastAsia="宋体" w:cs="宋体"/>
          <w:color w:val="auto"/>
          <w:sz w:val="24"/>
          <w:szCs w:val="24"/>
          <w:highlight w:val="none"/>
        </w:rPr>
        <w:t>南通日报社（南通报业传媒集团）决定对单位信息系统进行网络安全等级保护测评</w:t>
      </w:r>
      <w:r>
        <w:rPr>
          <w:rFonts w:hint="eastAsia" w:ascii="宋体" w:hAnsi="宋体" w:eastAsia="宋体" w:cs="宋体"/>
          <w:color w:val="auto"/>
          <w:kern w:val="0"/>
          <w:sz w:val="24"/>
          <w:szCs w:val="24"/>
          <w:highlight w:val="none"/>
        </w:rPr>
        <w:t>，以明确信息系统现状，发现系统内部存在的安全隐患和不足，明确整改方向，降低系统被攻击的风险。</w:t>
      </w:r>
    </w:p>
    <w:p>
      <w:pPr>
        <w:pageBreakBefore w:val="0"/>
        <w:kinsoku/>
        <w:wordWrap/>
        <w:overflowPunct/>
        <w:topLinePunct w:val="0"/>
        <w:bidi w:val="0"/>
        <w:spacing w:before="156" w:beforeLines="50" w:after="156" w:afterLines="5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一、本项目测评范围</w:t>
      </w:r>
    </w:p>
    <w:tbl>
      <w:tblPr>
        <w:tblStyle w:val="18"/>
        <w:tblW w:w="7260"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69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信息系统名称</w:t>
            </w:r>
          </w:p>
        </w:tc>
        <w:tc>
          <w:tcPr>
            <w:tcW w:w="24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南通网网站系统</w:t>
            </w:r>
          </w:p>
        </w:tc>
        <w:tc>
          <w:tcPr>
            <w:tcW w:w="24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南通报业集团采编系统</w:t>
            </w:r>
          </w:p>
        </w:tc>
        <w:tc>
          <w:tcPr>
            <w:tcW w:w="2490" w:type="dxa"/>
            <w:noWrap w:val="0"/>
            <w:vAlign w:val="top"/>
          </w:tcPr>
          <w:p>
            <w:pPr>
              <w:pageBreakBefore w:val="0"/>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叁级</w:t>
            </w:r>
          </w:p>
        </w:tc>
      </w:tr>
    </w:tbl>
    <w:p>
      <w:pPr>
        <w:pageBreakBefore w:val="0"/>
        <w:kinsoku/>
        <w:wordWrap/>
        <w:overflowPunct/>
        <w:topLinePunct w:val="0"/>
        <w:bidi w:val="0"/>
        <w:spacing w:before="156" w:beforeLines="50" w:after="156" w:afterLines="5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二、测评单位要求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1、投标人具有公安部门网络安全等级保护评估中心颁发的《网络安全等级保护测评机构推荐证书》，提供证书复印件（加盖公章）；</w:t>
      </w:r>
    </w:p>
    <w:p>
      <w:pPr>
        <w:pageBreakBefore w:val="0"/>
        <w:kinsoku/>
        <w:wordWrap/>
        <w:overflowPunct/>
        <w:topLinePunct w:val="0"/>
        <w:bidi w:val="0"/>
        <w:spacing w:before="156" w:beforeLines="50" w:after="156" w:afterLines="5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三、测评内容</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A．完成上述系统安全等级测评工作，测评后经用户方确认，出具符合</w:t>
      </w:r>
      <w:r>
        <w:rPr>
          <w:rStyle w:val="32"/>
          <w:rFonts w:hint="eastAsia" w:ascii="宋体" w:hAnsi="宋体" w:eastAsia="宋体" w:cs="宋体"/>
          <w:color w:val="auto"/>
          <w:sz w:val="24"/>
          <w:szCs w:val="24"/>
          <w:highlight w:val="none"/>
        </w:rPr>
        <w:t>网络安全等级保护</w:t>
      </w:r>
      <w:r>
        <w:rPr>
          <w:rFonts w:hint="eastAsia" w:ascii="宋体" w:hAnsi="宋体" w:eastAsia="宋体" w:cs="宋体"/>
          <w:color w:val="auto"/>
          <w:sz w:val="24"/>
          <w:szCs w:val="24"/>
          <w:highlight w:val="none"/>
        </w:rPr>
        <w:t>测评要求的测评报告；</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B．对上述系统不符合</w:t>
      </w:r>
      <w:r>
        <w:rPr>
          <w:rStyle w:val="32"/>
          <w:rFonts w:hint="eastAsia" w:ascii="宋体" w:hAnsi="宋体" w:eastAsia="宋体" w:cs="宋体"/>
          <w:color w:val="auto"/>
          <w:sz w:val="24"/>
          <w:szCs w:val="24"/>
          <w:highlight w:val="none"/>
        </w:rPr>
        <w:t>网络安全等级保护</w:t>
      </w:r>
      <w:r>
        <w:rPr>
          <w:rFonts w:hint="eastAsia" w:ascii="宋体" w:hAnsi="宋体" w:eastAsia="宋体" w:cs="宋体"/>
          <w:color w:val="auto"/>
          <w:sz w:val="24"/>
          <w:szCs w:val="24"/>
          <w:highlight w:val="none"/>
        </w:rPr>
        <w:t>有关管理规范和技术标准的，提出可行性整改方案，提供相应的安全整改建议书。</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A．等级测评及服务原则：符合性原则、标准性原则、规范性原则、可控性原则、整体性原则。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Style w:val="32"/>
          <w:rFonts w:hint="eastAsia" w:ascii="宋体" w:hAnsi="宋体" w:eastAsia="宋体" w:cs="宋体"/>
          <w:color w:val="auto"/>
          <w:sz w:val="24"/>
          <w:szCs w:val="24"/>
          <w:highlight w:val="none"/>
        </w:rPr>
        <w:t>网络安全等级保护</w:t>
      </w:r>
      <w:r>
        <w:rPr>
          <w:rFonts w:hint="eastAsia" w:ascii="宋体" w:hAnsi="宋体" w:eastAsia="宋体" w:cs="宋体"/>
          <w:color w:val="auto"/>
          <w:sz w:val="24"/>
          <w:szCs w:val="24"/>
          <w:highlight w:val="none"/>
        </w:rPr>
        <w:t>定级及测评服务依据：</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《中华人民共和国网络安全法》</w:t>
      </w:r>
    </w:p>
    <w:p>
      <w:pPr>
        <w:pageBreakBefore w:val="0"/>
        <w:kinsoku/>
        <w:wordWrap/>
        <w:overflowPunct/>
        <w:topLinePunct w:val="0"/>
        <w:bidi w:val="0"/>
        <w:spacing w:line="440" w:lineRule="exact"/>
        <w:ind w:firstLine="482" w:firstLineChars="200"/>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color w:val="auto"/>
          <w:sz w:val="24"/>
          <w:szCs w:val="24"/>
          <w:highlight w:val="none"/>
        </w:rPr>
        <w:t>《GB/T22239-2019信息安全技术 网络安全等级保护基本要求》，</w:t>
      </w:r>
    </w:p>
    <w:p>
      <w:pPr>
        <w:pageBreakBefore w:val="0"/>
        <w:kinsoku/>
        <w:wordWrap/>
        <w:overflowPunct/>
        <w:topLinePunct w:val="0"/>
        <w:bidi w:val="0"/>
        <w:spacing w:line="440" w:lineRule="exact"/>
        <w:ind w:firstLine="482" w:firstLineChars="200"/>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color w:val="auto"/>
          <w:sz w:val="24"/>
          <w:szCs w:val="24"/>
          <w:highlight w:val="none"/>
        </w:rPr>
        <w:t>《GB/T28448-2019 信息安全技术 网络安全等级保护测评要求》，</w:t>
      </w:r>
    </w:p>
    <w:p>
      <w:pPr>
        <w:pageBreakBefore w:val="0"/>
        <w:kinsoku/>
        <w:wordWrap/>
        <w:overflowPunct/>
        <w:topLinePunct w:val="0"/>
        <w:bidi w:val="0"/>
        <w:spacing w:line="440" w:lineRule="exact"/>
        <w:ind w:firstLine="482" w:firstLineChars="200"/>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color w:val="auto"/>
          <w:sz w:val="24"/>
          <w:szCs w:val="24"/>
          <w:highlight w:val="none"/>
        </w:rPr>
        <w:t>《GB/T 28449-2018 信息安全技术 网络安全等级保护测评过程指南》，</w:t>
      </w:r>
    </w:p>
    <w:p>
      <w:pPr>
        <w:pageBreakBefore w:val="0"/>
        <w:kinsoku/>
        <w:wordWrap/>
        <w:overflowPunct/>
        <w:topLinePunct w:val="0"/>
        <w:bidi w:val="0"/>
        <w:spacing w:line="440" w:lineRule="exact"/>
        <w:ind w:firstLine="482" w:firstLineChars="200"/>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color w:val="auto"/>
          <w:sz w:val="24"/>
          <w:szCs w:val="24"/>
          <w:highlight w:val="none"/>
        </w:rPr>
        <w:t>《GB/T 25058-2019 信息安全技术 网络安全等级保护实施指南》。</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3、网络安全等级保护测评内容：</w:t>
      </w:r>
    </w:p>
    <w:p>
      <w:pPr>
        <w:pageBreakBefore w:val="0"/>
        <w:kinsoku/>
        <w:wordWrap/>
        <w:overflowPunct/>
        <w:topLinePunct w:val="0"/>
        <w:bidi w:val="0"/>
        <w:spacing w:before="156" w:beforeLines="50" w:after="156" w:afterLines="5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A．安全技术测评：包括安全物理环境、安全区域边界、安全通信网络、安全计算环境和安全管理中心五个方面的安全测评；</w:t>
      </w:r>
    </w:p>
    <w:p>
      <w:pPr>
        <w:pageBreakBefore w:val="0"/>
        <w:kinsoku/>
        <w:wordWrap/>
        <w:overflowPunct/>
        <w:topLinePunct w:val="0"/>
        <w:bidi w:val="0"/>
        <w:spacing w:before="156" w:beforeLines="50" w:after="156" w:afterLines="5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B．安全管理测评：安全管理机构、安全管理制度、安全管理人员、安全建设管理和安全运维管理五个方面的安全控制测评。</w:t>
      </w:r>
    </w:p>
    <w:p>
      <w:pPr>
        <w:pageBreakBefore w:val="0"/>
        <w:kinsoku/>
        <w:wordWrap/>
        <w:overflowPunct/>
        <w:topLinePunct w:val="0"/>
        <w:bidi w:val="0"/>
        <w:spacing w:before="156" w:beforeLines="50" w:after="156" w:afterLines="5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4、提供整改咨询服务，根据所测系统的最终测评报告，对系统现状提出安全整改建议并协助整改工作，以期达到整改目的。</w:t>
      </w:r>
    </w:p>
    <w:p>
      <w:pPr>
        <w:pageBreakBefore w:val="0"/>
        <w:kinsoku/>
        <w:wordWrap/>
        <w:overflowPunct/>
        <w:topLinePunct w:val="0"/>
        <w:bidi w:val="0"/>
        <w:spacing w:before="156" w:beforeLines="50" w:after="156" w:afterLines="5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四、测评原则：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1、客观性和公正性原则：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测评人员应当没有偏见，在最小主观判断情形下，按照评估双方相互认可的评估方案，基于明确定义的测评方式和解释，实施评估活动。</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2、可重复性和可再现性原则：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3、连续性原则：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4、扩展性原则：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在评估过程结束后，信息安全测评过程要保持扩展性，从扩展的属性上进一步加强测评结束后采购方的安全管理有效性和可用性。</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5、保密原则：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在测评过程中，需严格遵循保密原则，双方签订保密协议，对服务过程中涉及到的任何用户信息未经允许不向其他任何第三方泄漏，以及不得利用这些信息损害采购方利益。</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6、互动原则：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在整个测评过程中，强调采购方的互动参与，每个阶段都能够及时根据采购方的要求和实际情况对测评的内容、方式做出相关调整，进而更好的进行风险评估工作。</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7、最小影响原则：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测评工作应该尽可能小地影响系统和网络的正常运行，不能对业务的正常运行产生明显的影响（包括系统性能明显下降、网络阻塞、服务中断等），如无法避免，则应做出说明。</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8、规范性原则：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网络安全等级保护测评服务的实施必须由专业的测评服务人员依照规范的操作流程进行，对操作过程和结果要有相应的记录，并提供完整的服务报告。</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9、质量保障原则：</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在整个测评过程中，须特别重视项目质量管理。项目的实施将严格按照项目实施方案和流程进行，并由项目协调小组从中监督，控制项目的进度和质量。</w:t>
      </w:r>
    </w:p>
    <w:p>
      <w:pPr>
        <w:pageBreakBefore w:val="0"/>
        <w:kinsoku/>
        <w:wordWrap/>
        <w:overflowPunct/>
        <w:topLinePunct w:val="0"/>
        <w:bidi w:val="0"/>
        <w:spacing w:before="156" w:beforeLines="50" w:after="156" w:afterLines="5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五、测评人员和时限要求：</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1、测评驻场人员要求：本次测评至少需要1名高级测评师，1名中级测评师， 2名初级测评师。本次等保测评项目不得转包或者分包，所有驻场测评师必须是中标公司自己的正式员工,所有驻场测评师必须持证上岗，响应文件中应提供项目组成员名单、社保主管部门出具的响应单位为其缴纳社保的证明、相关证书复印件等，未经采购方同意，项目组成员不得更改。</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2、测评时间要求：按照被测单位要求，合同签订完毕一周内启动测评工作。</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3、测评期限要求：签订合同后60天内完成网络安全等级保护测评并出具盖章报告，并完成备案。</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4、本项目不接受联合体投标。</w:t>
      </w:r>
    </w:p>
    <w:p>
      <w:pPr>
        <w:pageBreakBefore w:val="0"/>
        <w:widowControl/>
        <w:kinsoku/>
        <w:wordWrap/>
        <w:overflowPunct/>
        <w:topLinePunct w:val="0"/>
        <w:bidi w:val="0"/>
        <w:spacing w:line="44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六、服务地点</w:t>
      </w:r>
    </w:p>
    <w:p>
      <w:pPr>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采购方</w:t>
      </w:r>
      <w:r>
        <w:rPr>
          <w:rFonts w:hint="eastAsia" w:ascii="宋体" w:hAnsi="宋体" w:eastAsia="宋体" w:cs="宋体"/>
          <w:color w:val="auto"/>
          <w:kern w:val="0"/>
          <w:sz w:val="24"/>
          <w:szCs w:val="24"/>
          <w:highlight w:val="none"/>
        </w:rPr>
        <w:t>指定地点。</w:t>
      </w:r>
    </w:p>
    <w:p>
      <w:pPr>
        <w:pageBreakBefore w:val="0"/>
        <w:widowControl/>
        <w:kinsoku/>
        <w:wordWrap/>
        <w:overflowPunct/>
        <w:topLinePunct w:val="0"/>
        <w:bidi w:val="0"/>
        <w:spacing w:line="44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七、付款时间和条件</w:t>
      </w:r>
    </w:p>
    <w:p>
      <w:pPr>
        <w:pStyle w:val="22"/>
        <w:pageBreakBefore w:val="0"/>
        <w:kinsoku/>
        <w:wordWrap/>
        <w:overflowPunct/>
        <w:topLinePunct w:val="0"/>
        <w:bidi w:val="0"/>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本项目的测评费用,在提交测评报告的30个工作日内，由采购方一次性付清全款。</w:t>
      </w:r>
    </w:p>
    <w:p>
      <w:pPr>
        <w:pStyle w:val="5"/>
        <w:pageBreakBefore w:val="0"/>
        <w:kinsoku/>
        <w:wordWrap/>
        <w:overflowPunct/>
        <w:topLinePunct w:val="0"/>
        <w:bidi w:val="0"/>
        <w:spacing w:before="240" w:after="240" w:line="440" w:lineRule="exact"/>
        <w:jc w:val="center"/>
        <w:textAlignment w:val="auto"/>
        <w:rPr>
          <w:rFonts w:hint="eastAsia" w:ascii="宋体" w:hAnsi="宋体" w:eastAsia="宋体" w:cs="宋体"/>
          <w:color w:val="auto"/>
          <w:sz w:val="32"/>
          <w:szCs w:val="32"/>
          <w:highlight w:val="none"/>
        </w:rPr>
      </w:pPr>
      <w:bookmarkStart w:id="4" w:name="_Toc42779654"/>
    </w:p>
    <w:p>
      <w:pPr>
        <w:pStyle w:val="5"/>
        <w:pageBreakBefore w:val="0"/>
        <w:kinsoku/>
        <w:wordWrap/>
        <w:overflowPunct/>
        <w:topLinePunct w:val="0"/>
        <w:bidi w:val="0"/>
        <w:spacing w:before="240" w:after="240" w:line="440" w:lineRule="exact"/>
        <w:jc w:val="both"/>
        <w:textAlignment w:val="auto"/>
        <w:rPr>
          <w:rFonts w:hint="eastAsia" w:ascii="宋体" w:hAnsi="宋体" w:eastAsia="宋体" w:cs="宋体"/>
          <w:color w:val="auto"/>
          <w:sz w:val="32"/>
          <w:szCs w:val="32"/>
          <w:highlight w:val="none"/>
        </w:rPr>
      </w:pPr>
    </w:p>
    <w:p>
      <w:pPr>
        <w:rPr>
          <w:rFonts w:hint="eastAsia"/>
          <w:color w:val="auto"/>
        </w:rPr>
      </w:pPr>
    </w:p>
    <w:p>
      <w:pPr>
        <w:pStyle w:val="5"/>
        <w:pageBreakBefore w:val="0"/>
        <w:kinsoku/>
        <w:wordWrap/>
        <w:overflowPunct/>
        <w:topLinePunct w:val="0"/>
        <w:bidi w:val="0"/>
        <w:spacing w:before="240" w:after="240" w:line="440" w:lineRule="exact"/>
        <w:jc w:val="both"/>
        <w:textAlignment w:val="auto"/>
        <w:rPr>
          <w:rFonts w:hint="eastAsia" w:ascii="宋体" w:hAnsi="宋体" w:eastAsia="宋体" w:cs="宋体"/>
          <w:color w:val="auto"/>
          <w:sz w:val="32"/>
          <w:szCs w:val="32"/>
          <w:highlight w:val="none"/>
        </w:rPr>
      </w:pPr>
    </w:p>
    <w:p>
      <w:pPr>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lang w:val="en-US" w:eastAsia="zh-CN"/>
        </w:rPr>
        <w:t xml:space="preserve">  </w:t>
      </w:r>
    </w:p>
    <w:p>
      <w:pPr>
        <w:pStyle w:val="5"/>
        <w:pageBreakBefore w:val="0"/>
        <w:kinsoku/>
        <w:wordWrap/>
        <w:overflowPunct/>
        <w:topLinePunct w:val="0"/>
        <w:bidi w:val="0"/>
        <w:spacing w:before="240" w:after="240" w:line="440" w:lineRule="exact"/>
        <w:ind w:firstLine="2891" w:firstLineChars="900"/>
        <w:jc w:val="both"/>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 xml:space="preserve">四部分  </w:t>
      </w:r>
      <w:bookmarkEnd w:id="4"/>
      <w:r>
        <w:rPr>
          <w:rFonts w:hint="eastAsia" w:ascii="宋体" w:hAnsi="宋体" w:eastAsia="宋体" w:cs="宋体"/>
          <w:color w:val="auto"/>
          <w:sz w:val="32"/>
          <w:szCs w:val="32"/>
          <w:highlight w:val="none"/>
          <w:lang w:val="zh-CN"/>
        </w:rPr>
        <w:t>磋商评审程序和内容</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招标人组织开标</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投标人的法定代表人或授权人须持有效身份证参加开标会。</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二、评委会的组成</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代表和委托的专家共5人以上单数组成，对投标文件进行审查、质疑、评估、比较。评委会按照公平、公正、择优的原则进行独立评标。</w:t>
      </w:r>
    </w:p>
    <w:p>
      <w:pPr>
        <w:keepNext w:val="0"/>
        <w:keepLines w:val="0"/>
        <w:pageBreakBefore w:val="0"/>
        <w:kinsoku/>
        <w:wordWrap/>
        <w:overflowPunct/>
        <w:topLinePunct w:val="0"/>
        <w:bidi w:val="0"/>
        <w:snapToGrid w:val="0"/>
        <w:spacing w:line="42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（一）评审内容</w:t>
      </w:r>
    </w:p>
    <w:p>
      <w:pPr>
        <w:keepNext w:val="0"/>
        <w:keepLines w:val="0"/>
        <w:pageBreakBefore w:val="0"/>
        <w:kinsoku/>
        <w:wordWrap/>
        <w:overflowPunct/>
        <w:topLinePunct w:val="0"/>
        <w:bidi w:val="0"/>
        <w:snapToGrid w:val="0"/>
        <w:spacing w:line="420" w:lineRule="exact"/>
        <w:ind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1、投标人投标资格；</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2、要求的保证金是否已提供；</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3、投标文件是否完整；</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4、投标文件是否恰当地签署；</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5、是否作出实质性响应</w:t>
      </w:r>
      <w:r>
        <w:rPr>
          <w:rFonts w:hint="eastAsia" w:ascii="宋体" w:hAnsi="宋体" w:eastAsia="宋体" w:cs="宋体"/>
          <w:b/>
          <w:color w:val="auto"/>
          <w:sz w:val="24"/>
          <w:szCs w:val="24"/>
          <w:highlight w:val="none"/>
        </w:rPr>
        <w:t>;</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6、是否有计算错误。</w:t>
      </w:r>
    </w:p>
    <w:p>
      <w:pPr>
        <w:keepNext w:val="0"/>
        <w:keepLines w:val="0"/>
        <w:pageBreakBefore w:val="0"/>
        <w:kinsoku/>
        <w:wordWrap/>
        <w:overflowPunct/>
        <w:topLinePunct w:val="0"/>
        <w:bidi w:val="0"/>
        <w:snapToGrid w:val="0"/>
        <w:spacing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（二）相应的规定</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如果单价汇总金额与总价金额有出入，以单价金额计算结果为准；</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2、单价金额小数点有明显错位的，应以总价为准；</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3、正本与副本有矛盾的，以正本为准；</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4、若文件大写表示的数据与数字表示的有差别，以大写表示的数据为准。</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三、陈述、演示、答疑、澄清</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如评委会认为有必要，投标人按评委会的要求作陈述、演示、</w:t>
      </w:r>
      <w:r>
        <w:rPr>
          <w:rFonts w:hint="eastAsia" w:ascii="宋体" w:hAnsi="宋体" w:eastAsia="宋体" w:cs="宋体"/>
          <w:color w:val="auto"/>
          <w:sz w:val="24"/>
          <w:szCs w:val="24"/>
          <w:highlight w:val="none"/>
        </w:rPr>
        <w:t>答疑及澄清其投标内容。时间由</w:t>
      </w:r>
      <w:r>
        <w:rPr>
          <w:rFonts w:hint="eastAsia" w:ascii="宋体" w:hAnsi="宋体" w:eastAsia="宋体" w:cs="宋体"/>
          <w:color w:val="auto"/>
          <w:sz w:val="24"/>
          <w:szCs w:val="24"/>
          <w:highlight w:val="none"/>
          <w:shd w:val="clear" w:color="auto" w:fill="FFFFFF"/>
        </w:rPr>
        <w:t>评委会</w:t>
      </w:r>
      <w:r>
        <w:rPr>
          <w:rFonts w:hint="eastAsia" w:ascii="宋体" w:hAnsi="宋体" w:eastAsia="宋体" w:cs="宋体"/>
          <w:color w:val="auto"/>
          <w:sz w:val="24"/>
          <w:szCs w:val="24"/>
          <w:highlight w:val="none"/>
        </w:rPr>
        <w:t>掌握。</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重要澄清答复应是书面的，但不得对投标内容进行实质性修改。</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四、出现下列情形之一的，作无效投标处理</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1、未按照招标文件规定要求装订、标记、密封、签署、盖章的；</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2、不具备招标文件中规定的技术规格参数要求的；</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3、不符合法律、法规和招标文件中规定的其他实质性要求的。</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五、出现下列情形之一的，作废标处理</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1、出现影响采购公正的违法违规行为的；</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2、投标人的报价均超过了采购预算，采购人不能支付的；</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pPr>
        <w:keepNext w:val="0"/>
        <w:keepLines w:val="0"/>
        <w:pageBreakBefore w:val="0"/>
        <w:kinsoku/>
        <w:wordWrap/>
        <w:overflowPunct/>
        <w:topLinePunct w:val="0"/>
        <w:bidi w:val="0"/>
        <w:snapToGrid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上述均保留</w:t>
      </w:r>
      <w:r>
        <w:rPr>
          <w:rFonts w:hint="eastAsia" w:ascii="宋体" w:hAnsi="宋体" w:eastAsia="宋体" w:cs="宋体"/>
          <w:color w:val="auto"/>
          <w:sz w:val="24"/>
          <w:szCs w:val="24"/>
          <w:highlight w:val="none"/>
          <w:shd w:val="clear" w:color="auto" w:fill="FFFFFF"/>
        </w:rPr>
        <w:t>评委会</w:t>
      </w:r>
      <w:r>
        <w:rPr>
          <w:rFonts w:hint="eastAsia" w:ascii="宋体" w:hAnsi="宋体" w:eastAsia="宋体" w:cs="宋体"/>
          <w:color w:val="auto"/>
          <w:sz w:val="24"/>
          <w:szCs w:val="24"/>
          <w:highlight w:val="none"/>
        </w:rPr>
        <w:t>认定可以确定为无效投标或废标的其他情况。</w:t>
      </w:r>
    </w:p>
    <w:p>
      <w:pPr>
        <w:keepNext w:val="0"/>
        <w:keepLines w:val="0"/>
        <w:pageBreakBefore w:val="0"/>
        <w:tabs>
          <w:tab w:val="left" w:pos="3585"/>
        </w:tabs>
        <w:kinsoku/>
        <w:wordWrap/>
        <w:overflowPunct/>
        <w:topLinePunct w:val="0"/>
        <w:bidi w:val="0"/>
        <w:snapToGrid w:val="0"/>
        <w:spacing w:before="156" w:beforeLines="50" w:after="156" w:afterLines="50" w:line="42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六、变更为其他方式采购的情形</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提交响应文件截止时间时参加磋商的供应商不足2家的，</w:t>
      </w:r>
      <w:r>
        <w:rPr>
          <w:rFonts w:hint="eastAsia" w:ascii="宋体" w:hAnsi="宋体" w:cs="宋体"/>
          <w:color w:val="auto"/>
          <w:kern w:val="0"/>
          <w:sz w:val="24"/>
          <w:szCs w:val="24"/>
          <w:highlight w:val="none"/>
          <w:lang w:val="en-US" w:eastAsia="zh-CN"/>
        </w:rPr>
        <w:t>采购人终止竞争性磋商采购活动，发布项目终止公告并说明原因，重新开展采购活动。</w:t>
      </w:r>
    </w:p>
    <w:p>
      <w:pPr>
        <w:keepNext w:val="0"/>
        <w:keepLines w:val="0"/>
        <w:pageBreakBefore w:val="0"/>
        <w:numPr>
          <w:ilvl w:val="0"/>
          <w:numId w:val="0"/>
        </w:numPr>
        <w:kinsoku/>
        <w:wordWrap/>
        <w:overflowPunct/>
        <w:topLinePunct w:val="0"/>
        <w:autoSpaceDE w:val="0"/>
        <w:autoSpaceDN w:val="0"/>
        <w:bidi w:val="0"/>
        <w:snapToGrid w:val="0"/>
        <w:spacing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评分标准</w:t>
      </w:r>
    </w:p>
    <w:p>
      <w:pPr>
        <w:keepNext w:val="0"/>
        <w:keepLines w:val="0"/>
        <w:pageBreakBefore w:val="0"/>
        <w:kinsoku/>
        <w:wordWrap/>
        <w:overflowPunct/>
        <w:topLinePunct w:val="0"/>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按照供应商资质、技术能力、服务能力和报价均能满足采购招标需求要求且综合评分最高的为中标第一候选人，如得分有相同的，则技术商务分高的单位排名在前，如技术商务分得分也相同，则通过抽签方式确定排序。若中标单位放弃资格，由中标第二候选人单位中标，以此类推。</w:t>
      </w:r>
    </w:p>
    <w:p>
      <w:pPr>
        <w:keepNext w:val="0"/>
        <w:keepLines w:val="0"/>
        <w:pageBreakBefore w:val="0"/>
        <w:kinsoku/>
        <w:wordWrap/>
        <w:overflowPunct/>
        <w:topLinePunct w:val="0"/>
        <w:bidi w:val="0"/>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采购人首先对供应商资格审查通过后，磋商小组按照下列指标对各竞标人进行符合性审查，未通过审查的为无效标，不再参与评审。</w:t>
      </w:r>
    </w:p>
    <w:p>
      <w:pPr>
        <w:keepNext w:val="0"/>
        <w:keepLines w:val="0"/>
        <w:pageBreakBefore w:val="0"/>
        <w:kinsoku/>
        <w:wordWrap/>
        <w:overflowPunct/>
        <w:topLinePunct w:val="0"/>
        <w:bidi w:val="0"/>
        <w:snapToGrid w:val="0"/>
        <w:spacing w:line="420" w:lineRule="exact"/>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商务技术部分评审结束后，再开启最后报价计算分值。总分值为100分，加分和减分因素除外。</w:t>
      </w:r>
    </w:p>
    <w:p>
      <w:pPr>
        <w:keepNext w:val="0"/>
        <w:keepLines w:val="0"/>
        <w:pageBreakBefore w:val="0"/>
        <w:kinsoku/>
        <w:wordWrap/>
        <w:overflowPunct/>
        <w:topLinePunct w:val="0"/>
        <w:bidi w:val="0"/>
        <w:snapToGrid w:val="0"/>
        <w:spacing w:line="420" w:lineRule="exact"/>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磋商小组由5人或以上单数组成，供应商投标得分为磋商小组所有评审成员的平均分。</w:t>
      </w:r>
    </w:p>
    <w:p>
      <w:pPr>
        <w:keepNext w:val="0"/>
        <w:keepLines w:val="0"/>
        <w:pageBreakBefore w:val="0"/>
        <w:kinsoku/>
        <w:wordWrap/>
        <w:overflowPunct/>
        <w:topLinePunct w:val="0"/>
        <w:bidi w:val="0"/>
        <w:spacing w:line="42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（一）资格审查因数：</w:t>
      </w:r>
    </w:p>
    <w:tbl>
      <w:tblPr>
        <w:tblStyle w:val="18"/>
        <w:tblW w:w="4738" w:type="pct"/>
        <w:tblInd w:w="32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314"/>
        <w:gridCol w:w="4801"/>
        <w:gridCol w:w="276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443" w:type="pct"/>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审查评审因素</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restar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评审因素</w:t>
            </w: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法人或者其他组织的营业执照等证明文件，自然人身份证明</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法人身份证明或法人授权委托书</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上一年度的</w:t>
            </w:r>
            <w:r>
              <w:rPr>
                <w:rFonts w:hint="eastAsia" w:ascii="宋体" w:hAnsi="宋体" w:eastAsia="宋体" w:cs="宋体"/>
                <w:color w:val="auto"/>
                <w:sz w:val="21"/>
                <w:szCs w:val="21"/>
                <w:highlight w:val="none"/>
              </w:rPr>
              <w:t>财务状况报告，依法缴纳税收和社会保障资金的相关材料</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具备履行合同所必需的设备和专业技术能力的证明材料</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参加政府采购活动前三年内，在经营活动中没有重大违法记录书面声明</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磋商报价密封袋</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原件包</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供应商信用信息在信用中国、信用江苏、南通、天眼查等查询查证</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符合政府采购活动相关要求。截止时间点为提交相应文件时点。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具备在有效期内的国家部委或江苏省网络信息安全等级保护评估中心颁发的《网络安全等级保护测评机构推荐证书》</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符合磋商文件其他要求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符合磋商文件其他要求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4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p>
        </w:tc>
        <w:tc>
          <w:tcPr>
            <w:tcW w:w="270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w:t>
            </w:r>
          </w:p>
        </w:tc>
        <w:tc>
          <w:tcPr>
            <w:tcW w:w="155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符合磋商文件商务技术服务要求</w:t>
            </w:r>
          </w:p>
        </w:tc>
      </w:tr>
    </w:tbl>
    <w:p>
      <w:pPr>
        <w:keepNext w:val="0"/>
        <w:keepLines w:val="0"/>
        <w:pageBreakBefore w:val="0"/>
        <w:kinsoku/>
        <w:wordWrap/>
        <w:overflowPunct/>
        <w:topLinePunct w:val="0"/>
        <w:bidi w:val="0"/>
        <w:snapToGrid w:val="0"/>
        <w:spacing w:line="420" w:lineRule="exact"/>
        <w:jc w:val="left"/>
        <w:textAlignment w:val="auto"/>
        <w:rPr>
          <w:rFonts w:hint="eastAsia" w:ascii="宋体" w:hAnsi="宋体" w:eastAsia="宋体" w:cs="宋体"/>
          <w:b/>
          <w:color w:val="auto"/>
          <w:sz w:val="21"/>
          <w:szCs w:val="21"/>
          <w:highlight w:val="none"/>
        </w:rPr>
      </w:pPr>
    </w:p>
    <w:p>
      <w:pPr>
        <w:keepNext w:val="0"/>
        <w:keepLines w:val="0"/>
        <w:pageBreakBefore w:val="0"/>
        <w:kinsoku/>
        <w:wordWrap/>
        <w:overflowPunct/>
        <w:topLinePunct w:val="0"/>
        <w:bidi w:val="0"/>
        <w:snapToGrid w:val="0"/>
        <w:spacing w:line="420" w:lineRule="exact"/>
        <w:ind w:left="2"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zh-CN"/>
        </w:rPr>
        <w:t>(二)商务技术分：70 分</w:t>
      </w:r>
    </w:p>
    <w:tbl>
      <w:tblPr>
        <w:tblStyle w:val="1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27"/>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0" w:type="dxa"/>
            <w:noWrap/>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b/>
                <w:bCs/>
                <w:color w:val="auto"/>
                <w:sz w:val="21"/>
                <w:szCs w:val="21"/>
                <w:highlight w:val="none"/>
              </w:rPr>
            </w:pPr>
          </w:p>
        </w:tc>
        <w:tc>
          <w:tcPr>
            <w:tcW w:w="1227" w:type="dxa"/>
            <w:noWrap/>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750" w:type="dxa"/>
            <w:noWrap/>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0" w:type="dxa"/>
            <w:vMerge w:val="restart"/>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技术商务标（70分）</w:t>
            </w:r>
          </w:p>
        </w:tc>
        <w:tc>
          <w:tcPr>
            <w:tcW w:w="1227"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公司资质</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（14分）</w:t>
            </w:r>
          </w:p>
        </w:tc>
        <w:tc>
          <w:tcPr>
            <w:tcW w:w="6750" w:type="dxa"/>
            <w:noWrap/>
            <w:vAlign w:val="center"/>
          </w:tcPr>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1.具有中国网络安全审查技术与认证中心（CCRC）颁发的信息安全风险评估服务资质的得4分，没有不得分。</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2.具有中国网络安全审查技术与认证中心（CCRC）颁发的信息系统安全运维服务资质的得4分，没有不得分。</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3.具有ISO27001网络安全管理体系认证证书的得3分（认证范围必须含：等级保护测评），没有不得分。</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4.具有ISO9001质量管理体系认证证书的得3分（认证范围必须含：等级保护测评），没有不得分。</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证明材料：</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210" w:firstLineChars="1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restart"/>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技术实力</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响应供应商三年以上（含三年）在CNAS测评能力验证结果均为“满意”的得6分。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证明材料：</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210" w:firstLineChars="1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提供中国合格评定国家认可委员会出具的能力验证计划结果证书复印件并加盖响应供应商公章。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响应供应商与信息安全等级保护关键技术国家工程实验室有合作的得4分；响应供应商与信息安全等级保护关键技术国家工程实验室分实验室有合作的得2分；没有不得分。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证明材料：提供正式的合作协议复印件并加盖响应供应商公章。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restart"/>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项目组成员（15分）</w:t>
            </w: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承担本次项目的项目团队人员具备：</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315" w:firstLineChars="15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本项目拟派团队的项目经理为高级测评师得3分，项目经理有CISSP认证的得2分；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证明材料： </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（1）提供拟派人员名单以及以上相关证明材料复印件并加盖供应商公章；</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（2）拟派人员为本单位正式员工，提供近2021年近三个月社保部门出具的供应商为其缴纳养老保险缴纳证明材料并加盖单位公章。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承担本次项目的项目团队中除项目经理外人员具备:</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（1）本项目拟派团队中持有高级测评师，每人次得2分，最高得4分；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（2）本项目拟派团队中持有中华人民共和国人力资源和社会保障部、工业和信息化部批准颁发的“信息安全工程师”证书，有一个得2分，最高2分；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（3）本项目拟派团队中持有信息安全保障人员认证证书（CISAW），每人次得1分，最高得2分；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（4）本项目拟派团队中持有重要信息系统安全等级保护培训证书（CIIP-T），每人次得1分，最高得2分。没有不得分；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证明材料： </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（1）提供拟派人员名单以及以上相关证明材料复印件并加盖供应商公章；</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（2）拟派人员为本单位正式员工，提供近2021年近三个月社保部门出具的供应商为其缴纳养老保险缴纳证明材料并加盖单位公章。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业绩（15分）</w:t>
            </w: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响应供应商提供2020年以来类似测评业绩：每个业绩得3分，最高得15分。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证明材料：提供合同复印件并加盖响应供应商公章。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restart"/>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服务能力</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（16分）</w:t>
            </w: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提供符合本项目实际需求的网络安全等级保护测评方案，评审小组进行横向比较，分档打分，一档10分；二档7分，三档4分，方案质量低劣或不提供不得分。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00"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1227" w:type="dxa"/>
            <w:vMerge w:val="continue"/>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p>
        </w:tc>
        <w:tc>
          <w:tcPr>
            <w:tcW w:w="6750" w:type="dxa"/>
            <w:noWrap/>
            <w:vAlign w:val="center"/>
          </w:tcPr>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事件应急响应能力：我单位承载业务系统非常重要，不容有失，一旦发生网络安全事件，必须得到及时处理，响应供应商必须提供网络安全事件应急响应服务，2小时内到场响应且响应时间最快的得6分，其次得4分，到场响应时间超过3小时不得分。</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证明材料：</w:t>
            </w:r>
          </w:p>
          <w:p>
            <w:pPr>
              <w:pStyle w:val="22"/>
              <w:keepNext w:val="0"/>
              <w:keepLines w:val="0"/>
              <w:pageBreakBefore w:val="0"/>
              <w:widowControl w:val="0"/>
              <w:kinsoku/>
              <w:wordWrap/>
              <w:overflowPunct/>
              <w:topLinePunct w:val="0"/>
              <w:autoSpaceDE/>
              <w:autoSpaceDN/>
              <w:bidi w:val="0"/>
              <w:adjustRightInd/>
              <w:snapToGrid w:val="0"/>
              <w:spacing w:line="420" w:lineRule="exact"/>
              <w:ind w:firstLine="315" w:firstLineChars="15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提供应急响应承诺函，安全事件应急响应服务时间以投标企业注册地址至被测评单位主流导航地图截图为准。</w:t>
            </w:r>
          </w:p>
        </w:tc>
      </w:tr>
    </w:tbl>
    <w:p>
      <w:pPr>
        <w:pStyle w:val="22"/>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color w:val="auto"/>
          <w:sz w:val="21"/>
          <w:szCs w:val="21"/>
          <w:highlight w:val="none"/>
        </w:rPr>
        <w:t>注：在以上评审项评分标准中材料提供复印件的，响应（投标）人须保证复印件与原件保持一致，并加盖公章。中标成交后，采购单位有权对原件进行进一步核实。</w:t>
      </w:r>
    </w:p>
    <w:p>
      <w:pPr>
        <w:keepNext w:val="0"/>
        <w:keepLines w:val="0"/>
        <w:pageBreakBefore w:val="0"/>
        <w:kinsoku/>
        <w:wordWrap/>
        <w:overflowPunct/>
        <w:topLinePunct w:val="0"/>
        <w:bidi w:val="0"/>
        <w:adjustRightInd w:val="0"/>
        <w:snapToGrid w:val="0"/>
        <w:spacing w:line="420" w:lineRule="exact"/>
        <w:ind w:firstLine="562" w:firstLineChars="200"/>
        <w:jc w:val="lef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zh-CN"/>
        </w:rPr>
        <w:t>三</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zh-CN"/>
        </w:rPr>
        <w:t>价格分</w:t>
      </w:r>
      <w:r>
        <w:rPr>
          <w:rFonts w:hint="eastAsia" w:ascii="宋体" w:hAnsi="宋体" w:eastAsia="宋体" w:cs="宋体"/>
          <w:b/>
          <w:bCs w:val="0"/>
          <w:color w:val="auto"/>
          <w:sz w:val="28"/>
          <w:szCs w:val="28"/>
          <w:highlight w:val="none"/>
        </w:rPr>
        <w:t>：30</w:t>
      </w:r>
      <w:r>
        <w:rPr>
          <w:rFonts w:hint="eastAsia" w:ascii="宋体" w:hAnsi="宋体" w:eastAsia="宋体" w:cs="宋体"/>
          <w:b/>
          <w:bCs w:val="0"/>
          <w:color w:val="auto"/>
          <w:sz w:val="28"/>
          <w:szCs w:val="28"/>
          <w:highlight w:val="none"/>
          <w:lang w:val="zh-CN"/>
        </w:rPr>
        <w:t>分</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价格分统一采用低价优先法计算，即满足磋商采购文件要求且最后报价最低的磋商价格为评标基准价，其价格分为满分。其他磋商响应投标人的最后价格分统一按照下列公式计算：</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磋商报价得分=（磋商评标基准价/磋商最后报价）×价格权值×100</w:t>
      </w:r>
    </w:p>
    <w:p>
      <w:pPr>
        <w:keepNext w:val="0"/>
        <w:keepLines w:val="0"/>
        <w:pageBreakBefore w:val="0"/>
        <w:kinsoku/>
        <w:wordWrap/>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磋商评审过程中，不得去掉最后报价中的最高报价和最低报价。</w:t>
      </w:r>
    </w:p>
    <w:p>
      <w:pPr>
        <w:pStyle w:val="40"/>
        <w:keepNext w:val="0"/>
        <w:keepLines w:val="0"/>
        <w:pageBreakBefore w:val="0"/>
        <w:kinsoku/>
        <w:wordWrap/>
        <w:overflowPunct/>
        <w:topLinePunct w:val="0"/>
        <w:bidi w:val="0"/>
        <w:snapToGrid w:val="0"/>
        <w:spacing w:line="420" w:lineRule="exact"/>
        <w:ind w:firstLine="579"/>
        <w:contextualSpacing/>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出现下列情形之一的，竞争性磋商采购活动终止，发布项目终止公告并说明原因，重新开展采购活动：</w:t>
      </w:r>
    </w:p>
    <w:p>
      <w:pPr>
        <w:pStyle w:val="40"/>
        <w:keepNext w:val="0"/>
        <w:keepLines w:val="0"/>
        <w:pageBreakBefore w:val="0"/>
        <w:kinsoku/>
        <w:wordWrap/>
        <w:overflowPunct/>
        <w:topLinePunct w:val="0"/>
        <w:bidi w:val="0"/>
        <w:snapToGrid w:val="0"/>
        <w:spacing w:line="420" w:lineRule="exact"/>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pPr>
        <w:pStyle w:val="40"/>
        <w:keepNext w:val="0"/>
        <w:keepLines w:val="0"/>
        <w:pageBreakBefore w:val="0"/>
        <w:kinsoku/>
        <w:wordWrap/>
        <w:overflowPunct/>
        <w:topLinePunct w:val="0"/>
        <w:bidi w:val="0"/>
        <w:snapToGrid w:val="0"/>
        <w:spacing w:line="420" w:lineRule="exact"/>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pStyle w:val="40"/>
        <w:keepNext w:val="0"/>
        <w:keepLines w:val="0"/>
        <w:pageBreakBefore w:val="0"/>
        <w:kinsoku/>
        <w:wordWrap/>
        <w:overflowPunct/>
        <w:topLinePunct w:val="0"/>
        <w:bidi w:val="0"/>
        <w:snapToGrid w:val="0"/>
        <w:spacing w:line="420" w:lineRule="exact"/>
        <w:ind w:firstLine="480" w:firstLineChars="200"/>
        <w:contextualSpacing/>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（三）在采购过程中符合要求的供应商或者报价未超过采购预算的供应商不足2家的。</w:t>
      </w:r>
    </w:p>
    <w:p>
      <w:pPr>
        <w:keepNext w:val="0"/>
        <w:keepLines w:val="0"/>
        <w:pageBreakBefore w:val="0"/>
        <w:kinsoku/>
        <w:wordWrap/>
        <w:overflowPunct/>
        <w:topLinePunct w:val="0"/>
        <w:bidi w:val="0"/>
        <w:snapToGrid w:val="0"/>
        <w:spacing w:line="420" w:lineRule="exact"/>
        <w:ind w:firstLine="482" w:firstLineChars="200"/>
        <w:textAlignment w:val="auto"/>
        <w:rPr>
          <w:rFonts w:hint="eastAsia" w:ascii="宋体" w:hAnsi="宋体" w:eastAsia="宋体" w:cs="宋体"/>
          <w:b/>
          <w:color w:val="auto"/>
          <w:sz w:val="24"/>
          <w:szCs w:val="24"/>
          <w:highlight w:val="none"/>
        </w:rPr>
      </w:pPr>
      <w:bookmarkStart w:id="5" w:name="_Toc42779655"/>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、中标成交通知</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中标成交结果在《南通网》）公告，</w:t>
      </w:r>
      <w:r>
        <w:rPr>
          <w:rFonts w:hint="eastAsia" w:ascii="宋体" w:hAnsi="宋体" w:eastAsia="宋体" w:cs="宋体"/>
          <w:color w:val="auto"/>
          <w:sz w:val="24"/>
          <w:szCs w:val="24"/>
          <w:highlight w:val="none"/>
          <w:shd w:val="clear" w:color="auto" w:fill="FFFFFF"/>
        </w:rPr>
        <w:t>中标成交公告期限为1个工作日。</w:t>
      </w:r>
      <w:r>
        <w:rPr>
          <w:rFonts w:hint="eastAsia" w:ascii="宋体" w:hAnsi="宋体" w:eastAsia="宋体" w:cs="宋体"/>
          <w:color w:val="auto"/>
          <w:sz w:val="24"/>
          <w:szCs w:val="24"/>
          <w:highlight w:val="none"/>
        </w:rPr>
        <w:t>《成交通知书》一经发出，如采购单位改变成交结果，或者成交供应商放弃成交的，各自承担相应的法律责任。</w:t>
      </w:r>
    </w:p>
    <w:p>
      <w:pPr>
        <w:keepNext w:val="0"/>
        <w:keepLines w:val="0"/>
        <w:pageBreakBefore w:val="0"/>
        <w:kinsoku/>
        <w:wordWrap/>
        <w:overflowPunct/>
        <w:topLinePunct w:val="0"/>
        <w:bidi w:val="0"/>
        <w:snapToGrid w:val="0"/>
        <w:spacing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、其他注意事项</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1.在响应、评审、磋商期间，供应商不得向评委询问情况，不得进行旨在影响评审、磋商结果的活动。</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2.磋商小组不得向参与竞争性磋商采购活动供应商解释落选原因。</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3.在响应、磋商、评审过程中，如果响应供应商联合故意抬高报价或出现其他不正当行为，采购人有权中止响应或磋商、评审。</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凡在响应、磋商、评审过程中，采购人已提示是否异议的事项，响应人当时没有提出异议的，事后响应人不得针对上述事项提出质疑。比如：采购人在评审中提示评委成员是否回避，响应人现场未提出异议的，事后不得针对评委成员回避事项提出质疑。</w:t>
      </w:r>
    </w:p>
    <w:p>
      <w:pPr>
        <w:keepNext w:val="0"/>
        <w:keepLines w:val="0"/>
        <w:pageBreakBefore w:val="0"/>
        <w:kinsoku/>
        <w:wordWrap/>
        <w:overflowPunct/>
        <w:topLinePunct w:val="0"/>
        <w:bidi w:val="0"/>
        <w:snapToGrid w:val="0"/>
        <w:spacing w:line="420" w:lineRule="exact"/>
        <w:ind w:firstLine="560" w:firstLineChars="200"/>
        <w:textAlignment w:val="auto"/>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autoSpaceDE w:val="0"/>
        <w:autoSpaceDN w:val="0"/>
        <w:adjustRightInd w:val="0"/>
        <w:snapToGrid w:val="0"/>
        <w:spacing w:line="480" w:lineRule="exact"/>
        <w:jc w:val="both"/>
        <w:rPr>
          <w:rFonts w:hint="eastAsia" w:ascii="宋体" w:hAnsi="宋体" w:eastAsia="宋体" w:cs="宋体"/>
          <w:b/>
          <w:color w:val="auto"/>
          <w:sz w:val="28"/>
          <w:szCs w:val="28"/>
          <w:highlight w:val="none"/>
        </w:rPr>
      </w:pPr>
      <w:bookmarkStart w:id="6" w:name="_Toc28934"/>
    </w:p>
    <w:p>
      <w:pPr>
        <w:autoSpaceDE w:val="0"/>
        <w:autoSpaceDN w:val="0"/>
        <w:adjustRightInd w:val="0"/>
        <w:snapToGrid w:val="0"/>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第五部分  拟签订的合同（协议）文本格式及条款</w:t>
      </w:r>
      <w:bookmarkEnd w:id="6"/>
    </w:p>
    <w:p>
      <w:pPr>
        <w:pStyle w:val="39"/>
        <w:spacing w:line="520" w:lineRule="exact"/>
        <w:jc w:val="center"/>
        <w:rPr>
          <w:rFonts w:hint="eastAsia" w:ascii="宋体" w:hAnsi="宋体" w:eastAsia="宋体" w:cs="宋体"/>
          <w:bCs/>
          <w:color w:val="auto"/>
          <w:kern w:val="2"/>
          <w:sz w:val="24"/>
          <w:szCs w:val="24"/>
          <w:highlight w:val="none"/>
        </w:rPr>
      </w:pPr>
    </w:p>
    <w:p>
      <w:pPr>
        <w:pStyle w:val="39"/>
        <w:spacing w:line="52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             </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 xml:space="preserve"> 合同签约地点：南通市崇川区</w:t>
      </w:r>
    </w:p>
    <w:p>
      <w:pPr>
        <w:pStyle w:val="39"/>
        <w:spacing w:line="520" w:lineRule="exact"/>
        <w:rPr>
          <w:rFonts w:hint="eastAsia" w:ascii="宋体" w:hAnsi="宋体" w:eastAsia="宋体" w:cs="宋体"/>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r>
        <w:rPr>
          <w:rFonts w:hint="eastAsia" w:ascii="宋体" w:hAnsi="宋体" w:eastAsia="宋体" w:cs="宋体"/>
          <w:bCs/>
          <w:color w:val="auto"/>
          <w:kern w:val="2"/>
          <w:sz w:val="24"/>
          <w:szCs w:val="24"/>
          <w:highlight w:val="none"/>
        </w:rPr>
        <w:t xml:space="preserve"> </w:t>
      </w:r>
      <w:r>
        <w:rPr>
          <w:rFonts w:hint="eastAsia" w:ascii="宋体" w:hAnsi="宋体" w:eastAsia="宋体" w:cs="宋体"/>
          <w:bCs/>
          <w:color w:val="auto"/>
          <w:kern w:val="2"/>
          <w:sz w:val="24"/>
          <w:szCs w:val="24"/>
          <w:highlight w:val="none"/>
          <w:lang w:val="en-US" w:eastAsia="zh-CN"/>
        </w:rPr>
        <w:t xml:space="preserve">     </w:t>
      </w:r>
      <w:r>
        <w:rPr>
          <w:rFonts w:hint="eastAsia" w:ascii="宋体" w:hAnsi="宋体" w:eastAsia="宋体" w:cs="宋体"/>
          <w:bCs/>
          <w:color w:val="auto"/>
          <w:kern w:val="2"/>
          <w:sz w:val="24"/>
          <w:szCs w:val="24"/>
          <w:highlight w:val="none"/>
        </w:rPr>
        <w:t>合同签订日期：202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年月  日</w:t>
      </w:r>
    </w:p>
    <w:p>
      <w:pPr>
        <w:pStyle w:val="39"/>
        <w:spacing w:line="480" w:lineRule="exac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采购单位（全称）： </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（简称甲方）</w:t>
      </w:r>
    </w:p>
    <w:p>
      <w:pPr>
        <w:pStyle w:val="39"/>
        <w:spacing w:line="48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成交供应商（全称）：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（简称乙方）</w:t>
      </w:r>
    </w:p>
    <w:p>
      <w:pPr>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为进一步提高信息系统安全保障水平，落实国家关于信息系统开展等级保护工作的相关政策、法律法规，根据国家、省相关管理规定，甲方通过《南通网》发布《网络信息系统安全等级保护测评服务机构竞争性磋商采购公告》方式，经磋商评审确定乙方成交该项目。</w:t>
      </w:r>
      <w:r>
        <w:rPr>
          <w:rFonts w:hint="eastAsia" w:ascii="宋体" w:hAnsi="宋体" w:eastAsia="宋体" w:cs="宋体"/>
          <w:color w:val="auto"/>
          <w:sz w:val="24"/>
          <w:szCs w:val="24"/>
          <w:highlight w:val="none"/>
        </w:rPr>
        <w:t>依照《中华人民共和国政府采购法》及其实施条例、《中华人民共和国合同法》及其他有关法律、行政法规，遵循平等、自愿、公平和诚实信用的原则，</w:t>
      </w:r>
      <w:r>
        <w:rPr>
          <w:rFonts w:hint="eastAsia" w:ascii="宋体" w:hAnsi="宋体" w:eastAsia="宋体" w:cs="宋体"/>
          <w:b/>
          <w:color w:val="auto"/>
          <w:sz w:val="24"/>
          <w:szCs w:val="24"/>
          <w:highlight w:val="none"/>
        </w:rPr>
        <w:t>经</w:t>
      </w:r>
      <w:r>
        <w:rPr>
          <w:rFonts w:hint="eastAsia" w:ascii="宋体" w:hAnsi="宋体" w:eastAsia="宋体" w:cs="宋体"/>
          <w:color w:val="auto"/>
          <w:sz w:val="24"/>
          <w:szCs w:val="24"/>
          <w:highlight w:val="none"/>
        </w:rPr>
        <w:t>甲、乙双方协商，一致达成如下协议：</w:t>
      </w:r>
    </w:p>
    <w:p>
      <w:pPr>
        <w:spacing w:line="480" w:lineRule="exact"/>
        <w:rPr>
          <w:rFonts w:hint="eastAsia" w:ascii="宋体" w:hAnsi="宋体" w:eastAsia="宋体" w:cs="宋体"/>
          <w:color w:val="auto"/>
          <w:sz w:val="24"/>
          <w:szCs w:val="24"/>
          <w:highlight w:val="none"/>
        </w:rPr>
      </w:pPr>
    </w:p>
    <w:p>
      <w:pPr>
        <w:spacing w:line="48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一、受</w:t>
      </w:r>
      <w:r>
        <w:rPr>
          <w:rFonts w:hint="eastAsia" w:ascii="宋体" w:hAnsi="宋体" w:eastAsia="宋体" w:cs="宋体"/>
          <w:color w:val="auto"/>
          <w:sz w:val="24"/>
          <w:szCs w:val="24"/>
          <w:highlight w:val="none"/>
          <w:u w:val="single"/>
        </w:rPr>
        <w:t>南通日报社（南通报业传媒集团）</w:t>
      </w:r>
      <w:r>
        <w:rPr>
          <w:rFonts w:hint="eastAsia" w:ascii="宋体" w:hAnsi="宋体" w:eastAsia="宋体" w:cs="宋体"/>
          <w:color w:val="auto"/>
          <w:sz w:val="24"/>
          <w:szCs w:val="24"/>
          <w:highlight w:val="none"/>
        </w:rPr>
        <w:t>委托，乙方负责对甲方</w:t>
      </w:r>
      <w:r>
        <w:rPr>
          <w:rFonts w:hint="eastAsia" w:ascii="宋体" w:hAnsi="宋体" w:eastAsia="宋体" w:cs="宋体"/>
          <w:color w:val="auto"/>
          <w:sz w:val="24"/>
          <w:szCs w:val="24"/>
          <w:highlight w:val="none"/>
          <w:u w:val="single"/>
        </w:rPr>
        <w:t>《南通网》网站系统（叁级）、南通报业传媒集团采编系统（叁级）</w:t>
      </w:r>
      <w:r>
        <w:rPr>
          <w:rFonts w:hint="eastAsia" w:ascii="宋体" w:hAnsi="宋体" w:eastAsia="宋体" w:cs="宋体"/>
          <w:color w:val="auto"/>
          <w:sz w:val="24"/>
          <w:szCs w:val="24"/>
          <w:highlight w:val="none"/>
        </w:rPr>
        <w:t>进行网络信息系统安全等级保护测评。</w:t>
      </w:r>
    </w:p>
    <w:p>
      <w:pPr>
        <w:spacing w:before="100" w:beforeAutospacing="1"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二、乙方应于</w:t>
      </w:r>
      <w:r>
        <w:rPr>
          <w:rFonts w:hint="eastAsia" w:ascii="宋体" w:hAnsi="宋体" w:eastAsia="宋体" w:cs="宋体"/>
          <w:color w:val="auto"/>
          <w:sz w:val="24"/>
          <w:szCs w:val="24"/>
          <w:highlight w:val="none"/>
          <w:u w:val="single"/>
        </w:rPr>
        <w:t xml:space="preserve"> 2020年12月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20201年1月  日期限</w:t>
      </w:r>
      <w:r>
        <w:rPr>
          <w:rFonts w:hint="eastAsia" w:ascii="宋体" w:hAnsi="宋体" w:eastAsia="宋体" w:cs="宋体"/>
          <w:color w:val="auto"/>
          <w:sz w:val="24"/>
          <w:szCs w:val="24"/>
          <w:highlight w:val="none"/>
        </w:rPr>
        <w:t>完成评估相关工作，向委托方提交网络信息系统安全等级测评报告，加盖等级保护专用章，作为甲方开展等级测评工作的证明。</w:t>
      </w:r>
    </w:p>
    <w:p>
      <w:pPr>
        <w:spacing w:before="100" w:beforeAutospacing="1" w:line="480" w:lineRule="exact"/>
        <w:ind w:firstLine="470" w:firstLineChars="196"/>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三、测评内容</w:t>
      </w:r>
    </w:p>
    <w:p>
      <w:pPr>
        <w:spacing w:line="480" w:lineRule="exact"/>
        <w:ind w:firstLine="480" w:firstLineChars="200"/>
        <w:rPr>
          <w:rFonts w:hint="eastAsia" w:ascii="宋体" w:hAnsi="宋体" w:eastAsia="宋体" w:cs="宋体"/>
          <w:color w:val="auto"/>
          <w:sz w:val="24"/>
          <w:szCs w:val="24"/>
          <w:highlight w:val="none"/>
        </w:rPr>
      </w:pPr>
      <w:r>
        <w:rPr>
          <w:rStyle w:val="32"/>
          <w:rFonts w:hint="eastAsia" w:ascii="宋体" w:hAnsi="宋体" w:eastAsia="宋体" w:cs="宋体"/>
          <w:b w:val="0"/>
          <w:color w:val="auto"/>
          <w:sz w:val="24"/>
          <w:szCs w:val="24"/>
          <w:highlight w:val="none"/>
        </w:rPr>
        <w:t>乙方依据网络信息系统安全等级测评相关管理规定和技术规范，按照网络《信息系统安全等级保护基本要求》、《信息系统安全等级保护测评要求》、《信息系统安全等级保护实施指南》、《信息系统安全等级保护测评过程指南》并参照相关标准对上述系统开展等级测评相关工作，主要内容包括但不限于：</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现场测评</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采用访谈、文档审查、配置检查、工具测试和实地查看等方式测评被测信息系统的安全保护措施情况，并获取相关证据。</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单项测评结果判定</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分析现场测评结果中的优势证据并与要求内容的预期结果相比较，分析出“符合”项、“不符合”项、“部分符合”项与“不适用”项。</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单元测评结果判定</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按层面分别汇总测评对象对应的测评指标的单项结果情况，并给出“符合”、“不符合”、“基本符合”与“不适用”判定。</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整体测评</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分析测评对象“部分符合”、“不符合”项、层面、区域与其他项、层面、区域的关联互补关系，分析系统整体结构的安全性，安全防范的合理性。</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风险分析</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汇总整体信息并分析、判断“部分符合”与“不符合”项所产生的脆弱性被威胁利用的可能性，分析被测信息系统面临的安全风险。</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形成等级测评结论</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分析信息系统保护现状与等级保护基本要求之间的差距并形成等级测评结论。</w:t>
      </w:r>
    </w:p>
    <w:p>
      <w:pPr>
        <w:numPr>
          <w:ilvl w:val="0"/>
          <w:numId w:val="0"/>
        </w:numPr>
        <w:tabs>
          <w:tab w:val="left" w:pos="709"/>
        </w:tabs>
        <w:spacing w:line="48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编制测评报告</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整理相关信息、数据编制网络《信息系统安全等级测评报告》，并给出安全加固和安全建设建议。</w:t>
      </w:r>
    </w:p>
    <w:p>
      <w:pPr>
        <w:pStyle w:val="24"/>
        <w:spacing w:before="100" w:beforeAutospacing="1" w:line="48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四、测评协作事项</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负责向乙方提供实施网络信息系统安全等级测评所必需的各类信息和文档资料（包括网络结构拓扑图、系统配置、业务流程、操作记录、管理制度、会议纪要等），提供工作空间、办公设施和上机环境等。</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2．甲方应指定工作人员负责与乙方联系等级测评相关工作事宜，并由网络信息系统主管领导牵头组建等级测评工作小组配合乙方完成信息系统等级测评工作。</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3．乙方应预先书面告知甲方需要提供的被测系统信息和文档资料名称及具体要求，在现场测评工作中发现与提供资料信息不符的，应及时反馈甲方。</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4．等级测评活动应在确保甲方网络信息系统正常运行的前提下开展，若某些测评活动可能影响被测系统正常运行的，乙方应事先告知甲方，并协助其采取相应的预防措施或调整测评策略。</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TW"/>
        </w:rPr>
        <w:t>乙方在甲方现场</w:t>
      </w:r>
      <w:r>
        <w:rPr>
          <w:rFonts w:hint="eastAsia" w:ascii="宋体" w:hAnsi="宋体" w:eastAsia="宋体" w:cs="宋体"/>
          <w:color w:val="auto"/>
          <w:sz w:val="24"/>
          <w:szCs w:val="24"/>
          <w:highlight w:val="none"/>
        </w:rPr>
        <w:t>开展测评活动，</w:t>
      </w:r>
      <w:r>
        <w:rPr>
          <w:rFonts w:hint="eastAsia" w:ascii="宋体" w:hAnsi="宋体" w:eastAsia="宋体" w:cs="宋体"/>
          <w:color w:val="auto"/>
          <w:sz w:val="24"/>
          <w:szCs w:val="24"/>
          <w:highlight w:val="none"/>
          <w:lang w:eastAsia="zh-TW"/>
        </w:rPr>
        <w:t>应遵守甲方的</w:t>
      </w:r>
      <w:r>
        <w:rPr>
          <w:rFonts w:hint="eastAsia" w:ascii="宋体" w:hAnsi="宋体" w:eastAsia="宋体" w:cs="宋体"/>
          <w:color w:val="auto"/>
          <w:sz w:val="24"/>
          <w:szCs w:val="24"/>
          <w:highlight w:val="none"/>
        </w:rPr>
        <w:t>作息制度与办公制度。</w:t>
      </w:r>
    </w:p>
    <w:p>
      <w:pPr>
        <w:pStyle w:val="24"/>
        <w:spacing w:before="100" w:beforeAutospacing="1" w:line="480" w:lineRule="exact"/>
        <w:ind w:firstLine="472" w:firstLineChars="196"/>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五、费用及支付方式</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本次等级测评服务费用总额为</w:t>
      </w:r>
      <w:r>
        <w:rPr>
          <w:rFonts w:hint="eastAsia" w:ascii="宋体" w:hAnsi="宋体" w:eastAsia="宋体" w:cs="宋体"/>
          <w:color w:val="auto"/>
          <w:sz w:val="24"/>
          <w:szCs w:val="24"/>
          <w:highlight w:val="none"/>
          <w:u w:val="single"/>
        </w:rPr>
        <w:t>人民币（大写）     万元整 ¥   （含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%专用增值税专用发票税率）</w:t>
      </w:r>
      <w:r>
        <w:rPr>
          <w:rFonts w:hint="eastAsia" w:ascii="宋体" w:hAnsi="宋体" w:eastAsia="宋体" w:cs="宋体"/>
          <w:color w:val="auto"/>
          <w:sz w:val="24"/>
          <w:szCs w:val="24"/>
          <w:highlight w:val="none"/>
        </w:rPr>
        <w:t>，支付方式为</w:t>
      </w:r>
      <w:r>
        <w:rPr>
          <w:rFonts w:hint="eastAsia" w:ascii="宋体" w:hAnsi="宋体" w:eastAsia="宋体" w:cs="宋体"/>
          <w:color w:val="auto"/>
          <w:sz w:val="24"/>
          <w:szCs w:val="24"/>
          <w:highlight w:val="none"/>
          <w:u w:val="single"/>
        </w:rPr>
        <w:t>本项目供应到位符合供需要求，验收合格签字后7个工作日内一次性支付合同总金额的100％。</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履约担保：乙方签约前提交成交合同金额的10%作为履约保证金。本项目结束后15日内，且甲乙双方无未了纠纷的，甲方无息返还前述履约保证金。</w:t>
      </w:r>
    </w:p>
    <w:p>
      <w:pPr>
        <w:widowControl/>
        <w:spacing w:line="480" w:lineRule="exact"/>
        <w:ind w:left="439" w:leftChars="209"/>
        <w:jc w:val="lef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甲方开户信息：单位名称：南通日报社</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纳税人识别号：12320600467542815H</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地址电话：南通市崇川区世纪大道8号0513-68218826</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开户行及账号：建行南通崇川支行32001642736052505639</w:t>
      </w:r>
    </w:p>
    <w:p>
      <w:pPr>
        <w:spacing w:before="100" w:beforeAutospacing="1" w:line="480" w:lineRule="exact"/>
        <w:ind w:left="51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六、其它</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保密条款</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对甲方提供的文件、资料或者乙方在签订和履行本合同项下义务时知悉的任何关于甲方的信息、资料承担保密责任，未经甲方事先书面同意，不得将此类信息、文件、资料交付或泄露给任何第三方，也不得作任何除本合同目的之外的其它用途。对于甲方所提供的文件、资料，甲方可以在本合同目的达到后随时要求乙方返还或者在甲方监督下予以销毁。乙方基于诚信合作，不得对外发表不利于甲方的言论。若甲方不愿第三方知悉存在本合同或合同内容，则乙方不得将甲方公开列为客户名单，或泄露本合同内容。保密期限不受本合同期限的限制，在本合同履行完毕后5年内，保密信息接受方仍应承担保密义务。</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违约责任</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①如果乙方未履行约定的保密义务，除立即采取措施予以改正外，还需向甲方支付本合同金额10%的违约金，上述违约金不足以弥补甲方损失时，乙方应予以赔偿。</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②如果由于甲方或乙方原因无法及时开展等级测评工作的，双方本着友好协商的原则，经过商议后延迟开展测评工作。</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不可抗力</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①由于不可抗力致使合同无法履行的，受不可抗力影响一方应立即将不能履行本合同的事实书面通知对方，并在不可抗力发生之日起十五日内提供有关相关政府部门或公证机关出具的证明文件。</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合同在不可抗力影响范围及其持续期间内可中止履行，本合同执行时间可根据中止的时间相应顺延，双方无须承担违约责任。不可抗力事件消除后，双方应就合同的履行及后续问题进行协商。如果不可抗力原因造成本合同中止履行超过60个工作日，任何一方均有权解除合同。</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③一方迟延履行后发生不可抗力的，不能免除责任。</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争议解决</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引起的或与本合同有关的任何争议，应本着友好合作的态度协商解决；如协商不成，均可向甲方所在地有管辖权的人民法院起诉，通过诉讼方式解决。诉讼期间，除争议内容以外，双方均应继续履行合同约定的其他内容。</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5．协议实施过程中，若因主客观原因而导致等级测评完成时间、测评范围与内容、测评人员等发生变更的，经甲、乙双方协商一致后，方可更改本协议并实施。</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6．协议实施过程中，因甲方原因造成不良后果的，乙方不承担相关责任；乙方非因不可抗力造成不良后果的，甲方或委托方可视情，部分或全部收回所付费用，并依法追究乙方行政、经济或法律责任。</w:t>
      </w:r>
    </w:p>
    <w:p>
      <w:pPr>
        <w:spacing w:line="48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7．本协议一式伍份，具有同等的法律效力。本协议自甲、乙双方签字、盖章之日起生效。</w:t>
      </w:r>
    </w:p>
    <w:p>
      <w:pPr>
        <w:pStyle w:val="39"/>
        <w:spacing w:line="480" w:lineRule="exact"/>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七、合同的组成部分</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本合同条款、中标成交通知书、磋商（招标）文件、响应（投标）文件及响应（投标）人在开标时的书面承诺等构成合同的组成部分</w:t>
      </w:r>
      <w:r>
        <w:rPr>
          <w:rFonts w:hint="eastAsia" w:ascii="宋体" w:hAnsi="宋体" w:eastAsia="宋体" w:cs="宋体"/>
          <w:color w:val="auto"/>
          <w:kern w:val="0"/>
          <w:sz w:val="24"/>
          <w:szCs w:val="24"/>
          <w:highlight w:val="none"/>
        </w:rPr>
        <w:t>，与本合同具有同等法律效力。</w:t>
      </w:r>
    </w:p>
    <w:p>
      <w:pPr>
        <w:pStyle w:val="39"/>
        <w:spacing w:line="480" w:lineRule="exact"/>
        <w:ind w:firstLine="480" w:firstLineChars="200"/>
        <w:rPr>
          <w:rFonts w:hint="eastAsia" w:ascii="宋体" w:hAnsi="宋体" w:eastAsia="宋体" w:cs="宋体"/>
          <w:color w:val="auto"/>
          <w:kern w:val="2"/>
          <w:sz w:val="24"/>
          <w:szCs w:val="24"/>
          <w:highlight w:val="none"/>
        </w:rPr>
      </w:pPr>
    </w:p>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pPr>
        <w:pStyle w:val="2"/>
        <w:rPr>
          <w:rFonts w:hint="eastAsia"/>
          <w:color w:val="auto"/>
          <w:highlight w:val="none"/>
          <w:lang w:val="en-US" w:eastAsia="zh-CN"/>
        </w:rPr>
      </w:pPr>
    </w:p>
    <w:p>
      <w:pPr>
        <w:pStyle w:val="5"/>
        <w:spacing w:line="240" w:lineRule="auto"/>
        <w:jc w:val="center"/>
        <w:rPr>
          <w:rFonts w:hint="eastAsia" w:ascii="宋体" w:hAnsi="宋体" w:eastAsia="宋体" w:cs="宋体"/>
          <w:color w:val="auto"/>
          <w:sz w:val="24"/>
          <w:szCs w:val="24"/>
          <w:highlight w:val="none"/>
        </w:rPr>
      </w:pPr>
      <w:bookmarkStart w:id="7" w:name="_Toc16982"/>
    </w:p>
    <w:p>
      <w:pPr>
        <w:pStyle w:val="5"/>
        <w:spacing w:line="240" w:lineRule="auto"/>
        <w:jc w:val="both"/>
        <w:rPr>
          <w:rFonts w:hint="eastAsia" w:ascii="宋体" w:hAnsi="宋体" w:eastAsia="宋体" w:cs="宋体"/>
          <w:color w:val="auto"/>
          <w:sz w:val="24"/>
          <w:szCs w:val="24"/>
          <w:highlight w:val="none"/>
        </w:rPr>
      </w:pPr>
    </w:p>
    <w:p>
      <w:pPr>
        <w:rPr>
          <w:rFonts w:hint="eastAsia"/>
          <w:color w:val="auto"/>
          <w:highlight w:val="none"/>
        </w:rPr>
      </w:pPr>
    </w:p>
    <w:p>
      <w:pPr>
        <w:pStyle w:val="5"/>
        <w:spacing w:line="240" w:lineRule="auto"/>
        <w:ind w:firstLine="2249" w:firstLineChars="70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32"/>
          <w:szCs w:val="32"/>
          <w:highlight w:val="none"/>
        </w:rPr>
        <w:t>第六部分  质疑提出和处理</w:t>
      </w:r>
      <w:bookmarkEnd w:id="7"/>
      <w:r>
        <w:rPr>
          <w:rFonts w:hint="eastAsia" w:ascii="宋体" w:hAnsi="宋体" w:cs="宋体"/>
          <w:color w:val="auto"/>
          <w:sz w:val="32"/>
          <w:szCs w:val="32"/>
          <w:highlight w:val="none"/>
          <w:lang w:val="en-US" w:eastAsia="zh-CN"/>
        </w:rPr>
        <w:t xml:space="preserve"> </w:t>
      </w:r>
    </w:p>
    <w:p>
      <w:pPr>
        <w:autoSpaceDE w:val="0"/>
        <w:autoSpaceDN w:val="0"/>
        <w:adjustRightInd w:val="0"/>
        <w:snapToGrid w:val="0"/>
        <w:spacing w:line="24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一、质疑的提出</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1.质疑人必须是直接参加本次磋商采购活动的当事人。</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2.领取磋商采购文件的供应商应根据第二部分“供应商磋商须知”中“第一款中的第</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项”的约定提出；响应文件接收截止后，供应商未进行响应登记的，不能就响应文件接收截止后的采购过程、成交结果提出质疑；在开标评审过程中，凡主持人或评委明确提出须由响应人确认的事项，响应人当场无异议的，事后不得提出质疑。</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及采购单位不具有法定调查、认定权限。</w:t>
      </w:r>
    </w:p>
    <w:p>
      <w:pPr>
        <w:snapToGrid w:val="0"/>
        <w:spacing w:line="500" w:lineRule="exact"/>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4.对本次磋商采购有质疑的，实行实名制，不得进行虚假、恶意质疑。质疑人应在质疑有效期内以书面形式</w:t>
      </w:r>
      <w:r>
        <w:rPr>
          <w:rFonts w:hint="eastAsia" w:ascii="宋体" w:hAnsi="宋体" w:eastAsia="宋体" w:cs="宋体"/>
          <w:color w:val="auto"/>
          <w:kern w:val="0"/>
          <w:sz w:val="24"/>
          <w:szCs w:val="24"/>
          <w:highlight w:val="none"/>
          <w:lang w:val="zh-CN"/>
        </w:rPr>
        <w:t>提出《质疑函》（格式请到南通政府采购网上下载）</w:t>
      </w:r>
      <w:r>
        <w:rPr>
          <w:rFonts w:hint="eastAsia" w:ascii="宋体" w:hAnsi="宋体" w:eastAsia="宋体" w:cs="宋体"/>
          <w:color w:val="auto"/>
          <w:sz w:val="24"/>
          <w:szCs w:val="24"/>
          <w:highlight w:val="none"/>
        </w:rPr>
        <w:t>，《质疑函》内容应</w:t>
      </w:r>
      <w:r>
        <w:rPr>
          <w:rFonts w:hint="eastAsia" w:ascii="宋体" w:hAnsi="宋体" w:eastAsia="宋体" w:cs="宋体"/>
          <w:color w:val="auto"/>
          <w:kern w:val="0"/>
          <w:sz w:val="24"/>
          <w:szCs w:val="24"/>
          <w:highlight w:val="none"/>
          <w:lang w:val="zh-CN"/>
        </w:rPr>
        <w:t>包括</w:t>
      </w:r>
      <w:r>
        <w:rPr>
          <w:rFonts w:hint="eastAsia" w:ascii="宋体" w:hAnsi="宋体" w:eastAsia="宋体" w:cs="宋体"/>
          <w:color w:val="auto"/>
          <w:sz w:val="24"/>
          <w:szCs w:val="24"/>
          <w:highlight w:val="none"/>
        </w:rPr>
        <w:t>质疑事项、主要内容、事实依据、适应法规条款、佐证材料等。同时，</w:t>
      </w:r>
      <w:r>
        <w:rPr>
          <w:rFonts w:hint="eastAsia" w:ascii="宋体" w:hAnsi="宋体" w:eastAsia="宋体" w:cs="宋体"/>
          <w:color w:val="auto"/>
          <w:kern w:val="0"/>
          <w:sz w:val="24"/>
          <w:szCs w:val="24"/>
          <w:highlight w:val="none"/>
        </w:rPr>
        <w:t>质疑人应保证其提出的质疑内容及</w:t>
      </w:r>
      <w:r>
        <w:rPr>
          <w:rFonts w:hint="eastAsia" w:ascii="宋体" w:hAnsi="宋体" w:eastAsia="宋体" w:cs="宋体"/>
          <w:color w:val="auto"/>
          <w:sz w:val="24"/>
          <w:szCs w:val="24"/>
          <w:highlight w:val="none"/>
        </w:rPr>
        <w:t>相关佐证材料</w:t>
      </w:r>
      <w:r>
        <w:rPr>
          <w:rFonts w:hint="eastAsia" w:ascii="宋体" w:hAnsi="宋体" w:eastAsia="宋体" w:cs="宋体"/>
          <w:color w:val="auto"/>
          <w:kern w:val="0"/>
          <w:sz w:val="24"/>
          <w:szCs w:val="24"/>
          <w:highlight w:val="none"/>
        </w:rPr>
        <w:t>的真实性及来源的合法性，并承担相应的法律责任。</w:t>
      </w: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对不能提供</w:t>
      </w:r>
      <w:r>
        <w:rPr>
          <w:rFonts w:hint="eastAsia" w:ascii="宋体" w:hAnsi="宋体" w:eastAsia="宋体" w:cs="宋体"/>
          <w:color w:val="auto"/>
          <w:sz w:val="24"/>
          <w:szCs w:val="24"/>
          <w:highlight w:val="none"/>
        </w:rPr>
        <w:t>相关佐证材料的、涉及商业秘密的、非书面形式的、非送达的、匿名的《质疑函》将不予受理。</w:t>
      </w: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相关佐证材料要具备客观性、关联性、合法性，无法查实的（如宣传册、媒体报道、猜测、推理等）不能作为佐证材料。</w:t>
      </w:r>
    </w:p>
    <w:p>
      <w:pPr>
        <w:snapToGrid w:val="0"/>
        <w:spacing w:line="500" w:lineRule="exact"/>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采购人及采购单位</w:t>
      </w:r>
      <w:r>
        <w:rPr>
          <w:rFonts w:hint="eastAsia" w:ascii="宋体" w:hAnsi="宋体" w:eastAsia="宋体" w:cs="宋体"/>
          <w:color w:val="auto"/>
          <w:kern w:val="0"/>
          <w:sz w:val="24"/>
          <w:szCs w:val="24"/>
          <w:highlight w:val="none"/>
        </w:rPr>
        <w:t>不负责搜集相关佐证材料等工作。</w:t>
      </w:r>
    </w:p>
    <w:p>
      <w:pPr>
        <w:autoSpaceDE w:val="0"/>
        <w:autoSpaceDN w:val="0"/>
        <w:adjustRightInd w:val="0"/>
        <w:snapToGrid w:val="0"/>
        <w:spacing w:line="500" w:lineRule="exact"/>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二、《质疑函》的受理和回复</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1.《质疑函》须由质疑人的法定代表人或参加本次磋商授权人</w:t>
      </w:r>
      <w:r>
        <w:rPr>
          <w:rFonts w:hint="eastAsia" w:ascii="宋体" w:hAnsi="宋体" w:eastAsia="宋体" w:cs="宋体"/>
          <w:color w:val="auto"/>
          <w:kern w:val="0"/>
          <w:sz w:val="24"/>
          <w:szCs w:val="24"/>
          <w:highlight w:val="none"/>
          <w:lang w:val="zh-CN"/>
        </w:rPr>
        <w:t>送达采购单位及采购人。</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对符合提出质疑要求的，采购人及采购单位签收并出具《质疑受理通知书》。在处理过程中，发现需要质疑人进一步补充相关佐证材料的，请质疑人在规定的时间内提供，质疑回复时间相应顺延。质疑人不能按时提供相关佐证材料的，视同放弃质疑。</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3.对不符合提出质疑要求的，出具《质疑退回通知书》并提出相关补充材料要求，质疑人未在规定的时间内提供补充佐证材料的，视同放弃质疑。</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4.采购</w:t>
      </w:r>
      <w:r>
        <w:rPr>
          <w:rFonts w:hint="eastAsia" w:ascii="宋体" w:hAnsi="宋体" w:eastAsia="宋体" w:cs="宋体"/>
          <w:color w:val="auto"/>
          <w:kern w:val="0"/>
          <w:sz w:val="24"/>
          <w:szCs w:val="24"/>
          <w:highlight w:val="none"/>
        </w:rPr>
        <w:t>人及</w:t>
      </w:r>
      <w:r>
        <w:rPr>
          <w:rFonts w:hint="eastAsia" w:ascii="宋体" w:hAnsi="宋体" w:eastAsia="宋体" w:cs="宋体"/>
          <w:color w:val="auto"/>
          <w:kern w:val="0"/>
          <w:sz w:val="24"/>
          <w:szCs w:val="24"/>
          <w:highlight w:val="none"/>
          <w:lang w:val="zh-CN"/>
        </w:rPr>
        <w:t>采购单位</w:t>
      </w:r>
      <w:r>
        <w:rPr>
          <w:rFonts w:hint="eastAsia" w:ascii="宋体" w:hAnsi="宋体" w:eastAsia="宋体" w:cs="宋体"/>
          <w:color w:val="auto"/>
          <w:kern w:val="0"/>
          <w:sz w:val="24"/>
          <w:szCs w:val="24"/>
          <w:highlight w:val="none"/>
        </w:rPr>
        <w:t>负责将质疑人提出的质疑相关材料提供给相关专家或评委审核，并将审核意见回复质疑人。</w:t>
      </w:r>
    </w:p>
    <w:p>
      <w:pPr>
        <w:widowControl/>
        <w:tabs>
          <w:tab w:val="left" w:pos="0"/>
        </w:tabs>
        <w:snapToGrid w:val="0"/>
        <w:spacing w:line="500" w:lineRule="exact"/>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autoSpaceDE w:val="0"/>
        <w:autoSpaceDN w:val="0"/>
        <w:adjustRightInd w:val="0"/>
        <w:snapToGrid w:val="0"/>
        <w:spacing w:line="5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zh-CN"/>
        </w:rPr>
        <w:t>因质疑情况复杂，组织论证或审查时间较长的，采购人及采购单位以书面形式通知质疑人，可适当延长质疑回复处理时间。</w:t>
      </w:r>
    </w:p>
    <w:p>
      <w:pPr>
        <w:autoSpaceDE w:val="0"/>
        <w:autoSpaceDN w:val="0"/>
        <w:adjustRightInd w:val="0"/>
        <w:snapToGrid w:val="0"/>
        <w:spacing w:line="520" w:lineRule="exact"/>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三、质疑处理</w:t>
      </w:r>
    </w:p>
    <w:p>
      <w:pPr>
        <w:autoSpaceDE w:val="0"/>
        <w:autoSpaceDN w:val="0"/>
        <w:adjustRightInd w:val="0"/>
        <w:snapToGrid w:val="0"/>
        <w:spacing w:line="520" w:lineRule="exact"/>
        <w:ind w:firstLine="600" w:firstLineChars="25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1.质疑成立的处理。采购人终止采购，并建议有关部门给相关当事人予以处理。</w:t>
      </w:r>
    </w:p>
    <w:p>
      <w:pPr>
        <w:snapToGrid w:val="0"/>
        <w:spacing w:line="520" w:lineRule="exact"/>
        <w:ind w:firstLine="57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2.质疑不成立的处理。</w:t>
      </w:r>
    </w:p>
    <w:p>
      <w:pPr>
        <w:snapToGrid w:val="0"/>
        <w:spacing w:line="520" w:lineRule="exact"/>
        <w:ind w:firstLine="57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1）质疑人书面《申请撤回质疑函》的，不作违约处理。</w:t>
      </w:r>
    </w:p>
    <w:p>
      <w:pPr>
        <w:snapToGrid w:val="0"/>
        <w:spacing w:line="52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2）质疑人在规定的时间内不配合进行质疑调查处理的，按自动撤回《质疑函》处理。</w:t>
      </w:r>
    </w:p>
    <w:p>
      <w:pPr>
        <w:snapToGrid w:val="0"/>
        <w:spacing w:line="52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3）质疑人不按《质疑函》格式就提出质疑的，作违约处理。采购</w:t>
      </w:r>
      <w:r>
        <w:rPr>
          <w:rFonts w:hint="eastAsia" w:ascii="宋体" w:hAnsi="宋体" w:eastAsia="宋体" w:cs="宋体"/>
          <w:color w:val="auto"/>
          <w:sz w:val="24"/>
          <w:szCs w:val="24"/>
          <w:highlight w:val="none"/>
        </w:rPr>
        <w:t>人有权收取其保证金的10%作为违约金；同时，视情</w:t>
      </w:r>
      <w:r>
        <w:rPr>
          <w:rFonts w:hint="eastAsia" w:ascii="宋体" w:hAnsi="宋体" w:eastAsia="宋体" w:cs="宋体"/>
          <w:color w:val="auto"/>
          <w:kern w:val="0"/>
          <w:sz w:val="24"/>
          <w:szCs w:val="24"/>
          <w:highlight w:val="none"/>
          <w:lang w:val="zh-CN"/>
        </w:rPr>
        <w:t>列入不良供应商名单。</w:t>
      </w:r>
    </w:p>
    <w:p>
      <w:pPr>
        <w:snapToGrid w:val="0"/>
        <w:spacing w:line="520" w:lineRule="exact"/>
        <w:ind w:firstLine="460" w:firstLineChars="192"/>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4）质疑人虽提供了相关</w:t>
      </w:r>
      <w:r>
        <w:rPr>
          <w:rFonts w:hint="eastAsia" w:ascii="宋体" w:hAnsi="宋体" w:eastAsia="宋体" w:cs="宋体"/>
          <w:color w:val="auto"/>
          <w:sz w:val="24"/>
          <w:szCs w:val="24"/>
          <w:highlight w:val="none"/>
        </w:rPr>
        <w:t>佐证材料</w:t>
      </w:r>
      <w:r>
        <w:rPr>
          <w:rFonts w:hint="eastAsia" w:ascii="宋体" w:hAnsi="宋体" w:eastAsia="宋体" w:cs="宋体"/>
          <w:color w:val="auto"/>
          <w:kern w:val="0"/>
          <w:sz w:val="24"/>
          <w:szCs w:val="24"/>
          <w:highlight w:val="none"/>
          <w:lang w:val="zh-CN"/>
        </w:rPr>
        <w:t>，但不能证明其质疑成立的，采购人请质疑人补充相关</w:t>
      </w:r>
      <w:r>
        <w:rPr>
          <w:rFonts w:hint="eastAsia" w:ascii="宋体" w:hAnsi="宋体" w:eastAsia="宋体" w:cs="宋体"/>
          <w:color w:val="auto"/>
          <w:sz w:val="24"/>
          <w:szCs w:val="24"/>
          <w:highlight w:val="none"/>
        </w:rPr>
        <w:t>佐证材料</w:t>
      </w:r>
      <w:r>
        <w:rPr>
          <w:rFonts w:hint="eastAsia" w:ascii="宋体" w:hAnsi="宋体" w:eastAsia="宋体" w:cs="宋体"/>
          <w:color w:val="auto"/>
          <w:kern w:val="0"/>
          <w:sz w:val="24"/>
          <w:szCs w:val="24"/>
          <w:highlight w:val="none"/>
          <w:lang w:val="zh-CN"/>
        </w:rPr>
        <w:t>，仍不能证明其质疑成立的，作违约处理。采购</w:t>
      </w:r>
      <w:r>
        <w:rPr>
          <w:rFonts w:hint="eastAsia" w:ascii="宋体" w:hAnsi="宋体" w:eastAsia="宋体" w:cs="宋体"/>
          <w:color w:val="auto"/>
          <w:sz w:val="24"/>
          <w:szCs w:val="24"/>
          <w:highlight w:val="none"/>
        </w:rPr>
        <w:t>人有权收取其保证金的50%作为违约金；同时，</w:t>
      </w:r>
      <w:r>
        <w:rPr>
          <w:rFonts w:hint="eastAsia" w:ascii="宋体" w:hAnsi="宋体" w:eastAsia="宋体" w:cs="宋体"/>
          <w:color w:val="auto"/>
          <w:kern w:val="0"/>
          <w:sz w:val="24"/>
          <w:szCs w:val="24"/>
          <w:highlight w:val="none"/>
          <w:lang w:val="zh-CN"/>
        </w:rPr>
        <w:t>列入不良供应商名单。</w:t>
      </w:r>
    </w:p>
    <w:p>
      <w:pPr>
        <w:snapToGrid w:val="0"/>
        <w:spacing w:line="520" w:lineRule="exact"/>
        <w:ind w:firstLine="460" w:firstLineChars="192"/>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5）质疑人不能提供相关</w:t>
      </w:r>
      <w:r>
        <w:rPr>
          <w:rFonts w:hint="eastAsia" w:ascii="宋体" w:hAnsi="宋体" w:eastAsia="宋体" w:cs="宋体"/>
          <w:color w:val="auto"/>
          <w:sz w:val="24"/>
          <w:szCs w:val="24"/>
          <w:highlight w:val="none"/>
        </w:rPr>
        <w:t>佐证材料</w:t>
      </w:r>
      <w:r>
        <w:rPr>
          <w:rFonts w:hint="eastAsia" w:ascii="宋体" w:hAnsi="宋体" w:eastAsia="宋体" w:cs="宋体"/>
          <w:color w:val="auto"/>
          <w:kern w:val="0"/>
          <w:sz w:val="24"/>
          <w:szCs w:val="24"/>
          <w:highlight w:val="none"/>
          <w:lang w:val="zh-CN"/>
        </w:rPr>
        <w:t>的，采购人已指出，质疑人仍然坚持提出质疑的，作违约处理。采购</w:t>
      </w:r>
      <w:r>
        <w:rPr>
          <w:rFonts w:hint="eastAsia" w:ascii="宋体" w:hAnsi="宋体" w:eastAsia="宋体" w:cs="宋体"/>
          <w:color w:val="auto"/>
          <w:sz w:val="24"/>
          <w:szCs w:val="24"/>
          <w:highlight w:val="none"/>
        </w:rPr>
        <w:t>人有权收取其保证金的100%作为违约金；取消相应会员资格6个月，同时，</w:t>
      </w:r>
      <w:r>
        <w:rPr>
          <w:rFonts w:hint="eastAsia" w:ascii="宋体" w:hAnsi="宋体" w:eastAsia="宋体" w:cs="宋体"/>
          <w:color w:val="auto"/>
          <w:kern w:val="0"/>
          <w:sz w:val="24"/>
          <w:szCs w:val="24"/>
          <w:highlight w:val="none"/>
          <w:lang w:val="zh-CN"/>
        </w:rPr>
        <w:t>列入不良供应商名单。</w:t>
      </w:r>
    </w:p>
    <w:p>
      <w:pPr>
        <w:snapToGrid w:val="0"/>
        <w:spacing w:line="520" w:lineRule="exact"/>
        <w:ind w:firstLine="460" w:firstLineChars="192"/>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6）对明显有违背事实的、经相关专家或评委认定无依据的、经其他响应人举证无依据的质疑，作违约处理，采购</w:t>
      </w:r>
      <w:r>
        <w:rPr>
          <w:rFonts w:hint="eastAsia" w:ascii="宋体" w:hAnsi="宋体" w:eastAsia="宋体" w:cs="宋体"/>
          <w:color w:val="auto"/>
          <w:sz w:val="24"/>
          <w:szCs w:val="24"/>
          <w:highlight w:val="none"/>
        </w:rPr>
        <w:t>人有权取消其会员资格，收取其保证金的100%作为违约金，</w:t>
      </w:r>
      <w:r>
        <w:rPr>
          <w:rFonts w:hint="eastAsia" w:ascii="宋体" w:hAnsi="宋体" w:eastAsia="宋体" w:cs="宋体"/>
          <w:color w:val="auto"/>
          <w:kern w:val="0"/>
          <w:sz w:val="24"/>
          <w:szCs w:val="24"/>
          <w:highlight w:val="none"/>
          <w:lang w:val="zh-CN"/>
        </w:rPr>
        <w:t>列入不良供应商名单；</w:t>
      </w:r>
      <w:r>
        <w:rPr>
          <w:rFonts w:hint="eastAsia" w:ascii="宋体" w:hAnsi="宋体" w:eastAsia="宋体" w:cs="宋体"/>
          <w:color w:val="auto"/>
          <w:sz w:val="24"/>
          <w:szCs w:val="24"/>
          <w:highlight w:val="none"/>
        </w:rPr>
        <w:t>同时，</w:t>
      </w:r>
      <w:r>
        <w:rPr>
          <w:rFonts w:hint="eastAsia" w:ascii="宋体" w:hAnsi="宋体" w:eastAsia="宋体" w:cs="宋体"/>
          <w:color w:val="auto"/>
          <w:kern w:val="0"/>
          <w:sz w:val="24"/>
          <w:szCs w:val="24"/>
          <w:highlight w:val="none"/>
          <w:lang w:val="zh-CN"/>
        </w:rPr>
        <w:t>对其中每一项不成立的质疑给予质疑人1年内禁入由采购人组织的采购活动的违约处理，依次类推；视情在南通相关媒体予以披露。</w:t>
      </w:r>
    </w:p>
    <w:p>
      <w:pPr>
        <w:snapToGrid w:val="0"/>
        <w:spacing w:line="520" w:lineRule="exact"/>
        <w:ind w:firstLine="460" w:firstLineChars="192"/>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w:t>
      </w:r>
      <w:r>
        <w:rPr>
          <w:rFonts w:hint="eastAsia" w:ascii="宋体" w:hAnsi="宋体" w:eastAsia="宋体" w:cs="宋体"/>
          <w:color w:val="auto"/>
          <w:sz w:val="24"/>
          <w:szCs w:val="24"/>
          <w:highlight w:val="none"/>
        </w:rPr>
        <w:t>质疑人</w:t>
      </w:r>
      <w:r>
        <w:rPr>
          <w:rFonts w:hint="eastAsia" w:ascii="宋体" w:hAnsi="宋体" w:eastAsia="宋体" w:cs="宋体"/>
          <w:color w:val="auto"/>
          <w:kern w:val="0"/>
          <w:sz w:val="24"/>
          <w:szCs w:val="24"/>
          <w:highlight w:val="none"/>
          <w:lang w:val="zh-CN"/>
        </w:rPr>
        <w:t>承担使用虚假材料或恶意方式质疑的法律责任。</w:t>
      </w:r>
    </w:p>
    <w:p>
      <w:pPr>
        <w:autoSpaceDE w:val="0"/>
        <w:autoSpaceDN w:val="0"/>
        <w:adjustRightInd w:val="0"/>
        <w:snapToGrid w:val="0"/>
        <w:spacing w:line="520" w:lineRule="exact"/>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 w:val="24"/>
          <w:szCs w:val="24"/>
          <w:highlight w:val="none"/>
          <w:lang w:val="zh-CN"/>
        </w:rPr>
        <w:t>四、无佐证材料的举报作违约处理。</w:t>
      </w:r>
      <w:r>
        <w:rPr>
          <w:rFonts w:hint="eastAsia" w:ascii="宋体" w:hAnsi="宋体" w:eastAsia="宋体" w:cs="宋体"/>
          <w:color w:val="auto"/>
          <w:kern w:val="0"/>
          <w:sz w:val="24"/>
          <w:szCs w:val="24"/>
          <w:highlight w:val="none"/>
          <w:lang w:val="zh-CN"/>
        </w:rPr>
        <w:t>供应商不得进行不提供相关佐证材料（含无法查实的</w:t>
      </w:r>
      <w:r>
        <w:rPr>
          <w:rFonts w:hint="eastAsia" w:ascii="宋体" w:hAnsi="宋体" w:eastAsia="宋体" w:cs="宋体"/>
          <w:color w:val="auto"/>
          <w:sz w:val="24"/>
          <w:szCs w:val="24"/>
          <w:highlight w:val="none"/>
        </w:rPr>
        <w:t>如宣传册、媒体报道、猜测、推理等）</w:t>
      </w:r>
      <w:r>
        <w:rPr>
          <w:rFonts w:hint="eastAsia" w:ascii="宋体" w:hAnsi="宋体" w:eastAsia="宋体" w:cs="宋体"/>
          <w:color w:val="auto"/>
          <w:kern w:val="0"/>
          <w:sz w:val="24"/>
          <w:szCs w:val="24"/>
          <w:highlight w:val="none"/>
          <w:lang w:val="zh-CN"/>
        </w:rPr>
        <w:t>向有关部门的举报，否则作违约处理。采购人有权取消其相应的供应商资格，同时对其在1至3年内禁入由采购人组织的采购活动的违约处理。</w:t>
      </w:r>
    </w:p>
    <w:p>
      <w:pPr>
        <w:snapToGrid w:val="0"/>
        <w:spacing w:line="520" w:lineRule="exact"/>
        <w:ind w:firstLine="482"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五、投诉不成立的作违约处理。</w:t>
      </w:r>
      <w:r>
        <w:rPr>
          <w:rFonts w:hint="eastAsia" w:ascii="宋体" w:hAnsi="宋体" w:eastAsia="宋体" w:cs="宋体"/>
          <w:color w:val="auto"/>
          <w:sz w:val="24"/>
          <w:szCs w:val="24"/>
          <w:highlight w:val="none"/>
        </w:rPr>
        <w:t>供应商进行质疑后，采购人及采购单位回复质疑不成立，供应商仍进行投诉的，并最终投诉不成立的，作违约处理。采购</w:t>
      </w:r>
      <w:r>
        <w:rPr>
          <w:rFonts w:hint="eastAsia" w:ascii="宋体" w:hAnsi="宋体" w:eastAsia="宋体" w:cs="宋体"/>
          <w:color w:val="auto"/>
          <w:kern w:val="0"/>
          <w:sz w:val="24"/>
          <w:szCs w:val="24"/>
          <w:highlight w:val="none"/>
          <w:lang w:val="zh-CN"/>
        </w:rPr>
        <w:t>人及采购单位有权取消其相应的供应商资格，同时对其在1至3年内禁入由采购人组织的采购活动的违约处理。</w:t>
      </w:r>
    </w:p>
    <w:p>
      <w:pPr>
        <w:snapToGrid w:val="0"/>
        <w:spacing w:line="520" w:lineRule="exact"/>
        <w:ind w:firstLine="570"/>
        <w:contextualSpacing/>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六、《质疑函》、《质疑回复函》，质疑、举报、投诉不成立的</w:t>
      </w:r>
      <w:r>
        <w:rPr>
          <w:rFonts w:hint="eastAsia" w:ascii="宋体" w:hAnsi="宋体" w:eastAsia="宋体" w:cs="宋体"/>
          <w:color w:val="auto"/>
          <w:sz w:val="24"/>
          <w:szCs w:val="24"/>
          <w:highlight w:val="none"/>
        </w:rPr>
        <w:t>等相关情况，视情在南通相关媒体予以披露。并建议相关政府采购机构对该供应商同步实施1至3年内禁入。</w:t>
      </w:r>
    </w:p>
    <w:p>
      <w:pPr>
        <w:pStyle w:val="5"/>
        <w:rPr>
          <w:rFonts w:hint="eastAsia" w:ascii="宋体" w:hAnsi="宋体" w:eastAsia="宋体" w:cs="宋体"/>
          <w:color w:val="auto"/>
          <w:sz w:val="24"/>
          <w:szCs w:val="24"/>
          <w:highlight w:val="none"/>
        </w:rPr>
      </w:pPr>
      <w:bookmarkStart w:id="8" w:name="_Toc25551"/>
    </w:p>
    <w:p>
      <w:pPr>
        <w:ind w:firstLine="1606" w:firstLineChars="5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2570" w:firstLineChars="800"/>
        <w:rPr>
          <w:rFonts w:hint="eastAsia" w:ascii="宋体" w:hAnsi="宋体" w:eastAsia="宋体" w:cs="宋体"/>
          <w:b/>
          <w:color w:val="auto"/>
          <w:sz w:val="32"/>
          <w:szCs w:val="32"/>
          <w:highlight w:val="none"/>
        </w:rPr>
      </w:pPr>
    </w:p>
    <w:p>
      <w:pPr>
        <w:ind w:firstLine="1606" w:firstLineChars="5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32"/>
          <w:szCs w:val="32"/>
          <w:highlight w:val="none"/>
        </w:rPr>
        <w:t>第七部分    响应文件组成及编制要求</w:t>
      </w:r>
      <w:bookmarkEnd w:id="8"/>
    </w:p>
    <w:p>
      <w:pPr>
        <w:pStyle w:val="4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pPr>
        <w:pStyle w:val="40"/>
        <w:snapToGrid w:val="0"/>
        <w:spacing w:line="480" w:lineRule="auto"/>
        <w:ind w:firstLine="579"/>
        <w:contextualSpacing/>
        <w:jc w:val="left"/>
        <w:rPr>
          <w:rFonts w:hint="eastAsia" w:ascii="宋体" w:hAnsi="宋体" w:eastAsia="宋体" w:cs="宋体"/>
          <w:b/>
          <w:color w:val="auto"/>
          <w:sz w:val="24"/>
          <w:szCs w:val="24"/>
          <w:highlight w:val="none"/>
        </w:rPr>
      </w:pPr>
    </w:p>
    <w:p>
      <w:pPr>
        <w:pStyle w:val="40"/>
        <w:snapToGrid w:val="0"/>
        <w:spacing w:line="480" w:lineRule="auto"/>
        <w:ind w:firstLine="579"/>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请按照竞争性磋商采购公告及采购文件供应商资格要求提交响应供应商资格审查证明材料组成内容编制目录，单独密封包装。</w:t>
      </w:r>
    </w:p>
    <w:p>
      <w:pPr>
        <w:pStyle w:val="40"/>
        <w:snapToGrid w:val="0"/>
        <w:spacing w:line="480" w:lineRule="auto"/>
        <w:ind w:firstLine="579"/>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例如格式，仅供参考：</w:t>
      </w:r>
    </w:p>
    <w:p>
      <w:pPr>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1.关于资格的声明函；</w:t>
      </w:r>
    </w:p>
    <w:p>
      <w:pPr>
        <w:pStyle w:val="40"/>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2.法定代表人身份证明书（提供复印件并加盖公章）;</w:t>
      </w:r>
    </w:p>
    <w:p>
      <w:pPr>
        <w:tabs>
          <w:tab w:val="left" w:pos="3375"/>
        </w:tabs>
        <w:autoSpaceDE w:val="0"/>
        <w:autoSpaceDN w:val="0"/>
        <w:adjustRightInd w:val="0"/>
        <w:snapToGrid w:val="0"/>
        <w:spacing w:line="480" w:lineRule="auto"/>
        <w:ind w:left="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3.法定代表人授权委托书原件，投标代表本人身份证复印件（原件随身备查）；</w:t>
      </w:r>
    </w:p>
    <w:p>
      <w:pPr>
        <w:pStyle w:val="40"/>
        <w:snapToGrid w:val="0"/>
        <w:spacing w:line="480" w:lineRule="auto"/>
        <w:ind w:left="140" w:firstLine="360" w:firstLineChars="150"/>
        <w:contextualSpacing/>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4.法人或者其他组织的营业执照等相关证明、佐证材料或者情况说明</w:t>
      </w:r>
      <w:r>
        <w:rPr>
          <w:rFonts w:hint="eastAsia" w:ascii="宋体" w:hAnsi="宋体" w:eastAsia="宋体" w:cs="宋体"/>
          <w:color w:val="auto"/>
          <w:sz w:val="24"/>
          <w:szCs w:val="24"/>
          <w:highlight w:val="none"/>
          <w:lang w:eastAsia="zh-CN"/>
        </w:rPr>
        <w:t>；</w:t>
      </w:r>
    </w:p>
    <w:p>
      <w:pPr>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依法缴纳税收和社会保障资金的良好记录；</w:t>
      </w:r>
    </w:p>
    <w:p>
      <w:pPr>
        <w:pStyle w:val="40"/>
        <w:snapToGrid w:val="0"/>
        <w:spacing w:line="480" w:lineRule="auto"/>
        <w:ind w:left="140" w:firstLine="360" w:firstLineChars="150"/>
        <w:contextualSpacing/>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具备在有效期内的国家部委或江苏省网络信息安全等级保护评估中心颁发的《网络安全等级保护测评机构推荐证书》</w:t>
      </w:r>
    </w:p>
    <w:p>
      <w:pPr>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7.前三年来，在经营活动中没有重大违法记录、经营状况良好的声明。</w:t>
      </w:r>
    </w:p>
    <w:p>
      <w:pPr>
        <w:pStyle w:val="40"/>
        <w:snapToGrid w:val="0"/>
        <w:spacing w:line="480" w:lineRule="auto"/>
        <w:ind w:firstLine="0" w:firstLineChars="0"/>
        <w:contextualSpacing/>
        <w:jc w:val="left"/>
        <w:rPr>
          <w:rFonts w:hint="eastAsia" w:ascii="宋体" w:hAnsi="宋体" w:eastAsia="宋体" w:cs="宋体"/>
          <w:color w:val="auto"/>
          <w:sz w:val="24"/>
          <w:szCs w:val="24"/>
          <w:highlight w:val="none"/>
          <w:lang w:val="en-US"/>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关于资格的声明函</w:t>
      </w:r>
    </w:p>
    <w:p>
      <w:pPr>
        <w:snapToGrid w:val="0"/>
        <w:spacing w:line="300" w:lineRule="auto"/>
        <w:contextualSpacing/>
        <w:rPr>
          <w:rFonts w:hint="eastAsia" w:ascii="宋体" w:hAnsi="宋体" w:eastAsia="宋体" w:cs="宋体"/>
          <w:b/>
          <w:color w:val="auto"/>
          <w:sz w:val="24"/>
          <w:szCs w:val="24"/>
          <w:highlight w:val="none"/>
        </w:rPr>
      </w:pPr>
    </w:p>
    <w:p>
      <w:pPr>
        <w:snapToGrid w:val="0"/>
        <w:spacing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南通日报社（南通报业传媒集团）：</w:t>
      </w: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我公司认真对照竞争性磋商采购公告及文件，符合贵方提出的资格要求，自愿报名参加响应，并保证提供的资料文件是准确的和真实的。提供虚假材料的愿意承担相应的法律责任。</w:t>
      </w:r>
    </w:p>
    <w:p>
      <w:pPr>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附：公司响应之前3年内有无受各级管理部门的处分或处罚（含其授权服务的子公司、分公司等），和企业被列入“不良信誉黑名单”。</w:t>
      </w:r>
    </w:p>
    <w:p>
      <w:pPr>
        <w:pStyle w:val="9"/>
        <w:snapToGrid w:val="0"/>
        <w:spacing w:line="5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如果不主动填报而被事后发现的，将取消其响应资格，并按有关规定从重处理；没有受处罚的响应人，要填写“没有受到任何处罚”，此表不能空白。</w:t>
      </w:r>
    </w:p>
    <w:p>
      <w:pPr>
        <w:pStyle w:val="9"/>
        <w:snapToGrid w:val="0"/>
        <w:spacing w:line="300" w:lineRule="auto"/>
        <w:ind w:firstLine="240" w:firstLineChars="100"/>
        <w:contextualSpacing/>
        <w:jc w:val="left"/>
        <w:rPr>
          <w:rFonts w:hint="eastAsia" w:ascii="宋体" w:hAnsi="宋体" w:eastAsia="宋体" w:cs="宋体"/>
          <w:color w:val="auto"/>
          <w:sz w:val="24"/>
          <w:szCs w:val="24"/>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3363"/>
        <w:gridCol w:w="3363"/>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33" w:type="pct"/>
            <w:noWrap w:val="0"/>
            <w:vAlign w:val="center"/>
          </w:tcPr>
          <w:p>
            <w:pPr>
              <w:pStyle w:val="6"/>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时 间</w:t>
            </w:r>
          </w:p>
        </w:tc>
        <w:tc>
          <w:tcPr>
            <w:tcW w:w="1757" w:type="pct"/>
            <w:noWrap w:val="0"/>
            <w:vAlign w:val="center"/>
          </w:tcPr>
          <w:p>
            <w:pPr>
              <w:pStyle w:val="6"/>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受处理的原因</w:t>
            </w:r>
          </w:p>
          <w:p>
            <w:pPr>
              <w:pStyle w:val="6"/>
              <w:snapToGrid w:val="0"/>
              <w:spacing w:line="300" w:lineRule="auto"/>
              <w:ind w:firstLine="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（参加政府采购活动前3年内在经营活动中有重大违法记录和企业被列入“不良信誉黑名单”受处理的，注明采购项目</w:t>
            </w:r>
          </w:p>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名称及处理原因）</w:t>
            </w:r>
          </w:p>
        </w:tc>
        <w:tc>
          <w:tcPr>
            <w:tcW w:w="1757" w:type="pct"/>
            <w:noWrap w:val="0"/>
            <w:vAlign w:val="center"/>
          </w:tcPr>
          <w:p>
            <w:pPr>
              <w:pStyle w:val="6"/>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处理的内容</w:t>
            </w:r>
          </w:p>
          <w:p>
            <w:pPr>
              <w:pStyle w:val="6"/>
              <w:snapToGrid w:val="0"/>
              <w:spacing w:line="300" w:lineRule="auto"/>
              <w:ind w:firstLine="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（如受到禁止一段时期参加某种项目的政府采购活动的，要说明解禁时</w:t>
            </w:r>
          </w:p>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间）</w:t>
            </w:r>
          </w:p>
        </w:tc>
        <w:tc>
          <w:tcPr>
            <w:tcW w:w="753" w:type="pct"/>
            <w:noWrap w:val="0"/>
            <w:vAlign w:val="center"/>
          </w:tcPr>
          <w:p>
            <w:pPr>
              <w:pStyle w:val="6"/>
              <w:snapToGrid w:val="0"/>
              <w:spacing w:line="300" w:lineRule="auto"/>
              <w:ind w:firstLine="0"/>
              <w:contextualSpacing/>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33" w:type="pct"/>
            <w:noWrap w:val="0"/>
            <w:vAlign w:val="top"/>
          </w:tcPr>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1757" w:type="pct"/>
            <w:noWrap w:val="0"/>
            <w:vAlign w:val="top"/>
          </w:tcPr>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1757" w:type="pct"/>
            <w:noWrap w:val="0"/>
            <w:vAlign w:val="top"/>
          </w:tcPr>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p>
        </w:tc>
        <w:tc>
          <w:tcPr>
            <w:tcW w:w="753" w:type="pct"/>
            <w:noWrap w:val="0"/>
            <w:vAlign w:val="top"/>
          </w:tcPr>
          <w:p>
            <w:pPr>
              <w:pStyle w:val="6"/>
              <w:snapToGrid w:val="0"/>
              <w:spacing w:line="300" w:lineRule="auto"/>
              <w:ind w:firstLine="0"/>
              <w:contextualSpacing/>
              <w:rPr>
                <w:rFonts w:hint="eastAsia" w:ascii="宋体" w:hAnsi="宋体" w:eastAsia="宋体" w:cs="宋体"/>
                <w:color w:val="auto"/>
                <w:sz w:val="24"/>
                <w:szCs w:val="24"/>
                <w:highlight w:val="none"/>
                <w:lang w:val="en-US" w:eastAsia="zh-CN"/>
              </w:rPr>
            </w:pPr>
          </w:p>
        </w:tc>
      </w:tr>
    </w:tbl>
    <w:p>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法定代表人身份证明书</w:t>
      </w:r>
    </w:p>
    <w:p>
      <w:pPr>
        <w:snapToGrid w:val="0"/>
        <w:spacing w:line="300" w:lineRule="auto"/>
        <w:ind w:firstLine="480" w:firstLineChars="200"/>
        <w:contextualSpacing/>
        <w:rPr>
          <w:rFonts w:hint="eastAsia" w:ascii="宋体" w:hAnsi="宋体" w:eastAsia="宋体" w:cs="宋体"/>
          <w:color w:val="auto"/>
          <w:sz w:val="24"/>
          <w:szCs w:val="24"/>
          <w:highlight w:val="none"/>
        </w:rPr>
      </w:pPr>
    </w:p>
    <w:p>
      <w:pPr>
        <w:snapToGrid w:val="0"/>
        <w:spacing w:line="300" w:lineRule="auto"/>
        <w:ind w:firstLine="480" w:firstLineChars="200"/>
        <w:contextualSpacing/>
        <w:rPr>
          <w:rFonts w:hint="eastAsia" w:ascii="宋体" w:hAnsi="宋体" w:eastAsia="宋体" w:cs="宋体"/>
          <w:color w:val="auto"/>
          <w:sz w:val="24"/>
          <w:szCs w:val="24"/>
          <w:highlight w:val="none"/>
        </w:rPr>
      </w:pPr>
    </w:p>
    <w:p>
      <w:pPr>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先生／女士：现任我单位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职务，为法定代表人，特此证明。</w:t>
      </w:r>
    </w:p>
    <w:p>
      <w:pPr>
        <w:snapToGrid w:val="0"/>
        <w:spacing w:line="500" w:lineRule="exact"/>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napToGrid w:val="0"/>
        <w:spacing w:line="500" w:lineRule="exact"/>
        <w:contextualSpacing/>
        <w:rPr>
          <w:rFonts w:hint="eastAsia" w:ascii="宋体" w:hAnsi="宋体" w:eastAsia="宋体" w:cs="宋体"/>
          <w:b/>
          <w:color w:val="auto"/>
          <w:sz w:val="24"/>
          <w:szCs w:val="24"/>
          <w:highlight w:val="none"/>
        </w:rPr>
      </w:pPr>
    </w:p>
    <w:p>
      <w:pPr>
        <w:snapToGrid w:val="0"/>
        <w:spacing w:line="500" w:lineRule="exact"/>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注：提供法定代表人的身份证复印件盖公章</w:t>
      </w:r>
    </w:p>
    <w:p>
      <w:pPr>
        <w:snapToGrid w:val="0"/>
        <w:spacing w:line="500" w:lineRule="exact"/>
        <w:ind w:firstLine="590" w:firstLineChars="245"/>
        <w:contextualSpacing/>
        <w:jc w:val="center"/>
        <w:rPr>
          <w:rFonts w:hint="eastAsia" w:ascii="宋体" w:hAnsi="宋体" w:eastAsia="宋体" w:cs="宋体"/>
          <w:b/>
          <w:bCs/>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法定代表人授权委托书</w:t>
      </w:r>
    </w:p>
    <w:p>
      <w:pPr>
        <w:snapToGrid w:val="0"/>
        <w:spacing w:line="300" w:lineRule="auto"/>
        <w:ind w:firstLine="590" w:firstLineChars="245"/>
        <w:contextualSpacing/>
        <w:jc w:val="center"/>
        <w:rPr>
          <w:rFonts w:hint="eastAsia" w:ascii="宋体" w:hAnsi="宋体" w:eastAsia="宋体" w:cs="宋体"/>
          <w:b/>
          <w:bCs/>
          <w:color w:val="auto"/>
          <w:sz w:val="24"/>
          <w:szCs w:val="24"/>
          <w:highlight w:val="none"/>
        </w:rPr>
      </w:pPr>
    </w:p>
    <w:p>
      <w:pPr>
        <w:snapToGrid w:val="0"/>
        <w:spacing w:line="500" w:lineRule="exact"/>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南通日报社（南通报业传媒集团）：</w:t>
      </w:r>
    </w:p>
    <w:p>
      <w:pPr>
        <w:pStyle w:val="9"/>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8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本授权委托书声明：我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（响应人名称）的法定代表人，现授权委托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姓名）为我公司代理人，以本公司的名义参加</w:t>
      </w:r>
      <w:r>
        <w:rPr>
          <w:rFonts w:hint="eastAsia" w:ascii="宋体" w:hAnsi="宋体" w:eastAsia="宋体" w:cs="宋体"/>
          <w:color w:val="auto"/>
          <w:sz w:val="24"/>
          <w:szCs w:val="24"/>
          <w:highlight w:val="none"/>
          <w:u w:val="single"/>
        </w:rPr>
        <w:t xml:space="preserve">南通日报社（南通报业传媒集团）               </w:t>
      </w:r>
      <w:r>
        <w:rPr>
          <w:rFonts w:hint="eastAsia" w:ascii="宋体" w:hAnsi="宋体" w:eastAsia="宋体" w:cs="宋体"/>
          <w:color w:val="auto"/>
          <w:sz w:val="24"/>
          <w:szCs w:val="24"/>
          <w:highlight w:val="none"/>
        </w:rPr>
        <w:t>的响应活动。代理人在响应、开标、评审、磋商谈判过程中所签署的一切文件和处理与之有关的一切事务，我均予以承认。</w:t>
      </w:r>
    </w:p>
    <w:p>
      <w:pPr>
        <w:pStyle w:val="9"/>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被委托授权人无转委权。特此委托。</w:t>
      </w:r>
    </w:p>
    <w:p>
      <w:pPr>
        <w:pStyle w:val="9"/>
        <w:snapToGrid w:val="0"/>
        <w:spacing w:line="500" w:lineRule="exact"/>
        <w:ind w:firstLine="420"/>
        <w:contextualSpacing/>
        <w:rPr>
          <w:rFonts w:hint="eastAsia" w:ascii="宋体" w:hAnsi="宋体" w:eastAsia="宋体" w:cs="宋体"/>
          <w:color w:val="auto"/>
          <w:sz w:val="24"/>
          <w:szCs w:val="24"/>
          <w:highlight w:val="none"/>
        </w:rPr>
      </w:pPr>
    </w:p>
    <w:p>
      <w:pPr>
        <w:pStyle w:val="9"/>
        <w:snapToGrid w:val="0"/>
        <w:spacing w:line="500" w:lineRule="exact"/>
        <w:ind w:firstLine="42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被委托授权人身份证号：</w:t>
      </w:r>
    </w:p>
    <w:p>
      <w:pPr>
        <w:snapToGrid w:val="0"/>
        <w:spacing w:line="500" w:lineRule="exact"/>
        <w:ind w:firstLine="360" w:firstLineChars="150"/>
        <w:contextualSpacing/>
        <w:rPr>
          <w:rFonts w:hint="eastAsia" w:ascii="宋体" w:hAnsi="宋体" w:eastAsia="宋体" w:cs="宋体"/>
          <w:color w:val="auto"/>
          <w:sz w:val="24"/>
          <w:szCs w:val="24"/>
          <w:highlight w:val="none"/>
        </w:rPr>
      </w:pPr>
    </w:p>
    <w:p>
      <w:pPr>
        <w:snapToGrid w:val="0"/>
        <w:spacing w:line="500" w:lineRule="exact"/>
        <w:ind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snapToGrid w:val="0"/>
        <w:spacing w:line="500" w:lineRule="exact"/>
        <w:ind w:firstLine="360" w:firstLineChars="150"/>
        <w:contextualSpacing/>
        <w:rPr>
          <w:rFonts w:hint="eastAsia" w:ascii="宋体" w:hAnsi="宋体" w:eastAsia="宋体" w:cs="宋体"/>
          <w:color w:val="auto"/>
          <w:sz w:val="24"/>
          <w:szCs w:val="24"/>
          <w:highlight w:val="none"/>
        </w:rPr>
      </w:pPr>
    </w:p>
    <w:p>
      <w:pPr>
        <w:snapToGrid w:val="0"/>
        <w:spacing w:line="500" w:lineRule="exact"/>
        <w:ind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被委托授权人签字：</w:t>
      </w:r>
    </w:p>
    <w:p>
      <w:pPr>
        <w:snapToGrid w:val="0"/>
        <w:spacing w:line="500" w:lineRule="exact"/>
        <w:ind w:firstLine="4440" w:firstLineChars="1850"/>
        <w:contextualSpacing/>
        <w:rPr>
          <w:rFonts w:hint="eastAsia" w:ascii="宋体" w:hAnsi="宋体" w:eastAsia="宋体" w:cs="宋体"/>
          <w:color w:val="auto"/>
          <w:sz w:val="24"/>
          <w:szCs w:val="24"/>
          <w:highlight w:val="none"/>
        </w:rPr>
      </w:pPr>
    </w:p>
    <w:p>
      <w:pPr>
        <w:snapToGrid w:val="0"/>
        <w:spacing w:line="500" w:lineRule="exact"/>
        <w:ind w:firstLine="4440" w:firstLineChars="18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响应人（盖章）</w:t>
      </w:r>
    </w:p>
    <w:p>
      <w:pPr>
        <w:snapToGrid w:val="0"/>
        <w:spacing w:line="500" w:lineRule="exact"/>
        <w:contextualSpacing/>
        <w:rPr>
          <w:rFonts w:hint="eastAsia" w:ascii="宋体" w:hAnsi="宋体" w:eastAsia="宋体" w:cs="宋体"/>
          <w:color w:val="auto"/>
          <w:sz w:val="24"/>
          <w:szCs w:val="24"/>
          <w:highlight w:val="none"/>
        </w:rPr>
      </w:pPr>
    </w:p>
    <w:p>
      <w:pPr>
        <w:pStyle w:val="10"/>
        <w:snapToGrid w:val="0"/>
        <w:spacing w:line="500" w:lineRule="exact"/>
        <w:ind w:firstLine="4440" w:firstLineChars="185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月    日</w:t>
      </w:r>
    </w:p>
    <w:p>
      <w:pPr>
        <w:pStyle w:val="9"/>
        <w:snapToGrid w:val="0"/>
        <w:spacing w:line="500" w:lineRule="exact"/>
        <w:ind w:firstLine="420"/>
        <w:contextualSpacing/>
        <w:rPr>
          <w:rFonts w:hint="eastAsia" w:ascii="宋体" w:hAnsi="宋体" w:eastAsia="宋体" w:cs="宋体"/>
          <w:b/>
          <w:color w:val="auto"/>
          <w:sz w:val="24"/>
          <w:szCs w:val="24"/>
          <w:highlight w:val="none"/>
        </w:rPr>
      </w:pPr>
    </w:p>
    <w:p>
      <w:pPr>
        <w:pStyle w:val="9"/>
        <w:snapToGrid w:val="0"/>
        <w:spacing w:line="500" w:lineRule="exact"/>
        <w:ind w:firstLine="42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注：提供被委托授权人的身份证复印件盖公章</w:t>
      </w:r>
    </w:p>
    <w:p>
      <w:pPr>
        <w:pStyle w:val="9"/>
        <w:snapToGrid w:val="0"/>
        <w:spacing w:line="300" w:lineRule="auto"/>
        <w:ind w:firstLine="420"/>
        <w:contextualSpacing/>
        <w:rPr>
          <w:rFonts w:hint="eastAsia" w:ascii="宋体" w:hAnsi="宋体" w:eastAsia="宋体" w:cs="宋体"/>
          <w:b/>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ind w:firstLine="2879" w:firstLineChars="119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w:t>
      </w:r>
    </w:p>
    <w:p>
      <w:pPr>
        <w:spacing w:after="60" w:line="360" w:lineRule="auto"/>
        <w:ind w:firstLine="2036" w:firstLineChars="8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（商务技术响应文件）</w:t>
      </w:r>
    </w:p>
    <w:p>
      <w:pPr>
        <w:spacing w:after="60" w:line="360" w:lineRule="auto"/>
        <w:ind w:firstLine="3597" w:firstLineChars="149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正本或副本</w:t>
      </w:r>
    </w:p>
    <w:p>
      <w:pPr>
        <w:spacing w:after="60"/>
        <w:jc w:val="center"/>
        <w:rPr>
          <w:rFonts w:hint="eastAsia" w:ascii="宋体" w:hAnsi="宋体" w:eastAsia="宋体" w:cs="宋体"/>
          <w:b/>
          <w:bCs/>
          <w:color w:val="auto"/>
          <w:sz w:val="24"/>
          <w:szCs w:val="24"/>
          <w:highlight w:val="none"/>
        </w:rPr>
      </w:pPr>
    </w:p>
    <w:p>
      <w:pPr>
        <w:spacing w:after="60"/>
        <w:jc w:val="center"/>
        <w:rPr>
          <w:rFonts w:hint="eastAsia" w:ascii="宋体" w:hAnsi="宋体" w:eastAsia="宋体" w:cs="宋体"/>
          <w:b/>
          <w:bCs/>
          <w:color w:val="auto"/>
          <w:sz w:val="24"/>
          <w:szCs w:val="24"/>
          <w:highlight w:val="none"/>
        </w:rPr>
      </w:pPr>
    </w:p>
    <w:p>
      <w:pPr>
        <w:spacing w:line="600" w:lineRule="auto"/>
        <w:rPr>
          <w:rFonts w:hint="eastAsia" w:ascii="宋体" w:hAnsi="宋体" w:eastAsia="宋体" w:cs="宋体"/>
          <w:b/>
          <w:color w:val="auto"/>
          <w:sz w:val="24"/>
          <w:szCs w:val="24"/>
          <w:highlight w:val="none"/>
          <w:u w:val="single"/>
        </w:rPr>
      </w:pPr>
      <w:r>
        <w:rPr>
          <w:rFonts w:hint="eastAsia" w:ascii="宋体" w:hAnsi="宋体" w:eastAsia="宋体" w:cs="宋体"/>
          <w:b/>
          <w:bCs/>
          <w:color w:val="auto"/>
          <w:spacing w:val="-6"/>
          <w:sz w:val="24"/>
          <w:szCs w:val="24"/>
          <w:highlight w:val="none"/>
        </w:rPr>
        <w:t>项目名称:</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南通日报社(南通报业传媒集团）网络信息安全等级测评服务</w:t>
      </w:r>
    </w:p>
    <w:p>
      <w:pPr>
        <w:spacing w:line="600" w:lineRule="auto"/>
        <w:rPr>
          <w:rFonts w:hint="eastAsia" w:ascii="宋体" w:hAnsi="宋体" w:eastAsia="宋体" w:cs="宋体"/>
          <w:color w:val="auto"/>
          <w:sz w:val="24"/>
          <w:szCs w:val="24"/>
          <w:highlight w:val="none"/>
        </w:rPr>
      </w:pPr>
    </w:p>
    <w:p>
      <w:pPr>
        <w:spacing w:line="60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w:t>
      </w:r>
      <w:r>
        <w:rPr>
          <w:rFonts w:hint="eastAsia" w:ascii="宋体" w:hAnsi="宋体" w:eastAsia="宋体" w:cs="宋体"/>
          <w:b/>
          <w:color w:val="auto"/>
          <w:sz w:val="24"/>
          <w:szCs w:val="24"/>
          <w:highlight w:val="none"/>
          <w:u w:val="single"/>
        </w:rPr>
        <w:t xml:space="preserve">                                    </w:t>
      </w:r>
    </w:p>
    <w:p>
      <w:pPr>
        <w:spacing w:line="600" w:lineRule="auto"/>
        <w:ind w:left="1282" w:leftChars="171" w:hanging="923" w:hangingChars="38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（盖公章）</w:t>
      </w:r>
    </w:p>
    <w:p>
      <w:pPr>
        <w:spacing w:line="60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法定代表人签字：</w:t>
      </w:r>
      <w:r>
        <w:rPr>
          <w:rFonts w:hint="eastAsia" w:ascii="宋体" w:hAnsi="宋体" w:eastAsia="宋体" w:cs="宋体"/>
          <w:b/>
          <w:color w:val="auto"/>
          <w:sz w:val="24"/>
          <w:szCs w:val="24"/>
          <w:highlight w:val="none"/>
          <w:u w:val="single"/>
        </w:rPr>
        <w:t xml:space="preserve">                              </w:t>
      </w:r>
    </w:p>
    <w:p>
      <w:pPr>
        <w:spacing w:line="600" w:lineRule="auto"/>
        <w:ind w:left="1282" w:leftChars="171" w:hanging="923" w:hangingChars="38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（或委托授权代表）</w:t>
      </w:r>
    </w:p>
    <w:p>
      <w:pPr>
        <w:spacing w:line="600" w:lineRule="auto"/>
        <w:ind w:left="1278" w:leftChars="171" w:hanging="919" w:hangingChars="383"/>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响应人地址：</w:t>
      </w:r>
      <w:r>
        <w:rPr>
          <w:rFonts w:hint="eastAsia" w:ascii="宋体" w:hAnsi="宋体" w:eastAsia="宋体" w:cs="宋体"/>
          <w:color w:val="auto"/>
          <w:sz w:val="24"/>
          <w:szCs w:val="24"/>
          <w:highlight w:val="none"/>
          <w:u w:val="single"/>
        </w:rPr>
        <w:t xml:space="preserve">                         </w:t>
      </w:r>
    </w:p>
    <w:p>
      <w:pPr>
        <w:spacing w:line="600" w:lineRule="auto"/>
        <w:ind w:left="1278" w:leftChars="171" w:hanging="919" w:hangingChars="383"/>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p>
    <w:p>
      <w:pPr>
        <w:spacing w:line="60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41"/>
        <w:ind w:left="0" w:firstLine="1549" w:firstLineChars="643"/>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p>
    <w:p>
      <w:pPr>
        <w:pStyle w:val="40"/>
        <w:snapToGrid w:val="0"/>
        <w:spacing w:line="300" w:lineRule="auto"/>
        <w:ind w:left="140" w:firstLine="361" w:firstLineChars="150"/>
        <w:contextualSpacing/>
        <w:rPr>
          <w:rFonts w:hint="eastAsia" w:ascii="宋体" w:hAnsi="宋体" w:eastAsia="宋体" w:cs="宋体"/>
          <w:b/>
          <w:color w:val="auto"/>
          <w:sz w:val="24"/>
          <w:szCs w:val="24"/>
          <w:highlight w:val="none"/>
        </w:rPr>
      </w:pPr>
    </w:p>
    <w:p>
      <w:pPr>
        <w:pStyle w:val="40"/>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      录</w:t>
      </w:r>
    </w:p>
    <w:p>
      <w:pPr>
        <w:pStyle w:val="40"/>
        <w:ind w:firstLine="577"/>
        <w:rPr>
          <w:rFonts w:hint="eastAsia" w:ascii="宋体" w:hAnsi="宋体" w:eastAsia="宋体" w:cs="宋体"/>
          <w:color w:val="auto"/>
          <w:sz w:val="24"/>
          <w:szCs w:val="24"/>
          <w:highlight w:val="none"/>
        </w:rPr>
      </w:pPr>
    </w:p>
    <w:p>
      <w:pPr>
        <w:pStyle w:val="40"/>
        <w:snapToGrid w:val="0"/>
        <w:spacing w:line="500" w:lineRule="exact"/>
        <w:ind w:firstLine="579"/>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请按照竞争性磋商采购文件商务技术响应文件要求组成内容编制目录。</w:t>
      </w:r>
    </w:p>
    <w:p>
      <w:pPr>
        <w:pStyle w:val="40"/>
        <w:snapToGrid w:val="0"/>
        <w:spacing w:line="500" w:lineRule="exact"/>
        <w:ind w:firstLine="579"/>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例如格式，仅供参考：</w:t>
      </w:r>
    </w:p>
    <w:p>
      <w:pPr>
        <w:tabs>
          <w:tab w:val="left" w:pos="126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1.投标人情况一览表</w:t>
      </w:r>
    </w:p>
    <w:p>
      <w:pPr>
        <w:pStyle w:val="40"/>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2.商务部分正负偏离表</w:t>
      </w:r>
    </w:p>
    <w:p>
      <w:pPr>
        <w:pStyle w:val="40"/>
        <w:snapToGrid w:val="0"/>
        <w:spacing w:line="500" w:lineRule="exact"/>
        <w:ind w:firstLine="57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3.技术部分正负偏离表</w:t>
      </w:r>
    </w:p>
    <w:p>
      <w:pPr>
        <w:pStyle w:val="42"/>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填制正负偏离表，完全响应的，请以空白表列示。不完全响应的，必须在偏离表中列示；列示不全的，视同故意隐瞒。</w:t>
      </w:r>
    </w:p>
    <w:p>
      <w:pPr>
        <w:pStyle w:val="40"/>
        <w:snapToGrid w:val="0"/>
        <w:spacing w:line="500" w:lineRule="exact"/>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其它：</w:t>
      </w:r>
    </w:p>
    <w:p>
      <w:pPr>
        <w:pStyle w:val="40"/>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4.货物（服务）清单</w:t>
      </w:r>
    </w:p>
    <w:p>
      <w:pPr>
        <w:pStyle w:val="40"/>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5.售后服务计划</w:t>
      </w:r>
    </w:p>
    <w:p>
      <w:pPr>
        <w:pStyle w:val="40"/>
        <w:snapToGrid w:val="0"/>
        <w:spacing w:line="5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6.拟安排本项目技术人员情况表</w:t>
      </w:r>
    </w:p>
    <w:p>
      <w:pPr>
        <w:pStyle w:val="40"/>
        <w:snapToGrid w:val="0"/>
        <w:spacing w:line="500" w:lineRule="exact"/>
        <w:ind w:firstLine="577"/>
        <w:contextualSpacing/>
        <w:rPr>
          <w:rFonts w:hint="eastAsia" w:ascii="宋体" w:hAnsi="宋体" w:eastAsia="宋体" w:cs="宋体"/>
          <w:color w:val="auto"/>
          <w:sz w:val="24"/>
          <w:szCs w:val="24"/>
          <w:highlight w:val="none"/>
        </w:rPr>
      </w:pPr>
    </w:p>
    <w:p>
      <w:pPr>
        <w:pStyle w:val="40"/>
        <w:snapToGrid w:val="0"/>
        <w:spacing w:line="500" w:lineRule="exact"/>
        <w:ind w:firstLine="57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为方便评委评审，请响应人按评审办法中所涉及的事项顺序进行编制，可以补充相关材料。</w:t>
      </w:r>
    </w:p>
    <w:p>
      <w:pPr>
        <w:pStyle w:val="40"/>
        <w:snapToGrid w:val="0"/>
        <w:spacing w:line="500" w:lineRule="exact"/>
        <w:ind w:firstLine="57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评审办法中未涉及的事项，响应人认为需要提交的其他资料</w:t>
      </w: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500" w:lineRule="exact"/>
        <w:ind w:firstLine="0" w:firstLineChars="0"/>
        <w:contextualSpacing/>
        <w:rPr>
          <w:rFonts w:hint="eastAsia" w:ascii="宋体" w:hAnsi="宋体" w:eastAsia="宋体" w:cs="宋体"/>
          <w:b/>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b/>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b/>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tabs>
          <w:tab w:val="left" w:pos="1260"/>
        </w:tabs>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响应人情况一览表</w:t>
      </w:r>
    </w:p>
    <w:tbl>
      <w:tblPr>
        <w:tblStyle w:val="18"/>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923" w:type="dxa"/>
            <w:gridSpan w:val="10"/>
            <w:tcBorders>
              <w:top w:val="double" w:color="auto" w:sz="4" w:space="0"/>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单位优势及特长</w:t>
            </w:r>
          </w:p>
        </w:tc>
        <w:tc>
          <w:tcPr>
            <w:tcW w:w="7072" w:type="dxa"/>
            <w:gridSpan w:val="9"/>
            <w:tcBorders>
              <w:left w:val="single" w:color="auto" w:sz="4" w:space="0"/>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概况</w:t>
            </w:r>
          </w:p>
        </w:tc>
        <w:tc>
          <w:tcPr>
            <w:tcW w:w="1276" w:type="dxa"/>
            <w:gridSpan w:val="2"/>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职工总数</w:t>
            </w:r>
          </w:p>
        </w:tc>
        <w:tc>
          <w:tcPr>
            <w:tcW w:w="1417" w:type="dxa"/>
            <w:gridSpan w:val="2"/>
            <w:noWrap w:val="0"/>
            <w:vAlign w:val="center"/>
          </w:tcPr>
          <w:p>
            <w:pPr>
              <w:tabs>
                <w:tab w:val="left" w:pos="4320"/>
              </w:tabs>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c>
          <w:tcPr>
            <w:tcW w:w="567" w:type="dxa"/>
            <w:vMerge w:val="restart"/>
            <w:noWrap w:val="0"/>
            <w:vAlign w:val="center"/>
          </w:tcPr>
          <w:p>
            <w:pPr>
              <w:tabs>
                <w:tab w:val="left" w:pos="432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上一年主要经济指标</w:t>
            </w:r>
          </w:p>
        </w:tc>
        <w:tc>
          <w:tcPr>
            <w:tcW w:w="946" w:type="dxa"/>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营业额</w:t>
            </w:r>
          </w:p>
        </w:tc>
        <w:tc>
          <w:tcPr>
            <w:tcW w:w="1414"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1184" w:type="dxa"/>
            <w:gridSpan w:val="2"/>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实现利润</w:t>
            </w:r>
          </w:p>
        </w:tc>
        <w:tc>
          <w:tcPr>
            <w:tcW w:w="1544" w:type="dxa"/>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eastAsia="宋体" w:cs="宋体"/>
                <w:color w:val="auto"/>
                <w:sz w:val="24"/>
                <w:szCs w:val="24"/>
                <w:highlight w:val="none"/>
              </w:rPr>
            </w:pPr>
          </w:p>
        </w:tc>
        <w:tc>
          <w:tcPr>
            <w:tcW w:w="1276" w:type="dxa"/>
            <w:gridSpan w:val="2"/>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流动资金</w:t>
            </w:r>
          </w:p>
        </w:tc>
        <w:tc>
          <w:tcPr>
            <w:tcW w:w="1417" w:type="dxa"/>
            <w:gridSpan w:val="2"/>
            <w:noWrap w:val="0"/>
            <w:vAlign w:val="center"/>
          </w:tcPr>
          <w:p>
            <w:pPr>
              <w:tabs>
                <w:tab w:val="left" w:pos="4320"/>
              </w:tabs>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567" w:type="dxa"/>
            <w:vMerge w:val="continue"/>
            <w:noWrap w:val="0"/>
            <w:vAlign w:val="center"/>
          </w:tcPr>
          <w:p>
            <w:pPr>
              <w:tabs>
                <w:tab w:val="left" w:pos="4320"/>
              </w:tabs>
              <w:rPr>
                <w:rFonts w:hint="eastAsia" w:ascii="宋体" w:hAnsi="宋体" w:eastAsia="宋体" w:cs="宋体"/>
                <w:color w:val="auto"/>
                <w:sz w:val="24"/>
                <w:szCs w:val="24"/>
                <w:highlight w:val="none"/>
              </w:rPr>
            </w:pPr>
          </w:p>
        </w:tc>
        <w:tc>
          <w:tcPr>
            <w:tcW w:w="946" w:type="dxa"/>
            <w:vMerge w:val="restart"/>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w:t>
            </w:r>
          </w:p>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eastAsia="宋体" w:cs="宋体"/>
                <w:color w:val="auto"/>
                <w:sz w:val="24"/>
                <w:szCs w:val="24"/>
                <w:highlight w:val="none"/>
              </w:rPr>
            </w:pPr>
          </w:p>
        </w:tc>
        <w:tc>
          <w:tcPr>
            <w:tcW w:w="1276" w:type="dxa"/>
            <w:gridSpan w:val="2"/>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w:t>
            </w:r>
          </w:p>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417" w:type="dxa"/>
            <w:gridSpan w:val="2"/>
            <w:noWrap w:val="0"/>
            <w:vAlign w:val="center"/>
          </w:tcPr>
          <w:p>
            <w:pPr>
              <w:tabs>
                <w:tab w:val="left" w:pos="-48"/>
                <w:tab w:val="left" w:pos="4320"/>
              </w:tabs>
              <w:ind w:right="-133" w:hanging="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原值：</w:t>
            </w:r>
          </w:p>
          <w:p>
            <w:pPr>
              <w:tabs>
                <w:tab w:val="left" w:pos="-48"/>
                <w:tab w:val="left" w:pos="4320"/>
              </w:tabs>
              <w:ind w:hanging="48"/>
              <w:jc w:val="right"/>
              <w:rPr>
                <w:rFonts w:hint="eastAsia" w:ascii="宋体" w:hAnsi="宋体" w:eastAsia="宋体" w:cs="宋体"/>
                <w:color w:val="auto"/>
                <w:sz w:val="24"/>
                <w:szCs w:val="24"/>
                <w:highlight w:val="none"/>
              </w:rPr>
            </w:pPr>
          </w:p>
          <w:p>
            <w:pPr>
              <w:tabs>
                <w:tab w:val="left" w:pos="-48"/>
                <w:tab w:val="left" w:pos="4320"/>
              </w:tabs>
              <w:ind w:right="-133" w:hanging="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净值：</w:t>
            </w:r>
          </w:p>
          <w:p>
            <w:pPr>
              <w:tabs>
                <w:tab w:val="left" w:pos="-48"/>
                <w:tab w:val="left" w:pos="4320"/>
              </w:tabs>
              <w:ind w:hanging="48"/>
              <w:jc w:val="right"/>
              <w:rPr>
                <w:rFonts w:hint="eastAsia" w:ascii="宋体" w:hAnsi="宋体" w:eastAsia="宋体" w:cs="宋体"/>
                <w:color w:val="auto"/>
                <w:sz w:val="24"/>
                <w:szCs w:val="24"/>
                <w:highlight w:val="none"/>
              </w:rPr>
            </w:pPr>
          </w:p>
        </w:tc>
        <w:tc>
          <w:tcPr>
            <w:tcW w:w="567" w:type="dxa"/>
            <w:vMerge w:val="continue"/>
            <w:noWrap w:val="0"/>
            <w:vAlign w:val="center"/>
          </w:tcPr>
          <w:p>
            <w:pPr>
              <w:tabs>
                <w:tab w:val="left" w:pos="4320"/>
              </w:tabs>
              <w:rPr>
                <w:rFonts w:hint="eastAsia" w:ascii="宋体" w:hAnsi="宋体" w:eastAsia="宋体" w:cs="宋体"/>
                <w:color w:val="auto"/>
                <w:sz w:val="24"/>
                <w:szCs w:val="24"/>
                <w:highlight w:val="none"/>
              </w:rPr>
            </w:pPr>
          </w:p>
        </w:tc>
        <w:tc>
          <w:tcPr>
            <w:tcW w:w="946" w:type="dxa"/>
            <w:vMerge w:val="continue"/>
            <w:noWrap w:val="0"/>
            <w:vAlign w:val="center"/>
          </w:tcPr>
          <w:p>
            <w:pPr>
              <w:tabs>
                <w:tab w:val="left" w:pos="4320"/>
              </w:tabs>
              <w:jc w:val="center"/>
              <w:rPr>
                <w:rFonts w:hint="eastAsia" w:ascii="宋体" w:hAnsi="宋体" w:eastAsia="宋体" w:cs="宋体"/>
                <w:color w:val="auto"/>
                <w:sz w:val="24"/>
                <w:szCs w:val="24"/>
                <w:highlight w:val="none"/>
              </w:rPr>
            </w:pPr>
          </w:p>
        </w:tc>
        <w:tc>
          <w:tcPr>
            <w:tcW w:w="4142" w:type="dxa"/>
            <w:gridSpan w:val="5"/>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eastAsia="宋体" w:cs="宋体"/>
                <w:color w:val="auto"/>
                <w:sz w:val="24"/>
                <w:szCs w:val="24"/>
                <w:highlight w:val="none"/>
              </w:rPr>
            </w:pPr>
          </w:p>
        </w:tc>
        <w:tc>
          <w:tcPr>
            <w:tcW w:w="1276" w:type="dxa"/>
            <w:gridSpan w:val="2"/>
            <w:noWrap w:val="0"/>
            <w:vAlign w:val="center"/>
          </w:tcPr>
          <w:p>
            <w:pPr>
              <w:tabs>
                <w:tab w:val="left" w:pos="43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占地面积</w:t>
            </w:r>
          </w:p>
        </w:tc>
        <w:tc>
          <w:tcPr>
            <w:tcW w:w="1417" w:type="dxa"/>
            <w:gridSpan w:val="2"/>
            <w:noWrap w:val="0"/>
            <w:vAlign w:val="center"/>
          </w:tcPr>
          <w:p>
            <w:pPr>
              <w:tabs>
                <w:tab w:val="left" w:pos="4320"/>
              </w:tabs>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567" w:type="dxa"/>
            <w:vMerge w:val="continue"/>
            <w:noWrap w:val="0"/>
            <w:vAlign w:val="center"/>
          </w:tcPr>
          <w:p>
            <w:pPr>
              <w:tabs>
                <w:tab w:val="left" w:pos="4320"/>
              </w:tabs>
              <w:rPr>
                <w:rFonts w:hint="eastAsia" w:ascii="宋体" w:hAnsi="宋体" w:eastAsia="宋体" w:cs="宋体"/>
                <w:color w:val="auto"/>
                <w:sz w:val="24"/>
                <w:szCs w:val="24"/>
                <w:highlight w:val="none"/>
              </w:rPr>
            </w:pPr>
          </w:p>
        </w:tc>
        <w:tc>
          <w:tcPr>
            <w:tcW w:w="946" w:type="dxa"/>
            <w:vMerge w:val="continue"/>
            <w:noWrap w:val="0"/>
            <w:vAlign w:val="center"/>
          </w:tcPr>
          <w:p>
            <w:pPr>
              <w:tabs>
                <w:tab w:val="left" w:pos="4320"/>
              </w:tabs>
              <w:jc w:val="center"/>
              <w:rPr>
                <w:rFonts w:hint="eastAsia" w:ascii="宋体" w:hAnsi="宋体" w:eastAsia="宋体" w:cs="宋体"/>
                <w:color w:val="auto"/>
                <w:sz w:val="24"/>
                <w:szCs w:val="24"/>
                <w:highlight w:val="none"/>
              </w:rPr>
            </w:pP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p>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pPr>
              <w:tabs>
                <w:tab w:val="left" w:pos="4320"/>
              </w:tabs>
              <w:ind w:left="266" w:hanging="266" w:hanging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情况</w:t>
            </w:r>
          </w:p>
        </w:tc>
        <w:tc>
          <w:tcPr>
            <w:tcW w:w="1643" w:type="dxa"/>
            <w:gridSpan w:val="3"/>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本次响应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产品名称</w:t>
            </w:r>
          </w:p>
        </w:tc>
        <w:tc>
          <w:tcPr>
            <w:tcW w:w="1617" w:type="dxa"/>
            <w:gridSpan w:val="2"/>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    号</w:t>
            </w:r>
          </w:p>
        </w:tc>
        <w:tc>
          <w:tcPr>
            <w:tcW w:w="946" w:type="dxa"/>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产销量</w:t>
            </w:r>
          </w:p>
        </w:tc>
        <w:tc>
          <w:tcPr>
            <w:tcW w:w="1263" w:type="dxa"/>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产品技术</w:t>
            </w:r>
          </w:p>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先进水平</w:t>
            </w:r>
          </w:p>
        </w:tc>
        <w:tc>
          <w:tcPr>
            <w:tcW w:w="1273" w:type="dxa"/>
            <w:gridSpan w:val="2"/>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曾获何级</w:t>
            </w:r>
          </w:p>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何种奖励</w:t>
            </w:r>
          </w:p>
        </w:tc>
        <w:tc>
          <w:tcPr>
            <w:tcW w:w="1606" w:type="dxa"/>
            <w:gridSpan w:val="2"/>
            <w:tcBorders>
              <w:right w:val="double" w:color="auto" w:sz="4" w:space="0"/>
            </w:tcBorders>
            <w:noWrap w:val="0"/>
            <w:vAlign w:val="center"/>
          </w:tcPr>
          <w:p>
            <w:pPr>
              <w:tabs>
                <w:tab w:val="left" w:pos="4320"/>
              </w:tabs>
              <w:spacing w:before="60" w:after="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主要用户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1643" w:type="dxa"/>
            <w:gridSpan w:val="3"/>
            <w:noWrap w:val="0"/>
            <w:vAlign w:val="center"/>
          </w:tcPr>
          <w:p>
            <w:pPr>
              <w:tabs>
                <w:tab w:val="left" w:pos="4320"/>
              </w:tabs>
              <w:rPr>
                <w:rFonts w:hint="eastAsia" w:ascii="宋体" w:hAnsi="宋体" w:eastAsia="宋体" w:cs="宋体"/>
                <w:color w:val="auto"/>
                <w:sz w:val="24"/>
                <w:szCs w:val="24"/>
                <w:highlight w:val="none"/>
              </w:rPr>
            </w:pPr>
          </w:p>
        </w:tc>
        <w:tc>
          <w:tcPr>
            <w:tcW w:w="1617"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946" w:type="dxa"/>
            <w:noWrap w:val="0"/>
            <w:vAlign w:val="center"/>
          </w:tcPr>
          <w:p>
            <w:pPr>
              <w:tabs>
                <w:tab w:val="left" w:pos="4320"/>
              </w:tabs>
              <w:rPr>
                <w:rFonts w:hint="eastAsia" w:ascii="宋体" w:hAnsi="宋体" w:eastAsia="宋体" w:cs="宋体"/>
                <w:color w:val="auto"/>
                <w:sz w:val="24"/>
                <w:szCs w:val="24"/>
                <w:highlight w:val="none"/>
              </w:rPr>
            </w:pPr>
          </w:p>
        </w:tc>
        <w:tc>
          <w:tcPr>
            <w:tcW w:w="1263" w:type="dxa"/>
            <w:noWrap w:val="0"/>
            <w:vAlign w:val="center"/>
          </w:tcPr>
          <w:p>
            <w:pPr>
              <w:tabs>
                <w:tab w:val="left" w:pos="4320"/>
              </w:tabs>
              <w:rPr>
                <w:rFonts w:hint="eastAsia" w:ascii="宋体" w:hAnsi="宋体" w:eastAsia="宋体" w:cs="宋体"/>
                <w:color w:val="auto"/>
                <w:sz w:val="24"/>
                <w:szCs w:val="24"/>
                <w:highlight w:val="none"/>
              </w:rPr>
            </w:pPr>
          </w:p>
        </w:tc>
        <w:tc>
          <w:tcPr>
            <w:tcW w:w="1273"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1606" w:type="dxa"/>
            <w:gridSpan w:val="2"/>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1643" w:type="dxa"/>
            <w:gridSpan w:val="3"/>
            <w:noWrap w:val="0"/>
            <w:vAlign w:val="center"/>
          </w:tcPr>
          <w:p>
            <w:pPr>
              <w:tabs>
                <w:tab w:val="left" w:pos="4320"/>
              </w:tabs>
              <w:rPr>
                <w:rFonts w:hint="eastAsia" w:ascii="宋体" w:hAnsi="宋体" w:eastAsia="宋体" w:cs="宋体"/>
                <w:color w:val="auto"/>
                <w:sz w:val="24"/>
                <w:szCs w:val="24"/>
                <w:highlight w:val="none"/>
              </w:rPr>
            </w:pPr>
          </w:p>
        </w:tc>
        <w:tc>
          <w:tcPr>
            <w:tcW w:w="1617"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946" w:type="dxa"/>
            <w:noWrap w:val="0"/>
            <w:vAlign w:val="center"/>
          </w:tcPr>
          <w:p>
            <w:pPr>
              <w:tabs>
                <w:tab w:val="left" w:pos="4320"/>
              </w:tabs>
              <w:rPr>
                <w:rFonts w:hint="eastAsia" w:ascii="宋体" w:hAnsi="宋体" w:eastAsia="宋体" w:cs="宋体"/>
                <w:color w:val="auto"/>
                <w:sz w:val="24"/>
                <w:szCs w:val="24"/>
                <w:highlight w:val="none"/>
              </w:rPr>
            </w:pPr>
          </w:p>
        </w:tc>
        <w:tc>
          <w:tcPr>
            <w:tcW w:w="1263" w:type="dxa"/>
            <w:noWrap w:val="0"/>
            <w:vAlign w:val="center"/>
          </w:tcPr>
          <w:p>
            <w:pPr>
              <w:tabs>
                <w:tab w:val="left" w:pos="4320"/>
              </w:tabs>
              <w:rPr>
                <w:rFonts w:hint="eastAsia" w:ascii="宋体" w:hAnsi="宋体" w:eastAsia="宋体" w:cs="宋体"/>
                <w:color w:val="auto"/>
                <w:sz w:val="24"/>
                <w:szCs w:val="24"/>
                <w:highlight w:val="none"/>
              </w:rPr>
            </w:pPr>
          </w:p>
        </w:tc>
        <w:tc>
          <w:tcPr>
            <w:tcW w:w="1273"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1606" w:type="dxa"/>
            <w:gridSpan w:val="2"/>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1643" w:type="dxa"/>
            <w:gridSpan w:val="3"/>
            <w:noWrap w:val="0"/>
            <w:vAlign w:val="center"/>
          </w:tcPr>
          <w:p>
            <w:pPr>
              <w:tabs>
                <w:tab w:val="left" w:pos="4320"/>
              </w:tabs>
              <w:rPr>
                <w:rFonts w:hint="eastAsia" w:ascii="宋体" w:hAnsi="宋体" w:eastAsia="宋体" w:cs="宋体"/>
                <w:color w:val="auto"/>
                <w:sz w:val="24"/>
                <w:szCs w:val="24"/>
                <w:highlight w:val="none"/>
              </w:rPr>
            </w:pPr>
          </w:p>
        </w:tc>
        <w:tc>
          <w:tcPr>
            <w:tcW w:w="1617"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946" w:type="dxa"/>
            <w:noWrap w:val="0"/>
            <w:vAlign w:val="center"/>
          </w:tcPr>
          <w:p>
            <w:pPr>
              <w:tabs>
                <w:tab w:val="left" w:pos="4320"/>
              </w:tabs>
              <w:rPr>
                <w:rFonts w:hint="eastAsia" w:ascii="宋体" w:hAnsi="宋体" w:eastAsia="宋体" w:cs="宋体"/>
                <w:color w:val="auto"/>
                <w:sz w:val="24"/>
                <w:szCs w:val="24"/>
                <w:highlight w:val="none"/>
              </w:rPr>
            </w:pPr>
          </w:p>
        </w:tc>
        <w:tc>
          <w:tcPr>
            <w:tcW w:w="1263" w:type="dxa"/>
            <w:noWrap w:val="0"/>
            <w:vAlign w:val="center"/>
          </w:tcPr>
          <w:p>
            <w:pPr>
              <w:tabs>
                <w:tab w:val="left" w:pos="4320"/>
              </w:tabs>
              <w:rPr>
                <w:rFonts w:hint="eastAsia" w:ascii="宋体" w:hAnsi="宋体" w:eastAsia="宋体" w:cs="宋体"/>
                <w:color w:val="auto"/>
                <w:sz w:val="24"/>
                <w:szCs w:val="24"/>
                <w:highlight w:val="none"/>
              </w:rPr>
            </w:pPr>
          </w:p>
        </w:tc>
        <w:tc>
          <w:tcPr>
            <w:tcW w:w="1273"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1606" w:type="dxa"/>
            <w:gridSpan w:val="2"/>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1643" w:type="dxa"/>
            <w:gridSpan w:val="3"/>
            <w:noWrap w:val="0"/>
            <w:vAlign w:val="center"/>
          </w:tcPr>
          <w:p>
            <w:pPr>
              <w:tabs>
                <w:tab w:val="left" w:pos="4320"/>
              </w:tabs>
              <w:rPr>
                <w:rFonts w:hint="eastAsia" w:ascii="宋体" w:hAnsi="宋体" w:eastAsia="宋体" w:cs="宋体"/>
                <w:color w:val="auto"/>
                <w:sz w:val="24"/>
                <w:szCs w:val="24"/>
                <w:highlight w:val="none"/>
              </w:rPr>
            </w:pPr>
          </w:p>
        </w:tc>
        <w:tc>
          <w:tcPr>
            <w:tcW w:w="1617"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946" w:type="dxa"/>
            <w:noWrap w:val="0"/>
            <w:vAlign w:val="center"/>
          </w:tcPr>
          <w:p>
            <w:pPr>
              <w:tabs>
                <w:tab w:val="left" w:pos="4320"/>
              </w:tabs>
              <w:rPr>
                <w:rFonts w:hint="eastAsia" w:ascii="宋体" w:hAnsi="宋体" w:eastAsia="宋体" w:cs="宋体"/>
                <w:color w:val="auto"/>
                <w:sz w:val="24"/>
                <w:szCs w:val="24"/>
                <w:highlight w:val="none"/>
              </w:rPr>
            </w:pPr>
          </w:p>
        </w:tc>
        <w:tc>
          <w:tcPr>
            <w:tcW w:w="1263" w:type="dxa"/>
            <w:noWrap w:val="0"/>
            <w:vAlign w:val="center"/>
          </w:tcPr>
          <w:p>
            <w:pPr>
              <w:tabs>
                <w:tab w:val="left" w:pos="4320"/>
              </w:tabs>
              <w:rPr>
                <w:rFonts w:hint="eastAsia" w:ascii="宋体" w:hAnsi="宋体" w:eastAsia="宋体" w:cs="宋体"/>
                <w:color w:val="auto"/>
                <w:sz w:val="24"/>
                <w:szCs w:val="24"/>
                <w:highlight w:val="none"/>
              </w:rPr>
            </w:pPr>
          </w:p>
        </w:tc>
        <w:tc>
          <w:tcPr>
            <w:tcW w:w="1273" w:type="dxa"/>
            <w:gridSpan w:val="2"/>
            <w:noWrap w:val="0"/>
            <w:vAlign w:val="center"/>
          </w:tcPr>
          <w:p>
            <w:pPr>
              <w:tabs>
                <w:tab w:val="left" w:pos="4320"/>
              </w:tabs>
              <w:rPr>
                <w:rFonts w:hint="eastAsia" w:ascii="宋体" w:hAnsi="宋体" w:eastAsia="宋体" w:cs="宋体"/>
                <w:color w:val="auto"/>
                <w:sz w:val="24"/>
                <w:szCs w:val="24"/>
                <w:highlight w:val="none"/>
              </w:rPr>
            </w:pPr>
          </w:p>
        </w:tc>
        <w:tc>
          <w:tcPr>
            <w:tcW w:w="1606" w:type="dxa"/>
            <w:gridSpan w:val="2"/>
            <w:tcBorders>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w:t>
            </w:r>
          </w:p>
        </w:tc>
        <w:tc>
          <w:tcPr>
            <w:tcW w:w="4206" w:type="dxa"/>
            <w:gridSpan w:val="6"/>
            <w:noWrap w:val="0"/>
            <w:vAlign w:val="center"/>
          </w:tcPr>
          <w:p>
            <w:pPr>
              <w:tabs>
                <w:tab w:val="left" w:pos="4320"/>
              </w:tabs>
              <w:spacing w:before="60" w:after="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3年完成及正在执行的合同中发生的由于响应人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0"/>
            <w:vAlign w:val="center"/>
          </w:tcPr>
          <w:p>
            <w:pPr>
              <w:tabs>
                <w:tab w:val="left" w:pos="4320"/>
              </w:tabs>
              <w:spacing w:before="60" w:after="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4206" w:type="dxa"/>
            <w:gridSpan w:val="6"/>
            <w:tcBorders>
              <w:bottom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c>
          <w:tcPr>
            <w:tcW w:w="4142" w:type="dxa"/>
            <w:gridSpan w:val="5"/>
            <w:tcBorders>
              <w:bottom w:val="double" w:color="auto" w:sz="4" w:space="0"/>
              <w:right w:val="double" w:color="auto" w:sz="4" w:space="0"/>
            </w:tcBorders>
            <w:noWrap w:val="0"/>
            <w:vAlign w:val="center"/>
          </w:tcPr>
          <w:p>
            <w:pPr>
              <w:tabs>
                <w:tab w:val="left" w:pos="4320"/>
              </w:tabs>
              <w:rPr>
                <w:rFonts w:hint="eastAsia" w:ascii="宋体" w:hAnsi="宋体" w:eastAsia="宋体" w:cs="宋体"/>
                <w:color w:val="auto"/>
                <w:sz w:val="24"/>
                <w:szCs w:val="24"/>
                <w:highlight w:val="none"/>
              </w:rPr>
            </w:pPr>
          </w:p>
        </w:tc>
      </w:tr>
    </w:tbl>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w:t>
      </w:r>
    </w:p>
    <w:p>
      <w:pPr>
        <w:pStyle w:val="40"/>
        <w:snapToGrid w:val="0"/>
        <w:spacing w:line="300" w:lineRule="auto"/>
        <w:ind w:firstLine="579"/>
        <w:contextualSpacing/>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经营业绩表</w:t>
      </w:r>
      <w:r>
        <w:rPr>
          <w:rFonts w:hint="eastAsia" w:ascii="宋体" w:hAnsi="宋体" w:eastAsia="宋体" w:cs="宋体"/>
          <w:color w:val="auto"/>
          <w:sz w:val="24"/>
          <w:szCs w:val="24"/>
          <w:highlight w:val="none"/>
        </w:rPr>
        <w:t>（重点表述类似货物服务业绩）</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业绩汇总表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72"/>
        <w:gridCol w:w="2663"/>
        <w:gridCol w:w="266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8" w:type="dxa"/>
            <w:gridSpan w:val="2"/>
            <w:tcBorders>
              <w:top w:val="double" w:color="auto" w:sz="4" w:space="0"/>
              <w:left w:val="double" w:color="auto" w:sz="4" w:space="0"/>
            </w:tcBorders>
            <w:noWrap w:val="0"/>
            <w:vAlign w:val="center"/>
          </w:tcPr>
          <w:p>
            <w:pPr>
              <w:jc w:val="center"/>
              <w:rPr>
                <w:rFonts w:hint="eastAsia" w:ascii="宋体" w:hAnsi="宋体" w:eastAsia="宋体" w:cs="宋体"/>
                <w:color w:val="auto"/>
                <w:sz w:val="24"/>
                <w:szCs w:val="24"/>
                <w:highlight w:val="none"/>
              </w:rPr>
            </w:pPr>
          </w:p>
        </w:tc>
        <w:tc>
          <w:tcPr>
            <w:tcW w:w="2663" w:type="dxa"/>
            <w:tcBorders>
              <w:top w:val="double" w:color="auto" w:sz="4" w:space="0"/>
            </w:tcBorders>
            <w:noWrap w:val="0"/>
            <w:vAlign w:val="center"/>
          </w:tcPr>
          <w:p>
            <w:pPr>
              <w:ind w:right="39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2665" w:type="dxa"/>
            <w:tcBorders>
              <w:top w:val="double" w:color="auto" w:sz="4" w:space="0"/>
            </w:tcBorders>
            <w:noWrap w:val="0"/>
            <w:vAlign w:val="center"/>
          </w:tcPr>
          <w:p>
            <w:pPr>
              <w:ind w:right="39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2312" w:type="dxa"/>
            <w:tcBorders>
              <w:top w:val="double" w:color="auto" w:sz="4" w:space="0"/>
              <w:right w:val="double" w:color="auto" w:sz="4" w:space="0"/>
            </w:tcBorders>
            <w:noWrap w:val="0"/>
            <w:vAlign w:val="center"/>
          </w:tcPr>
          <w:p>
            <w:pPr>
              <w:ind w:right="39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68" w:type="dxa"/>
            <w:gridSpan w:val="2"/>
            <w:tcBorders>
              <w:left w:val="doub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合同数量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（宗数）</w:t>
            </w:r>
          </w:p>
        </w:tc>
        <w:tc>
          <w:tcPr>
            <w:tcW w:w="2663" w:type="dxa"/>
            <w:noWrap w:val="0"/>
            <w:vAlign w:val="center"/>
          </w:tcPr>
          <w:p>
            <w:pPr>
              <w:jc w:val="center"/>
              <w:rPr>
                <w:rFonts w:hint="eastAsia" w:ascii="宋体" w:hAnsi="宋体" w:eastAsia="宋体" w:cs="宋体"/>
                <w:color w:val="auto"/>
                <w:sz w:val="24"/>
                <w:szCs w:val="24"/>
                <w:highlight w:val="none"/>
              </w:rPr>
            </w:pPr>
          </w:p>
        </w:tc>
        <w:tc>
          <w:tcPr>
            <w:tcW w:w="2665" w:type="dxa"/>
            <w:noWrap w:val="0"/>
            <w:vAlign w:val="center"/>
          </w:tcPr>
          <w:p>
            <w:pPr>
              <w:jc w:val="center"/>
              <w:rPr>
                <w:rFonts w:hint="eastAsia" w:ascii="宋体" w:hAnsi="宋体" w:eastAsia="宋体" w:cs="宋体"/>
                <w:color w:val="auto"/>
                <w:sz w:val="24"/>
                <w:szCs w:val="24"/>
                <w:highlight w:val="none"/>
              </w:rPr>
            </w:pPr>
          </w:p>
        </w:tc>
        <w:tc>
          <w:tcPr>
            <w:tcW w:w="2312" w:type="dxa"/>
            <w:tcBorders>
              <w:right w:val="doub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restart"/>
            <w:tcBorders>
              <w:left w:val="double" w:color="auto" w:sz="4" w:space="0"/>
            </w:tcBorders>
            <w:noWrap w:val="0"/>
            <w:vAlign w:val="center"/>
          </w:tcPr>
          <w:p>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合同总价</w:t>
            </w:r>
            <w:r>
              <w:rPr>
                <w:rFonts w:hint="eastAsia" w:ascii="宋体" w:hAnsi="宋体" w:eastAsia="宋体" w:cs="宋体"/>
                <w:color w:val="auto"/>
                <w:spacing w:val="-20"/>
                <w:sz w:val="24"/>
                <w:szCs w:val="24"/>
                <w:highlight w:val="none"/>
              </w:rPr>
              <w:t>（人民币）</w:t>
            </w:r>
          </w:p>
        </w:tc>
        <w:tc>
          <w:tcPr>
            <w:tcW w:w="77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金额</w:t>
            </w:r>
          </w:p>
        </w:tc>
        <w:tc>
          <w:tcPr>
            <w:tcW w:w="2663" w:type="dxa"/>
            <w:noWrap w:val="0"/>
            <w:vAlign w:val="center"/>
          </w:tcPr>
          <w:p>
            <w:pPr>
              <w:jc w:val="center"/>
              <w:rPr>
                <w:rFonts w:hint="eastAsia" w:ascii="宋体" w:hAnsi="宋体" w:eastAsia="宋体" w:cs="宋体"/>
                <w:color w:val="auto"/>
                <w:sz w:val="24"/>
                <w:szCs w:val="24"/>
                <w:highlight w:val="none"/>
              </w:rPr>
            </w:pPr>
          </w:p>
        </w:tc>
        <w:tc>
          <w:tcPr>
            <w:tcW w:w="2665" w:type="dxa"/>
            <w:noWrap w:val="0"/>
            <w:vAlign w:val="center"/>
          </w:tcPr>
          <w:p>
            <w:pPr>
              <w:jc w:val="center"/>
              <w:rPr>
                <w:rFonts w:hint="eastAsia" w:ascii="宋体" w:hAnsi="宋体" w:eastAsia="宋体" w:cs="宋体"/>
                <w:color w:val="auto"/>
                <w:sz w:val="24"/>
                <w:szCs w:val="24"/>
                <w:highlight w:val="none"/>
              </w:rPr>
            </w:pPr>
          </w:p>
        </w:tc>
        <w:tc>
          <w:tcPr>
            <w:tcW w:w="2312" w:type="dxa"/>
            <w:tcBorders>
              <w:right w:val="doub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continue"/>
            <w:tcBorders>
              <w:left w:val="double" w:color="auto" w:sz="4" w:space="0"/>
            </w:tcBorders>
            <w:noWrap w:val="0"/>
            <w:vAlign w:val="center"/>
          </w:tcPr>
          <w:p>
            <w:pPr>
              <w:jc w:val="center"/>
              <w:rPr>
                <w:rFonts w:hint="eastAsia" w:ascii="宋体" w:hAnsi="宋体" w:eastAsia="宋体" w:cs="宋体"/>
                <w:color w:val="auto"/>
                <w:sz w:val="24"/>
                <w:szCs w:val="24"/>
                <w:highlight w:val="none"/>
              </w:rPr>
            </w:pPr>
          </w:p>
        </w:tc>
        <w:tc>
          <w:tcPr>
            <w:tcW w:w="77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金额</w:t>
            </w:r>
          </w:p>
        </w:tc>
        <w:tc>
          <w:tcPr>
            <w:tcW w:w="2663" w:type="dxa"/>
            <w:noWrap w:val="0"/>
            <w:vAlign w:val="center"/>
          </w:tcPr>
          <w:p>
            <w:pPr>
              <w:jc w:val="center"/>
              <w:rPr>
                <w:rFonts w:hint="eastAsia" w:ascii="宋体" w:hAnsi="宋体" w:eastAsia="宋体" w:cs="宋体"/>
                <w:color w:val="auto"/>
                <w:sz w:val="24"/>
                <w:szCs w:val="24"/>
                <w:highlight w:val="none"/>
              </w:rPr>
            </w:pPr>
          </w:p>
        </w:tc>
        <w:tc>
          <w:tcPr>
            <w:tcW w:w="2665" w:type="dxa"/>
            <w:noWrap w:val="0"/>
            <w:vAlign w:val="center"/>
          </w:tcPr>
          <w:p>
            <w:pPr>
              <w:jc w:val="center"/>
              <w:rPr>
                <w:rFonts w:hint="eastAsia" w:ascii="宋体" w:hAnsi="宋体" w:eastAsia="宋体" w:cs="宋体"/>
                <w:color w:val="auto"/>
                <w:sz w:val="24"/>
                <w:szCs w:val="24"/>
                <w:highlight w:val="none"/>
              </w:rPr>
            </w:pPr>
          </w:p>
        </w:tc>
        <w:tc>
          <w:tcPr>
            <w:tcW w:w="2312" w:type="dxa"/>
            <w:tcBorders>
              <w:right w:val="doub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restart"/>
            <w:tcBorders>
              <w:left w:val="doub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主要用户名称及其联系电话</w:t>
            </w:r>
          </w:p>
        </w:tc>
        <w:tc>
          <w:tcPr>
            <w:tcW w:w="2663"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6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12" w:type="dxa"/>
            <w:tcBorders>
              <w:right w:val="doub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tcBorders>
            <w:noWrap w:val="0"/>
            <w:vAlign w:val="center"/>
          </w:tcPr>
          <w:p>
            <w:pPr>
              <w:jc w:val="center"/>
              <w:rPr>
                <w:rFonts w:hint="eastAsia" w:ascii="宋体" w:hAnsi="宋体" w:eastAsia="宋体" w:cs="宋体"/>
                <w:color w:val="auto"/>
                <w:sz w:val="24"/>
                <w:szCs w:val="24"/>
                <w:highlight w:val="none"/>
              </w:rPr>
            </w:pPr>
          </w:p>
        </w:tc>
        <w:tc>
          <w:tcPr>
            <w:tcW w:w="2663"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65"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12" w:type="dxa"/>
            <w:tcBorders>
              <w:right w:val="doub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bottom w:val="double" w:color="auto" w:sz="4" w:space="0"/>
            </w:tcBorders>
            <w:noWrap w:val="0"/>
            <w:vAlign w:val="center"/>
          </w:tcPr>
          <w:p>
            <w:pPr>
              <w:jc w:val="center"/>
              <w:rPr>
                <w:rFonts w:hint="eastAsia" w:ascii="宋体" w:hAnsi="宋体" w:eastAsia="宋体" w:cs="宋体"/>
                <w:color w:val="auto"/>
                <w:sz w:val="24"/>
                <w:szCs w:val="24"/>
                <w:highlight w:val="none"/>
              </w:rPr>
            </w:pPr>
          </w:p>
        </w:tc>
        <w:tc>
          <w:tcPr>
            <w:tcW w:w="2663" w:type="dxa"/>
            <w:tcBorders>
              <w:bottom w:val="doub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65" w:type="dxa"/>
            <w:tcBorders>
              <w:bottom w:val="doub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12" w:type="dxa"/>
            <w:tcBorders>
              <w:bottom w:val="double" w:color="auto" w:sz="4" w:space="0"/>
              <w:right w:val="double" w:color="auto" w:sz="4"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r>
    </w:tbl>
    <w:p>
      <w:pPr>
        <w:snapToGrid w:val="0"/>
        <w:spacing w:before="120" w:line="300" w:lineRule="auto"/>
        <w:contextualSpacing/>
        <w:rPr>
          <w:rFonts w:hint="eastAsia" w:ascii="宋体" w:hAnsi="宋体" w:eastAsia="宋体" w:cs="宋体"/>
          <w:b/>
          <w:color w:val="auto"/>
          <w:sz w:val="24"/>
          <w:szCs w:val="24"/>
          <w:highlight w:val="none"/>
        </w:rPr>
      </w:pPr>
      <w:bookmarkStart w:id="9" w:name="_Hlt10548694"/>
    </w:p>
    <w:p>
      <w:pPr>
        <w:snapToGrid w:val="0"/>
        <w:spacing w:before="120"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注：1.响应人应尽可能提供表列项目的评定证书或用户使用报告的复印件</w:t>
      </w:r>
      <w:bookmarkEnd w:id="9"/>
      <w:r>
        <w:rPr>
          <w:rFonts w:hint="eastAsia" w:ascii="宋体" w:hAnsi="宋体" w:eastAsia="宋体" w:cs="宋体"/>
          <w:b/>
          <w:color w:val="auto"/>
          <w:sz w:val="24"/>
          <w:szCs w:val="24"/>
          <w:highlight w:val="none"/>
        </w:rPr>
        <w:t>。</w:t>
      </w:r>
    </w:p>
    <w:p>
      <w:pPr>
        <w:snapToGrid w:val="0"/>
        <w:spacing w:before="120"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2.以上业绩必须真实，若成交须对以上合同原件进行核对。</w:t>
      </w:r>
    </w:p>
    <w:p>
      <w:pPr>
        <w:snapToGrid w:val="0"/>
        <w:spacing w:line="30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3.须提供所投货物服务年度经营业绩证明资料（如中标通知书、合同和验收报告等，列出用户名称、交货及验收时间、联系人、联系电话等。</w:t>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商务部分正负偏离表</w:t>
      </w:r>
    </w:p>
    <w:p>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（由响应人据实提交，表格不够自行添加）</w:t>
      </w:r>
    </w:p>
    <w:p>
      <w:pPr>
        <w:ind w:firstLine="480" w:firstLineChars="200"/>
        <w:jc w:val="center"/>
        <w:rPr>
          <w:rFonts w:hint="eastAsia" w:ascii="宋体" w:hAnsi="宋体" w:eastAsia="宋体" w:cs="宋体"/>
          <w:color w:val="auto"/>
          <w:sz w:val="24"/>
          <w:szCs w:val="24"/>
          <w:highlight w:val="none"/>
        </w:rPr>
      </w:pPr>
    </w:p>
    <w:tbl>
      <w:tblPr>
        <w:tblStyle w:val="18"/>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 w:val="24"/>
                <w:szCs w:val="24"/>
                <w:highlight w:val="none"/>
              </w:rPr>
            </w:pPr>
          </w:p>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80" w:firstLineChars="200"/>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bl>
    <w:p>
      <w:pPr>
        <w:pStyle w:val="9"/>
        <w:snapToGrid w:val="0"/>
        <w:spacing w:line="300" w:lineRule="auto"/>
        <w:contextualSpacing/>
        <w:rPr>
          <w:rFonts w:hint="eastAsia" w:ascii="宋体" w:hAnsi="宋体" w:eastAsia="宋体" w:cs="宋体"/>
          <w:b/>
          <w:color w:val="auto"/>
          <w:sz w:val="24"/>
          <w:szCs w:val="24"/>
          <w:highlight w:val="none"/>
        </w:rPr>
      </w:pPr>
    </w:p>
    <w:p>
      <w:pPr>
        <w:pStyle w:val="9"/>
        <w:snapToGrid w:val="0"/>
        <w:spacing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9"/>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1.响应人提交的响应文件中与磋商文件第三部分“采购需求说明”中的商务、技术部分的要求有不同时，应逐条填列在偏离表中，否则将认为响应人接受磋商文件的所有要求。完全响应部分不填到。</w:t>
      </w:r>
    </w:p>
    <w:p>
      <w:pPr>
        <w:pStyle w:val="9"/>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2.“偏离说明”一栏选择“正偏离”、“负偏离”进行填写。正偏离的确认和负偏离的是否相应磋商文件，经三分之二评委认定。</w:t>
      </w:r>
    </w:p>
    <w:p>
      <w:pPr>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3.响应人如果虚假响应，将承担被没收全额/部分响应保证金或被暂停参加南通市政府采购中心组织政府采购活动的风险。</w:t>
      </w:r>
    </w:p>
    <w:p>
      <w:pPr>
        <w:snapToGrid w:val="0"/>
        <w:spacing w:line="30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4.供应商若提供其他增值服务，可以在表中自行据实填写。</w:t>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附件4</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技术部分正负偏离表</w:t>
      </w:r>
    </w:p>
    <w:p>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（由响应人据实提交，表格不够自行添加）</w:t>
      </w:r>
    </w:p>
    <w:p>
      <w:pPr>
        <w:spacing w:line="320" w:lineRule="exact"/>
        <w:rPr>
          <w:rFonts w:hint="eastAsia" w:ascii="宋体" w:hAnsi="宋体" w:eastAsia="宋体" w:cs="宋体"/>
          <w:color w:val="auto"/>
          <w:sz w:val="24"/>
          <w:szCs w:val="24"/>
          <w:highlight w:val="none"/>
          <w:u w:val="single"/>
        </w:rPr>
      </w:pPr>
    </w:p>
    <w:tbl>
      <w:tblPr>
        <w:tblStyle w:val="18"/>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 w:val="24"/>
                <w:szCs w:val="24"/>
                <w:highlight w:val="none"/>
              </w:rPr>
            </w:pPr>
          </w:p>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80" w:firstLineChars="200"/>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szCs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szCs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szCs w:val="24"/>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 w:val="24"/>
                <w:szCs w:val="24"/>
                <w:highlight w:val="none"/>
              </w:rPr>
            </w:pPr>
          </w:p>
        </w:tc>
      </w:tr>
    </w:tbl>
    <w:p>
      <w:pPr>
        <w:spacing w:line="260" w:lineRule="exact"/>
        <w:rPr>
          <w:rFonts w:hint="eastAsia" w:ascii="宋体" w:hAnsi="宋体" w:eastAsia="宋体" w:cs="宋体"/>
          <w:color w:val="auto"/>
          <w:sz w:val="24"/>
          <w:szCs w:val="24"/>
          <w:highlight w:val="none"/>
          <w:u w:val="single"/>
        </w:rPr>
      </w:pPr>
    </w:p>
    <w:p>
      <w:pPr>
        <w:pStyle w:val="9"/>
        <w:rPr>
          <w:rFonts w:hint="eastAsia" w:ascii="宋体" w:hAnsi="宋体" w:eastAsia="宋体" w:cs="宋体"/>
          <w:b/>
          <w:color w:val="auto"/>
          <w:sz w:val="24"/>
          <w:szCs w:val="24"/>
          <w:highlight w:val="none"/>
        </w:rPr>
      </w:pPr>
    </w:p>
    <w:p>
      <w:pPr>
        <w:pStyle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9"/>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1.响应人提交的响应文件中与磋商文件第三部分“项目需求说明”中的商务、技术部分的要求有不同时，应逐条填列在偏离表中，否则将认为响应人接受磋商文件的所有要求。完全响应部分不填到。</w:t>
      </w:r>
    </w:p>
    <w:p>
      <w:pPr>
        <w:pStyle w:val="9"/>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2.“偏离说明”一栏选择“正偏离”、“负偏离”进行填写。正偏离的确认和负偏离的是否相应磋商文件，经三分之二评委认定。</w:t>
      </w:r>
    </w:p>
    <w:p>
      <w:pPr>
        <w:snapToGrid w:val="0"/>
        <w:spacing w:line="30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3.响应人如果虚假响应，将承担被没收全额/部分响应保证金或被暂停参加南通市政府采购中心组织政府采购活动的风险。</w:t>
      </w:r>
    </w:p>
    <w:p>
      <w:pPr>
        <w:snapToGrid w:val="0"/>
        <w:spacing w:line="30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4.供应商若提供其他增值服务，可以在表中自行据实填写。</w:t>
      </w: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附件5</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一揽表清单</w:t>
      </w:r>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p>
    <w:tbl>
      <w:tblPr>
        <w:tblStyle w:val="18"/>
        <w:tblW w:w="83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81"/>
        <w:gridCol w:w="1191"/>
        <w:gridCol w:w="1776"/>
        <w:gridCol w:w="709"/>
        <w:gridCol w:w="184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72"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1"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货物（服务）名称</w:t>
            </w:r>
          </w:p>
        </w:tc>
        <w:tc>
          <w:tcPr>
            <w:tcW w:w="1191"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品牌、规格</w:t>
            </w:r>
          </w:p>
        </w:tc>
        <w:tc>
          <w:tcPr>
            <w:tcW w:w="1776"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生产商及原产地</w:t>
            </w:r>
          </w:p>
        </w:tc>
        <w:tc>
          <w:tcPr>
            <w:tcW w:w="709"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842"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详细技术参数</w:t>
            </w:r>
          </w:p>
        </w:tc>
        <w:tc>
          <w:tcPr>
            <w:tcW w:w="1028" w:type="dxa"/>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noWrap w:val="0"/>
            <w:vAlign w:val="center"/>
          </w:tcPr>
          <w:p>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1" w:type="dxa"/>
            <w:noWrap w:val="0"/>
            <w:vAlign w:val="top"/>
          </w:tcPr>
          <w:p>
            <w:pPr>
              <w:spacing w:line="360" w:lineRule="auto"/>
              <w:rPr>
                <w:rFonts w:hint="eastAsia" w:ascii="宋体" w:hAnsi="宋体" w:eastAsia="宋体" w:cs="宋体"/>
                <w:color w:val="auto"/>
                <w:sz w:val="24"/>
                <w:szCs w:val="24"/>
                <w:highlight w:val="none"/>
              </w:rPr>
            </w:pPr>
          </w:p>
        </w:tc>
        <w:tc>
          <w:tcPr>
            <w:tcW w:w="1191" w:type="dxa"/>
            <w:noWrap w:val="0"/>
            <w:vAlign w:val="top"/>
          </w:tcPr>
          <w:p>
            <w:pPr>
              <w:spacing w:line="360" w:lineRule="auto"/>
              <w:rPr>
                <w:rFonts w:hint="eastAsia" w:ascii="宋体" w:hAnsi="宋体" w:eastAsia="宋体" w:cs="宋体"/>
                <w:color w:val="auto"/>
                <w:sz w:val="24"/>
                <w:szCs w:val="24"/>
                <w:highlight w:val="none"/>
              </w:rPr>
            </w:pPr>
          </w:p>
        </w:tc>
        <w:tc>
          <w:tcPr>
            <w:tcW w:w="1776" w:type="dxa"/>
            <w:noWrap w:val="0"/>
            <w:vAlign w:val="top"/>
          </w:tcPr>
          <w:p>
            <w:pPr>
              <w:spacing w:line="360" w:lineRule="auto"/>
              <w:rPr>
                <w:rFonts w:hint="eastAsia" w:ascii="宋体" w:hAnsi="宋体" w:eastAsia="宋体" w:cs="宋体"/>
                <w:color w:val="auto"/>
                <w:sz w:val="24"/>
                <w:szCs w:val="24"/>
                <w:highlight w:val="none"/>
              </w:rPr>
            </w:pPr>
          </w:p>
        </w:tc>
        <w:tc>
          <w:tcPr>
            <w:tcW w:w="709" w:type="dxa"/>
            <w:noWrap w:val="0"/>
            <w:vAlign w:val="top"/>
          </w:tcPr>
          <w:p>
            <w:pPr>
              <w:spacing w:line="360" w:lineRule="auto"/>
              <w:rPr>
                <w:rFonts w:hint="eastAsia" w:ascii="宋体" w:hAnsi="宋体" w:eastAsia="宋体" w:cs="宋体"/>
                <w:color w:val="auto"/>
                <w:sz w:val="24"/>
                <w:szCs w:val="24"/>
                <w:highlight w:val="none"/>
              </w:rPr>
            </w:pPr>
          </w:p>
        </w:tc>
        <w:tc>
          <w:tcPr>
            <w:tcW w:w="1842" w:type="dxa"/>
            <w:noWrap w:val="0"/>
            <w:vAlign w:val="top"/>
          </w:tcPr>
          <w:p>
            <w:pPr>
              <w:spacing w:line="360" w:lineRule="auto"/>
              <w:rPr>
                <w:rFonts w:hint="eastAsia" w:ascii="宋体" w:hAnsi="宋体" w:eastAsia="宋体" w:cs="宋体"/>
                <w:color w:val="auto"/>
                <w:sz w:val="24"/>
                <w:szCs w:val="24"/>
                <w:highlight w:val="none"/>
              </w:rPr>
            </w:pPr>
          </w:p>
        </w:tc>
        <w:tc>
          <w:tcPr>
            <w:tcW w:w="1028"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noWrap w:val="0"/>
            <w:vAlign w:val="center"/>
          </w:tcPr>
          <w:p>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1" w:type="dxa"/>
            <w:noWrap w:val="0"/>
            <w:vAlign w:val="top"/>
          </w:tcPr>
          <w:p>
            <w:pPr>
              <w:spacing w:line="360" w:lineRule="auto"/>
              <w:rPr>
                <w:rFonts w:hint="eastAsia" w:ascii="宋体" w:hAnsi="宋体" w:eastAsia="宋体" w:cs="宋体"/>
                <w:color w:val="auto"/>
                <w:sz w:val="24"/>
                <w:szCs w:val="24"/>
                <w:highlight w:val="none"/>
              </w:rPr>
            </w:pPr>
          </w:p>
        </w:tc>
        <w:tc>
          <w:tcPr>
            <w:tcW w:w="1191" w:type="dxa"/>
            <w:noWrap w:val="0"/>
            <w:vAlign w:val="top"/>
          </w:tcPr>
          <w:p>
            <w:pPr>
              <w:spacing w:line="360" w:lineRule="auto"/>
              <w:rPr>
                <w:rFonts w:hint="eastAsia" w:ascii="宋体" w:hAnsi="宋体" w:eastAsia="宋体" w:cs="宋体"/>
                <w:color w:val="auto"/>
                <w:sz w:val="24"/>
                <w:szCs w:val="24"/>
                <w:highlight w:val="none"/>
              </w:rPr>
            </w:pPr>
          </w:p>
        </w:tc>
        <w:tc>
          <w:tcPr>
            <w:tcW w:w="1776" w:type="dxa"/>
            <w:noWrap w:val="0"/>
            <w:vAlign w:val="top"/>
          </w:tcPr>
          <w:p>
            <w:pPr>
              <w:spacing w:line="360" w:lineRule="auto"/>
              <w:rPr>
                <w:rFonts w:hint="eastAsia" w:ascii="宋体" w:hAnsi="宋体" w:eastAsia="宋体" w:cs="宋体"/>
                <w:color w:val="auto"/>
                <w:sz w:val="24"/>
                <w:szCs w:val="24"/>
                <w:highlight w:val="none"/>
              </w:rPr>
            </w:pPr>
          </w:p>
        </w:tc>
        <w:tc>
          <w:tcPr>
            <w:tcW w:w="709" w:type="dxa"/>
            <w:noWrap w:val="0"/>
            <w:vAlign w:val="top"/>
          </w:tcPr>
          <w:p>
            <w:pPr>
              <w:spacing w:line="360" w:lineRule="auto"/>
              <w:rPr>
                <w:rFonts w:hint="eastAsia" w:ascii="宋体" w:hAnsi="宋体" w:eastAsia="宋体" w:cs="宋体"/>
                <w:color w:val="auto"/>
                <w:sz w:val="24"/>
                <w:szCs w:val="24"/>
                <w:highlight w:val="none"/>
              </w:rPr>
            </w:pPr>
          </w:p>
        </w:tc>
        <w:tc>
          <w:tcPr>
            <w:tcW w:w="1842" w:type="dxa"/>
            <w:noWrap w:val="0"/>
            <w:vAlign w:val="top"/>
          </w:tcPr>
          <w:p>
            <w:pPr>
              <w:spacing w:line="360" w:lineRule="auto"/>
              <w:rPr>
                <w:rFonts w:hint="eastAsia" w:ascii="宋体" w:hAnsi="宋体" w:eastAsia="宋体" w:cs="宋体"/>
                <w:color w:val="auto"/>
                <w:sz w:val="24"/>
                <w:szCs w:val="24"/>
                <w:highlight w:val="none"/>
              </w:rPr>
            </w:pPr>
          </w:p>
        </w:tc>
        <w:tc>
          <w:tcPr>
            <w:tcW w:w="1028"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noWrap w:val="0"/>
            <w:vAlign w:val="center"/>
          </w:tcPr>
          <w:p>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1" w:type="dxa"/>
            <w:noWrap w:val="0"/>
            <w:vAlign w:val="top"/>
          </w:tcPr>
          <w:p>
            <w:pPr>
              <w:spacing w:line="360" w:lineRule="auto"/>
              <w:rPr>
                <w:rFonts w:hint="eastAsia" w:ascii="宋体" w:hAnsi="宋体" w:eastAsia="宋体" w:cs="宋体"/>
                <w:color w:val="auto"/>
                <w:sz w:val="24"/>
                <w:szCs w:val="24"/>
                <w:highlight w:val="none"/>
              </w:rPr>
            </w:pPr>
          </w:p>
        </w:tc>
        <w:tc>
          <w:tcPr>
            <w:tcW w:w="1191" w:type="dxa"/>
            <w:noWrap w:val="0"/>
            <w:vAlign w:val="top"/>
          </w:tcPr>
          <w:p>
            <w:pPr>
              <w:spacing w:line="360" w:lineRule="auto"/>
              <w:rPr>
                <w:rFonts w:hint="eastAsia" w:ascii="宋体" w:hAnsi="宋体" w:eastAsia="宋体" w:cs="宋体"/>
                <w:color w:val="auto"/>
                <w:sz w:val="24"/>
                <w:szCs w:val="24"/>
                <w:highlight w:val="none"/>
              </w:rPr>
            </w:pPr>
          </w:p>
        </w:tc>
        <w:tc>
          <w:tcPr>
            <w:tcW w:w="1776" w:type="dxa"/>
            <w:noWrap w:val="0"/>
            <w:vAlign w:val="top"/>
          </w:tcPr>
          <w:p>
            <w:pPr>
              <w:spacing w:line="360" w:lineRule="auto"/>
              <w:rPr>
                <w:rFonts w:hint="eastAsia" w:ascii="宋体" w:hAnsi="宋体" w:eastAsia="宋体" w:cs="宋体"/>
                <w:color w:val="auto"/>
                <w:sz w:val="24"/>
                <w:szCs w:val="24"/>
                <w:highlight w:val="none"/>
              </w:rPr>
            </w:pPr>
          </w:p>
        </w:tc>
        <w:tc>
          <w:tcPr>
            <w:tcW w:w="709" w:type="dxa"/>
            <w:noWrap w:val="0"/>
            <w:vAlign w:val="top"/>
          </w:tcPr>
          <w:p>
            <w:pPr>
              <w:spacing w:line="360" w:lineRule="auto"/>
              <w:rPr>
                <w:rFonts w:hint="eastAsia" w:ascii="宋体" w:hAnsi="宋体" w:eastAsia="宋体" w:cs="宋体"/>
                <w:color w:val="auto"/>
                <w:sz w:val="24"/>
                <w:szCs w:val="24"/>
                <w:highlight w:val="none"/>
              </w:rPr>
            </w:pPr>
          </w:p>
        </w:tc>
        <w:tc>
          <w:tcPr>
            <w:tcW w:w="1842" w:type="dxa"/>
            <w:noWrap w:val="0"/>
            <w:vAlign w:val="top"/>
          </w:tcPr>
          <w:p>
            <w:pPr>
              <w:spacing w:line="360" w:lineRule="auto"/>
              <w:rPr>
                <w:rFonts w:hint="eastAsia" w:ascii="宋体" w:hAnsi="宋体" w:eastAsia="宋体" w:cs="宋体"/>
                <w:color w:val="auto"/>
                <w:sz w:val="24"/>
                <w:szCs w:val="24"/>
                <w:highlight w:val="none"/>
              </w:rPr>
            </w:pPr>
          </w:p>
        </w:tc>
        <w:tc>
          <w:tcPr>
            <w:tcW w:w="1028"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noWrap w:val="0"/>
            <w:vAlign w:val="center"/>
          </w:tcPr>
          <w:p>
            <w:pPr>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1" w:type="dxa"/>
            <w:noWrap w:val="0"/>
            <w:vAlign w:val="top"/>
          </w:tcPr>
          <w:p>
            <w:pPr>
              <w:spacing w:line="360" w:lineRule="auto"/>
              <w:rPr>
                <w:rFonts w:hint="eastAsia" w:ascii="宋体" w:hAnsi="宋体" w:eastAsia="宋体" w:cs="宋体"/>
                <w:color w:val="auto"/>
                <w:sz w:val="24"/>
                <w:szCs w:val="24"/>
                <w:highlight w:val="none"/>
              </w:rPr>
            </w:pPr>
          </w:p>
        </w:tc>
        <w:tc>
          <w:tcPr>
            <w:tcW w:w="1191" w:type="dxa"/>
            <w:noWrap w:val="0"/>
            <w:vAlign w:val="top"/>
          </w:tcPr>
          <w:p>
            <w:pPr>
              <w:spacing w:line="360" w:lineRule="auto"/>
              <w:rPr>
                <w:rFonts w:hint="eastAsia" w:ascii="宋体" w:hAnsi="宋体" w:eastAsia="宋体" w:cs="宋体"/>
                <w:color w:val="auto"/>
                <w:sz w:val="24"/>
                <w:szCs w:val="24"/>
                <w:highlight w:val="none"/>
              </w:rPr>
            </w:pPr>
          </w:p>
        </w:tc>
        <w:tc>
          <w:tcPr>
            <w:tcW w:w="1776" w:type="dxa"/>
            <w:noWrap w:val="0"/>
            <w:vAlign w:val="top"/>
          </w:tcPr>
          <w:p>
            <w:pPr>
              <w:spacing w:line="360" w:lineRule="auto"/>
              <w:rPr>
                <w:rFonts w:hint="eastAsia" w:ascii="宋体" w:hAnsi="宋体" w:eastAsia="宋体" w:cs="宋体"/>
                <w:color w:val="auto"/>
                <w:sz w:val="24"/>
                <w:szCs w:val="24"/>
                <w:highlight w:val="none"/>
              </w:rPr>
            </w:pPr>
          </w:p>
        </w:tc>
        <w:tc>
          <w:tcPr>
            <w:tcW w:w="709" w:type="dxa"/>
            <w:noWrap w:val="0"/>
            <w:vAlign w:val="top"/>
          </w:tcPr>
          <w:p>
            <w:pPr>
              <w:spacing w:line="360" w:lineRule="auto"/>
              <w:rPr>
                <w:rFonts w:hint="eastAsia" w:ascii="宋体" w:hAnsi="宋体" w:eastAsia="宋体" w:cs="宋体"/>
                <w:color w:val="auto"/>
                <w:sz w:val="24"/>
                <w:szCs w:val="24"/>
                <w:highlight w:val="none"/>
              </w:rPr>
            </w:pPr>
          </w:p>
        </w:tc>
        <w:tc>
          <w:tcPr>
            <w:tcW w:w="1842" w:type="dxa"/>
            <w:noWrap w:val="0"/>
            <w:vAlign w:val="top"/>
          </w:tcPr>
          <w:p>
            <w:pPr>
              <w:spacing w:line="360" w:lineRule="auto"/>
              <w:rPr>
                <w:rFonts w:hint="eastAsia" w:ascii="宋体" w:hAnsi="宋体" w:eastAsia="宋体" w:cs="宋体"/>
                <w:color w:val="auto"/>
                <w:sz w:val="24"/>
                <w:szCs w:val="24"/>
                <w:highlight w:val="none"/>
              </w:rPr>
            </w:pPr>
          </w:p>
        </w:tc>
        <w:tc>
          <w:tcPr>
            <w:tcW w:w="1028" w:type="dxa"/>
            <w:noWrap w:val="0"/>
            <w:vAlign w:val="top"/>
          </w:tcPr>
          <w:p>
            <w:pPr>
              <w:spacing w:line="360" w:lineRule="auto"/>
              <w:rPr>
                <w:rFonts w:hint="eastAsia" w:ascii="宋体" w:hAnsi="宋体" w:eastAsia="宋体" w:cs="宋体"/>
                <w:color w:val="auto"/>
                <w:sz w:val="24"/>
                <w:szCs w:val="24"/>
                <w:highlight w:val="none"/>
              </w:rPr>
            </w:pPr>
          </w:p>
        </w:tc>
      </w:tr>
    </w:tbl>
    <w:p>
      <w:pPr>
        <w:pStyle w:val="40"/>
        <w:snapToGrid w:val="0"/>
        <w:spacing w:line="300" w:lineRule="auto"/>
        <w:ind w:firstLine="0" w:firstLineChars="0"/>
        <w:contextualSpacing/>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w:t>
      </w:r>
    </w:p>
    <w:p>
      <w:pPr>
        <w:spacing w:line="480" w:lineRule="exact"/>
        <w:jc w:val="center"/>
        <w:rPr>
          <w:rFonts w:hint="eastAsia" w:ascii="宋体" w:hAnsi="宋体" w:eastAsia="宋体" w:cs="宋体"/>
          <w:b/>
          <w:color w:val="auto"/>
          <w:sz w:val="24"/>
          <w:szCs w:val="24"/>
          <w:highlight w:val="none"/>
        </w:rPr>
      </w:pPr>
      <w:bookmarkStart w:id="10" w:name="_Toc34987271"/>
      <w:bookmarkStart w:id="11" w:name="_Toc34991053"/>
      <w:bookmarkStart w:id="12" w:name="_Toc34984127"/>
      <w:bookmarkStart w:id="13" w:name="_Toc81879449"/>
      <w:r>
        <w:rPr>
          <w:rFonts w:hint="eastAsia" w:ascii="宋体" w:hAnsi="宋体" w:eastAsia="宋体" w:cs="宋体"/>
          <w:b/>
          <w:color w:val="auto"/>
          <w:sz w:val="24"/>
          <w:szCs w:val="24"/>
          <w:highlight w:val="none"/>
        </w:rPr>
        <w:t>服务及售后服务计划</w:t>
      </w:r>
    </w:p>
    <w:p>
      <w:pPr>
        <w:spacing w:line="480" w:lineRule="exact"/>
        <w:rPr>
          <w:rFonts w:hint="eastAsia" w:ascii="宋体" w:hAnsi="宋体" w:eastAsia="宋体" w:cs="宋体"/>
          <w:color w:val="auto"/>
          <w:sz w:val="24"/>
          <w:szCs w:val="24"/>
          <w:highlight w:val="none"/>
        </w:rPr>
      </w:pP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（采购单位名称） </w:t>
      </w:r>
      <w:r>
        <w:rPr>
          <w:rFonts w:hint="eastAsia" w:ascii="宋体" w:hAnsi="宋体" w:eastAsia="宋体" w:cs="宋体"/>
          <w:color w:val="auto"/>
          <w:sz w:val="24"/>
          <w:szCs w:val="24"/>
          <w:highlight w:val="none"/>
        </w:rPr>
        <w:t>：</w:t>
      </w:r>
    </w:p>
    <w:p>
      <w:pPr>
        <w:spacing w:line="480" w:lineRule="exact"/>
        <w:ind w:firstLine="480" w:firstLineChars="200"/>
        <w:rPr>
          <w:rFonts w:hint="eastAsia" w:ascii="宋体" w:hAnsi="宋体" w:eastAsia="宋体" w:cs="宋体"/>
          <w:color w:val="auto"/>
          <w:sz w:val="24"/>
          <w:szCs w:val="24"/>
          <w:highlight w:val="none"/>
        </w:rPr>
      </w:pP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b/>
          <w:color w:val="auto"/>
          <w:sz w:val="24"/>
          <w:szCs w:val="24"/>
          <w:highlight w:val="none"/>
          <w:u w:val="single"/>
        </w:rPr>
        <w:t xml:space="preserve">南通日报社(南通报业传媒集团）           </w:t>
      </w:r>
      <w:r>
        <w:rPr>
          <w:rFonts w:hint="eastAsia" w:ascii="宋体" w:hAnsi="宋体" w:eastAsia="宋体" w:cs="宋体"/>
          <w:color w:val="auto"/>
          <w:sz w:val="24"/>
          <w:szCs w:val="24"/>
          <w:highlight w:val="none"/>
          <w:u w:val="single"/>
        </w:rPr>
        <w:t xml:space="preserve">（采购项目名称）  </w:t>
      </w:r>
      <w:r>
        <w:rPr>
          <w:rFonts w:hint="eastAsia" w:ascii="宋体" w:hAnsi="宋体" w:eastAsia="宋体" w:cs="宋体"/>
          <w:color w:val="auto"/>
          <w:sz w:val="24"/>
          <w:szCs w:val="24"/>
          <w:highlight w:val="none"/>
        </w:rPr>
        <w:t>磋商文件</w:t>
      </w:r>
      <w:r>
        <w:rPr>
          <w:rFonts w:hint="eastAsia" w:ascii="宋体" w:hAnsi="宋体" w:eastAsia="宋体" w:cs="宋体"/>
          <w:color w:val="auto"/>
          <w:sz w:val="24"/>
          <w:szCs w:val="24"/>
          <w:highlight w:val="none"/>
          <w:u w:val="single"/>
        </w:rPr>
        <w:t>(磋商文件编号：         )</w:t>
      </w:r>
      <w:r>
        <w:rPr>
          <w:rFonts w:hint="eastAsia" w:ascii="宋体" w:hAnsi="宋体" w:eastAsia="宋体" w:cs="宋体"/>
          <w:color w:val="auto"/>
          <w:sz w:val="24"/>
          <w:szCs w:val="24"/>
          <w:highlight w:val="none"/>
        </w:rPr>
        <w:t>的规定，我公司郑重承诺，如果我公司被确定为成交供应商，我公司对于成交货物或者服务，将按照以下条款提供优质和完善的售后服务：</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1.拟提供服务的项目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2.免费质量保修年限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3.售后服务响应及到达现场的时间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4.详细的培训计划</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5.维修技术人员及设备方面的保证措施及收费标准（附维修技术人员等级证书）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6.制造厂商或代理商在采购项目所在地（实施地）设置的售后服务网络及相关情况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7.备品备件供应或后续服务情况及优惠价格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8.其他增值服务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80" w:lineRule="exact"/>
        <w:rPr>
          <w:rFonts w:hint="eastAsia" w:ascii="宋体" w:hAnsi="宋体" w:eastAsia="宋体" w:cs="宋体"/>
          <w:color w:val="auto"/>
          <w:sz w:val="24"/>
          <w:szCs w:val="24"/>
          <w:highlight w:val="none"/>
        </w:rPr>
      </w:pP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0"/>
        <w:snapToGrid w:val="0"/>
        <w:spacing w:line="30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附件7</w:t>
      </w:r>
      <w:bookmarkEnd w:id="10"/>
      <w:bookmarkEnd w:id="11"/>
      <w:bookmarkEnd w:id="12"/>
      <w:bookmarkEnd w:id="13"/>
    </w:p>
    <w:p>
      <w:pPr>
        <w:pStyle w:val="40"/>
        <w:snapToGrid w:val="0"/>
        <w:spacing w:line="300" w:lineRule="auto"/>
        <w:ind w:firstLine="0" w:firstLineChars="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拟安排本项目技术人员情况表</w:t>
      </w:r>
    </w:p>
    <w:p>
      <w:pPr>
        <w:spacing w:line="360" w:lineRule="auto"/>
        <w:jc w:val="center"/>
        <w:rPr>
          <w:rFonts w:hint="eastAsia" w:ascii="宋体" w:hAnsi="宋体" w:eastAsia="宋体" w:cs="宋体"/>
          <w:color w:val="auto"/>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15"/>
        <w:gridCol w:w="1315"/>
        <w:gridCol w:w="3109"/>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15" w:type="dxa"/>
            <w:tcBorders>
              <w:top w:val="double" w:color="auto" w:sz="4" w:space="0"/>
              <w:left w:val="double" w:color="auto" w:sz="4" w:space="0"/>
            </w:tcBorders>
            <w:noWrap w:val="0"/>
            <w:vAlign w:val="center"/>
          </w:tcPr>
          <w:p>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315" w:type="dxa"/>
            <w:tcBorders>
              <w:top w:val="double" w:color="auto" w:sz="4" w:space="0"/>
            </w:tcBorders>
            <w:noWrap w:val="0"/>
            <w:vAlign w:val="center"/>
          </w:tcPr>
          <w:p>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职务</w:t>
            </w:r>
          </w:p>
        </w:tc>
        <w:tc>
          <w:tcPr>
            <w:tcW w:w="1315" w:type="dxa"/>
            <w:tcBorders>
              <w:top w:val="double" w:color="auto" w:sz="4" w:space="0"/>
            </w:tcBorders>
            <w:noWrap w:val="0"/>
            <w:vAlign w:val="center"/>
          </w:tcPr>
          <w:p>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3109" w:type="dxa"/>
            <w:tcBorders>
              <w:top w:val="double" w:color="auto" w:sz="4" w:space="0"/>
            </w:tcBorders>
            <w:noWrap w:val="0"/>
            <w:vAlign w:val="center"/>
          </w:tcPr>
          <w:p>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相关资格</w:t>
            </w:r>
          </w:p>
        </w:tc>
        <w:tc>
          <w:tcPr>
            <w:tcW w:w="1437" w:type="dxa"/>
            <w:tcBorders>
              <w:top w:val="double" w:color="auto" w:sz="4" w:space="0"/>
              <w:right w:val="double" w:color="auto" w:sz="4" w:space="0"/>
            </w:tcBorders>
            <w:noWrap w:val="0"/>
            <w:vAlign w:val="center"/>
          </w:tcPr>
          <w:p>
            <w:pPr>
              <w:spacing w:before="12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1315" w:type="dxa"/>
            <w:tcBorders>
              <w:lef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bottom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tcBorders>
              <w:bottom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315" w:type="dxa"/>
            <w:tcBorders>
              <w:bottom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3109" w:type="dxa"/>
            <w:tcBorders>
              <w:bottom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437" w:type="dxa"/>
            <w:tcBorders>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snapToGrid w:val="0"/>
        <w:spacing w:before="120" w:line="300" w:lineRule="auto"/>
        <w:contextualSpacing/>
        <w:rPr>
          <w:rFonts w:hint="eastAsia" w:ascii="宋体" w:hAnsi="宋体" w:eastAsia="宋体" w:cs="宋体"/>
          <w:color w:val="auto"/>
          <w:sz w:val="24"/>
          <w:szCs w:val="24"/>
          <w:highlight w:val="none"/>
        </w:rPr>
      </w:pPr>
    </w:p>
    <w:p>
      <w:pPr>
        <w:snapToGrid w:val="0"/>
        <w:spacing w:before="120" w:line="300" w:lineRule="auto"/>
        <w:contextualSpacing/>
        <w:rPr>
          <w:rFonts w:hint="eastAsia" w:ascii="宋体" w:hAnsi="宋体" w:eastAsia="宋体" w:cs="宋体"/>
          <w:b/>
          <w:color w:val="auto"/>
          <w:sz w:val="24"/>
          <w:szCs w:val="24"/>
          <w:highlight w:val="none"/>
        </w:rPr>
      </w:pPr>
    </w:p>
    <w:p>
      <w:pPr>
        <w:snapToGrid w:val="0"/>
        <w:spacing w:before="120" w:line="300" w:lineRule="auto"/>
        <w:contextualSpacing/>
        <w:rPr>
          <w:rFonts w:hint="eastAsia" w:ascii="宋体" w:hAnsi="宋体" w:eastAsia="宋体" w:cs="宋体"/>
          <w:b/>
          <w:color w:val="auto"/>
          <w:sz w:val="24"/>
          <w:szCs w:val="24"/>
          <w:highlight w:val="none"/>
        </w:rPr>
      </w:pPr>
    </w:p>
    <w:p>
      <w:pPr>
        <w:snapToGrid w:val="0"/>
        <w:spacing w:before="120" w:line="300" w:lineRule="auto"/>
        <w:ind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附：1.上表所列人员的资历、资格文件、工作履历证明材料文件</w:t>
      </w:r>
    </w:p>
    <w:p>
      <w:pPr>
        <w:snapToGrid w:val="0"/>
        <w:spacing w:line="300" w:lineRule="auto"/>
        <w:ind w:firstLine="36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2.有依法缴纳税赋和社会保障资金的良好记录（提供相关资料）</w:t>
      </w:r>
    </w:p>
    <w:p>
      <w:pPr>
        <w:rPr>
          <w:rFonts w:hint="eastAsia" w:ascii="宋体" w:hAnsi="宋体" w:eastAsia="宋体" w:cs="宋体"/>
          <w:color w:val="auto"/>
          <w:sz w:val="24"/>
          <w:szCs w:val="24"/>
          <w:highlight w:val="none"/>
        </w:rPr>
      </w:pPr>
    </w:p>
    <w:p>
      <w:pPr>
        <w:pStyle w:val="40"/>
        <w:ind w:firstLine="494"/>
        <w:rPr>
          <w:rFonts w:hint="eastAsia" w:ascii="宋体" w:hAnsi="宋体" w:eastAsia="宋体" w:cs="宋体"/>
          <w:color w:val="auto"/>
          <w:sz w:val="24"/>
          <w:szCs w:val="24"/>
          <w:highlight w:val="none"/>
        </w:rPr>
      </w:pPr>
    </w:p>
    <w:p>
      <w:pPr>
        <w:pStyle w:val="40"/>
        <w:ind w:firstLine="494"/>
        <w:rPr>
          <w:rFonts w:hint="eastAsia" w:ascii="宋体" w:hAnsi="宋体" w:eastAsia="宋体" w:cs="宋体"/>
          <w:color w:val="auto"/>
          <w:sz w:val="24"/>
          <w:szCs w:val="24"/>
          <w:highlight w:val="none"/>
        </w:rPr>
      </w:pPr>
    </w:p>
    <w:p>
      <w:pPr>
        <w:pStyle w:val="40"/>
        <w:ind w:firstLine="494"/>
        <w:rPr>
          <w:rFonts w:hint="eastAsia" w:ascii="宋体" w:hAnsi="宋体" w:eastAsia="宋体" w:cs="宋体"/>
          <w:color w:val="auto"/>
          <w:sz w:val="24"/>
          <w:szCs w:val="24"/>
          <w:highlight w:val="none"/>
        </w:rPr>
      </w:pPr>
    </w:p>
    <w:p>
      <w:pPr>
        <w:pStyle w:val="40"/>
        <w:ind w:firstLine="494"/>
        <w:rPr>
          <w:rFonts w:hint="eastAsia" w:ascii="宋体" w:hAnsi="宋体" w:eastAsia="宋体" w:cs="宋体"/>
          <w:color w:val="auto"/>
          <w:sz w:val="24"/>
          <w:szCs w:val="24"/>
          <w:highlight w:val="none"/>
        </w:rPr>
      </w:pPr>
    </w:p>
    <w:p>
      <w:pPr>
        <w:pStyle w:val="40"/>
        <w:ind w:firstLine="494"/>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p>
    <w:p>
      <w:pPr>
        <w:spacing w:after="6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w:t>
      </w:r>
    </w:p>
    <w:p>
      <w:pPr>
        <w:spacing w:after="6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（价格响应文件）</w:t>
      </w:r>
    </w:p>
    <w:p>
      <w:pPr>
        <w:spacing w:after="60"/>
        <w:jc w:val="center"/>
        <w:rPr>
          <w:rFonts w:hint="eastAsia" w:ascii="宋体" w:hAnsi="宋体" w:eastAsia="宋体" w:cs="宋体"/>
          <w:b/>
          <w:bCs/>
          <w:color w:val="auto"/>
          <w:sz w:val="24"/>
          <w:szCs w:val="24"/>
          <w:highlight w:val="none"/>
        </w:rPr>
      </w:pPr>
    </w:p>
    <w:p>
      <w:pPr>
        <w:spacing w:after="60"/>
        <w:jc w:val="center"/>
        <w:rPr>
          <w:rFonts w:hint="eastAsia" w:ascii="宋体" w:hAnsi="宋体" w:eastAsia="宋体" w:cs="宋体"/>
          <w:b/>
          <w:bCs/>
          <w:color w:val="auto"/>
          <w:sz w:val="24"/>
          <w:szCs w:val="24"/>
          <w:highlight w:val="none"/>
        </w:rPr>
      </w:pPr>
    </w:p>
    <w:p>
      <w:pPr>
        <w:spacing w:after="60"/>
        <w:jc w:val="center"/>
        <w:rPr>
          <w:rFonts w:hint="eastAsia" w:ascii="宋体" w:hAnsi="宋体" w:eastAsia="宋体" w:cs="宋体"/>
          <w:b/>
          <w:bCs/>
          <w:color w:val="auto"/>
          <w:sz w:val="24"/>
          <w:szCs w:val="24"/>
          <w:highlight w:val="none"/>
        </w:rPr>
      </w:pPr>
    </w:p>
    <w:p>
      <w:pPr>
        <w:spacing w:line="480" w:lineRule="exact"/>
        <w:rPr>
          <w:rFonts w:hint="eastAsia" w:ascii="宋体" w:hAnsi="宋体" w:eastAsia="宋体" w:cs="宋体"/>
          <w:b/>
          <w:color w:val="auto"/>
          <w:sz w:val="24"/>
          <w:szCs w:val="24"/>
          <w:highlight w:val="none"/>
          <w:u w:val="single"/>
        </w:rPr>
      </w:pPr>
      <w:r>
        <w:rPr>
          <w:rFonts w:hint="eastAsia" w:ascii="宋体" w:hAnsi="宋体" w:eastAsia="宋体" w:cs="宋体"/>
          <w:b/>
          <w:bCs/>
          <w:color w:val="auto"/>
          <w:spacing w:val="-6"/>
          <w:sz w:val="24"/>
          <w:szCs w:val="24"/>
          <w:highlight w:val="none"/>
        </w:rPr>
        <w:t>项目名称:</w:t>
      </w:r>
      <w:r>
        <w:rPr>
          <w:rFonts w:hint="eastAsia" w:ascii="宋体" w:hAnsi="宋体" w:eastAsia="宋体" w:cs="宋体"/>
          <w:b/>
          <w:color w:val="auto"/>
          <w:sz w:val="24"/>
          <w:szCs w:val="24"/>
          <w:highlight w:val="none"/>
          <w:u w:val="single"/>
        </w:rPr>
        <w:t xml:space="preserve"> 南通日报社(南通报业传媒集团）网络信息安全等级保护</w:t>
      </w:r>
    </w:p>
    <w:p>
      <w:pPr>
        <w:spacing w:line="500" w:lineRule="exact"/>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w:t>
      </w:r>
      <w:r>
        <w:rPr>
          <w:rFonts w:hint="eastAsia" w:ascii="宋体" w:hAnsi="宋体" w:eastAsia="宋体" w:cs="宋体"/>
          <w:b/>
          <w:color w:val="auto"/>
          <w:sz w:val="24"/>
          <w:szCs w:val="24"/>
          <w:highlight w:val="none"/>
          <w:u w:val="single"/>
        </w:rPr>
        <w:t xml:space="preserve">                                    </w:t>
      </w:r>
    </w:p>
    <w:p>
      <w:pPr>
        <w:ind w:left="1282" w:leftChars="171" w:hanging="923" w:hangingChars="38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（盖公章）</w:t>
      </w:r>
    </w:p>
    <w:p>
      <w:pPr>
        <w:ind w:left="1282" w:leftChars="171" w:hanging="923" w:hangingChars="383"/>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法定代表人签字：</w:t>
      </w:r>
      <w:r>
        <w:rPr>
          <w:rFonts w:hint="eastAsia" w:ascii="宋体" w:hAnsi="宋体" w:eastAsia="宋体" w:cs="宋体"/>
          <w:b/>
          <w:color w:val="auto"/>
          <w:sz w:val="24"/>
          <w:szCs w:val="24"/>
          <w:highlight w:val="none"/>
          <w:u w:val="single"/>
        </w:rPr>
        <w:t xml:space="preserve">                              </w:t>
      </w:r>
    </w:p>
    <w:p>
      <w:pPr>
        <w:ind w:left="1282" w:leftChars="171" w:hanging="923" w:hangingChars="38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（或委托授权代表）</w:t>
      </w:r>
    </w:p>
    <w:p>
      <w:pPr>
        <w:spacing w:line="312"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spacing w:line="360" w:lineRule="auto"/>
        <w:ind w:firstLine="236" w:firstLineChars="98"/>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日    期：</w:t>
      </w:r>
      <w:r>
        <w:rPr>
          <w:rFonts w:hint="eastAsia" w:ascii="宋体" w:hAnsi="宋体" w:eastAsia="宋体" w:cs="宋体"/>
          <w:b/>
          <w:color w:val="auto"/>
          <w:sz w:val="24"/>
          <w:szCs w:val="24"/>
          <w:highlight w:val="none"/>
          <w:u w:val="single"/>
        </w:rPr>
        <w:t xml:space="preserve">                                    </w:t>
      </w: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snapToGrid w:val="0"/>
        <w:spacing w:line="360" w:lineRule="auto"/>
        <w:ind w:firstLine="361" w:firstLineChars="150"/>
        <w:jc w:val="center"/>
        <w:rPr>
          <w:rFonts w:hint="eastAsia" w:ascii="宋体" w:hAnsi="宋体" w:eastAsia="宋体" w:cs="宋体"/>
          <w:b/>
          <w:color w:val="auto"/>
          <w:sz w:val="24"/>
          <w:szCs w:val="24"/>
          <w:highlight w:val="none"/>
        </w:rPr>
      </w:pPr>
      <w:bookmarkStart w:id="14" w:name="_GoBack"/>
      <w:r>
        <w:rPr>
          <w:rFonts w:hint="eastAsia" w:ascii="宋体" w:hAnsi="宋体" w:eastAsia="宋体" w:cs="宋体"/>
          <w:b/>
          <w:color w:val="auto"/>
          <w:sz w:val="24"/>
          <w:szCs w:val="24"/>
          <w:highlight w:val="none"/>
        </w:rPr>
        <w:t>响应报价总表</w:t>
      </w:r>
    </w:p>
    <w:bookmarkEnd w:id="14"/>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响应人（盖章）：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2"/>
        <w:gridCol w:w="1739"/>
        <w:gridCol w:w="173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53" w:type="dxa"/>
            <w:noWrap w:val="0"/>
            <w:vAlign w:val="top"/>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1652" w:type="dxa"/>
            <w:noWrap w:val="0"/>
            <w:vAlign w:val="top"/>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规格型号或服务</w:t>
            </w:r>
          </w:p>
        </w:tc>
        <w:tc>
          <w:tcPr>
            <w:tcW w:w="1739" w:type="dxa"/>
            <w:noWrap w:val="0"/>
            <w:vAlign w:val="top"/>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数量（台）</w:t>
            </w:r>
          </w:p>
        </w:tc>
        <w:tc>
          <w:tcPr>
            <w:tcW w:w="1739" w:type="dxa"/>
            <w:noWrap w:val="0"/>
            <w:vAlign w:val="top"/>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739" w:type="dxa"/>
            <w:noWrap w:val="0"/>
            <w:vAlign w:val="top"/>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noWrap w:val="0"/>
            <w:vAlign w:val="top"/>
          </w:tcPr>
          <w:p>
            <w:pPr>
              <w:snapToGrid w:val="0"/>
              <w:spacing w:line="360" w:lineRule="auto"/>
              <w:rPr>
                <w:rFonts w:hint="eastAsia" w:ascii="宋体" w:hAnsi="宋体" w:eastAsia="宋体" w:cs="宋体"/>
                <w:color w:val="auto"/>
                <w:sz w:val="24"/>
                <w:szCs w:val="24"/>
                <w:highlight w:val="none"/>
              </w:rPr>
            </w:pPr>
          </w:p>
        </w:tc>
        <w:tc>
          <w:tcPr>
            <w:tcW w:w="1652"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noWrap w:val="0"/>
            <w:vAlign w:val="top"/>
          </w:tcPr>
          <w:p>
            <w:pPr>
              <w:snapToGrid w:val="0"/>
              <w:spacing w:line="360" w:lineRule="auto"/>
              <w:rPr>
                <w:rFonts w:hint="eastAsia" w:ascii="宋体" w:hAnsi="宋体" w:eastAsia="宋体" w:cs="宋体"/>
                <w:color w:val="auto"/>
                <w:sz w:val="24"/>
                <w:szCs w:val="24"/>
                <w:highlight w:val="none"/>
              </w:rPr>
            </w:pPr>
          </w:p>
        </w:tc>
        <w:tc>
          <w:tcPr>
            <w:tcW w:w="1652"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noWrap w:val="0"/>
            <w:vAlign w:val="top"/>
          </w:tcPr>
          <w:p>
            <w:pPr>
              <w:snapToGrid w:val="0"/>
              <w:spacing w:line="360" w:lineRule="auto"/>
              <w:rPr>
                <w:rFonts w:hint="eastAsia" w:ascii="宋体" w:hAnsi="宋体" w:eastAsia="宋体" w:cs="宋体"/>
                <w:color w:val="auto"/>
                <w:sz w:val="24"/>
                <w:szCs w:val="24"/>
                <w:highlight w:val="none"/>
              </w:rPr>
            </w:pPr>
          </w:p>
        </w:tc>
        <w:tc>
          <w:tcPr>
            <w:tcW w:w="1652"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noWrap w:val="0"/>
            <w:vAlign w:val="top"/>
          </w:tcPr>
          <w:p>
            <w:pPr>
              <w:snapToGrid w:val="0"/>
              <w:spacing w:line="360" w:lineRule="auto"/>
              <w:rPr>
                <w:rFonts w:hint="eastAsia" w:ascii="宋体" w:hAnsi="宋体" w:eastAsia="宋体" w:cs="宋体"/>
                <w:color w:val="auto"/>
                <w:sz w:val="24"/>
                <w:szCs w:val="24"/>
                <w:highlight w:val="none"/>
              </w:rPr>
            </w:pPr>
          </w:p>
        </w:tc>
        <w:tc>
          <w:tcPr>
            <w:tcW w:w="1652"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3" w:type="dxa"/>
            <w:gridSpan w:val="4"/>
            <w:noWrap w:val="0"/>
            <w:vAlign w:val="top"/>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响应总报价（含    %专用增值税税率，大写）：</w:t>
            </w:r>
          </w:p>
        </w:tc>
        <w:tc>
          <w:tcPr>
            <w:tcW w:w="1739" w:type="dxa"/>
            <w:noWrap w:val="0"/>
            <w:vAlign w:val="top"/>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napToGrid w:val="0"/>
        <w:spacing w:line="360" w:lineRule="auto"/>
        <w:rPr>
          <w:rFonts w:hint="eastAsia" w:ascii="宋体" w:hAnsi="宋体" w:eastAsia="宋体" w:cs="宋体"/>
          <w:b/>
          <w:color w:val="auto"/>
          <w:sz w:val="24"/>
          <w:szCs w:val="24"/>
          <w:highlight w:val="none"/>
        </w:rPr>
      </w:pPr>
    </w:p>
    <w:p>
      <w:pPr>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注：本表只是表式，仅供参考。响应人可根据实际需要自行增减。</w:t>
      </w:r>
    </w:p>
    <w:p>
      <w:pPr>
        <w:snapToGrid w:val="0"/>
        <w:spacing w:line="300" w:lineRule="auto"/>
        <w:rPr>
          <w:rFonts w:hint="eastAsia" w:ascii="宋体" w:hAnsi="宋体" w:eastAsia="宋体" w:cs="宋体"/>
          <w:color w:val="auto"/>
          <w:sz w:val="24"/>
          <w:szCs w:val="24"/>
          <w:highlight w:val="none"/>
        </w:rPr>
      </w:pPr>
    </w:p>
    <w:p>
      <w:pPr>
        <w:pStyle w:val="5"/>
        <w:spacing w:before="240" w:after="240" w:line="360" w:lineRule="auto"/>
        <w:jc w:val="center"/>
        <w:rPr>
          <w:rFonts w:hint="eastAsia" w:ascii="宋体" w:hAnsi="宋体" w:eastAsia="宋体" w:cs="宋体"/>
          <w:color w:val="auto"/>
          <w:sz w:val="24"/>
          <w:szCs w:val="24"/>
          <w:highlight w:val="none"/>
        </w:rPr>
      </w:pPr>
    </w:p>
    <w:p>
      <w:pPr>
        <w:pStyle w:val="5"/>
        <w:spacing w:before="240" w:after="240" w:line="360" w:lineRule="auto"/>
        <w:jc w:val="center"/>
        <w:rPr>
          <w:rFonts w:hint="eastAsia" w:ascii="宋体" w:hAnsi="宋体" w:eastAsia="宋体" w:cs="宋体"/>
          <w:color w:val="auto"/>
          <w:sz w:val="24"/>
          <w:szCs w:val="24"/>
          <w:highlight w:val="none"/>
        </w:rPr>
      </w:pPr>
    </w:p>
    <w:bookmarkEnd w:id="5"/>
    <w:p>
      <w:pPr>
        <w:spacing w:line="360" w:lineRule="auto"/>
        <w:rPr>
          <w:rFonts w:hint="eastAsia" w:ascii="宋体" w:hAnsi="宋体" w:eastAsia="宋体" w:cs="宋体"/>
          <w:color w:val="auto"/>
          <w:sz w:val="24"/>
          <w:szCs w:val="24"/>
          <w:highlight w:val="none"/>
        </w:rPr>
      </w:pPr>
    </w:p>
    <w:sectPr>
      <w:footerReference r:id="rId3" w:type="default"/>
      <w:pgSz w:w="11906" w:h="16838"/>
      <w:pgMar w:top="1418" w:right="1134"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2915"/>
      <w:docPartObj>
        <w:docPartGallery w:val="autotext"/>
      </w:docPartObj>
    </w:sdtPr>
    <w:sdtContent>
      <w:p>
        <w:pPr>
          <w:pStyle w:val="12"/>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2"/>
      <w:jc w:val="center"/>
      <w:rPr>
        <w:rFonts w:ascii="宋体"/>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0780E"/>
    <w:rsid w:val="00000D33"/>
    <w:rsid w:val="00011822"/>
    <w:rsid w:val="00012E91"/>
    <w:rsid w:val="0001347B"/>
    <w:rsid w:val="00013CE2"/>
    <w:rsid w:val="00040F96"/>
    <w:rsid w:val="0004158E"/>
    <w:rsid w:val="00053D96"/>
    <w:rsid w:val="00076D8B"/>
    <w:rsid w:val="000969A2"/>
    <w:rsid w:val="000A59FC"/>
    <w:rsid w:val="000B158A"/>
    <w:rsid w:val="000C21AE"/>
    <w:rsid w:val="000D2EC9"/>
    <w:rsid w:val="000D6005"/>
    <w:rsid w:val="000D669E"/>
    <w:rsid w:val="000F2052"/>
    <w:rsid w:val="00101289"/>
    <w:rsid w:val="001246D5"/>
    <w:rsid w:val="00125932"/>
    <w:rsid w:val="00126943"/>
    <w:rsid w:val="0012786D"/>
    <w:rsid w:val="00135F55"/>
    <w:rsid w:val="00150D65"/>
    <w:rsid w:val="00156822"/>
    <w:rsid w:val="00156F0D"/>
    <w:rsid w:val="00180C78"/>
    <w:rsid w:val="00184205"/>
    <w:rsid w:val="00190C1B"/>
    <w:rsid w:val="001C129C"/>
    <w:rsid w:val="001E5472"/>
    <w:rsid w:val="001F55DF"/>
    <w:rsid w:val="001F5CC7"/>
    <w:rsid w:val="001F74FE"/>
    <w:rsid w:val="00204E1F"/>
    <w:rsid w:val="002217ED"/>
    <w:rsid w:val="00223E53"/>
    <w:rsid w:val="00225561"/>
    <w:rsid w:val="00226595"/>
    <w:rsid w:val="002278D7"/>
    <w:rsid w:val="0023160F"/>
    <w:rsid w:val="00231D22"/>
    <w:rsid w:val="00235C32"/>
    <w:rsid w:val="00257C8A"/>
    <w:rsid w:val="00260248"/>
    <w:rsid w:val="0026582B"/>
    <w:rsid w:val="0027053D"/>
    <w:rsid w:val="00275852"/>
    <w:rsid w:val="002A7059"/>
    <w:rsid w:val="002B7B16"/>
    <w:rsid w:val="002C3A61"/>
    <w:rsid w:val="002C484C"/>
    <w:rsid w:val="002D306F"/>
    <w:rsid w:val="002D3C87"/>
    <w:rsid w:val="002E0306"/>
    <w:rsid w:val="002E65E7"/>
    <w:rsid w:val="003063F3"/>
    <w:rsid w:val="0031377C"/>
    <w:rsid w:val="0034197F"/>
    <w:rsid w:val="00345A86"/>
    <w:rsid w:val="00347086"/>
    <w:rsid w:val="0034785C"/>
    <w:rsid w:val="0035274D"/>
    <w:rsid w:val="003612B5"/>
    <w:rsid w:val="00371B0E"/>
    <w:rsid w:val="003753A0"/>
    <w:rsid w:val="00380107"/>
    <w:rsid w:val="00383DEA"/>
    <w:rsid w:val="00393B73"/>
    <w:rsid w:val="00394F49"/>
    <w:rsid w:val="003B1175"/>
    <w:rsid w:val="003C2A22"/>
    <w:rsid w:val="003D4837"/>
    <w:rsid w:val="003E6266"/>
    <w:rsid w:val="003F4AB5"/>
    <w:rsid w:val="004170F9"/>
    <w:rsid w:val="00444C59"/>
    <w:rsid w:val="00457ED7"/>
    <w:rsid w:val="00465646"/>
    <w:rsid w:val="004672F8"/>
    <w:rsid w:val="00472BC7"/>
    <w:rsid w:val="004750D9"/>
    <w:rsid w:val="004801F3"/>
    <w:rsid w:val="00485BDD"/>
    <w:rsid w:val="004B1ED3"/>
    <w:rsid w:val="004C0514"/>
    <w:rsid w:val="004C4077"/>
    <w:rsid w:val="004C7A76"/>
    <w:rsid w:val="004D231E"/>
    <w:rsid w:val="004E4900"/>
    <w:rsid w:val="004E60A3"/>
    <w:rsid w:val="004E77EB"/>
    <w:rsid w:val="00516C89"/>
    <w:rsid w:val="00520011"/>
    <w:rsid w:val="005202DB"/>
    <w:rsid w:val="005218B2"/>
    <w:rsid w:val="0054365B"/>
    <w:rsid w:val="005438AB"/>
    <w:rsid w:val="00544C6C"/>
    <w:rsid w:val="00553040"/>
    <w:rsid w:val="0056050E"/>
    <w:rsid w:val="005668B2"/>
    <w:rsid w:val="00574C55"/>
    <w:rsid w:val="00575553"/>
    <w:rsid w:val="00576B55"/>
    <w:rsid w:val="0058450F"/>
    <w:rsid w:val="0059267B"/>
    <w:rsid w:val="005A3382"/>
    <w:rsid w:val="005A44A7"/>
    <w:rsid w:val="005B4E54"/>
    <w:rsid w:val="005D3F9F"/>
    <w:rsid w:val="005E06FF"/>
    <w:rsid w:val="005F106A"/>
    <w:rsid w:val="005F32C8"/>
    <w:rsid w:val="005F3F70"/>
    <w:rsid w:val="005F54DF"/>
    <w:rsid w:val="00600754"/>
    <w:rsid w:val="00600BEB"/>
    <w:rsid w:val="00611887"/>
    <w:rsid w:val="00621DEB"/>
    <w:rsid w:val="0063072C"/>
    <w:rsid w:val="00645E14"/>
    <w:rsid w:val="00647F0B"/>
    <w:rsid w:val="00696E5B"/>
    <w:rsid w:val="006A5424"/>
    <w:rsid w:val="006B3085"/>
    <w:rsid w:val="006E0F95"/>
    <w:rsid w:val="006E4241"/>
    <w:rsid w:val="006E4DA0"/>
    <w:rsid w:val="006F3C22"/>
    <w:rsid w:val="00702DB9"/>
    <w:rsid w:val="007516AF"/>
    <w:rsid w:val="00754236"/>
    <w:rsid w:val="0075453B"/>
    <w:rsid w:val="007618D0"/>
    <w:rsid w:val="00762781"/>
    <w:rsid w:val="00767236"/>
    <w:rsid w:val="00792449"/>
    <w:rsid w:val="007A1A16"/>
    <w:rsid w:val="007B3EBC"/>
    <w:rsid w:val="007B4088"/>
    <w:rsid w:val="007B7533"/>
    <w:rsid w:val="007D4D85"/>
    <w:rsid w:val="007E06C8"/>
    <w:rsid w:val="007E1998"/>
    <w:rsid w:val="007F0B15"/>
    <w:rsid w:val="0080455E"/>
    <w:rsid w:val="00807C1D"/>
    <w:rsid w:val="008118E6"/>
    <w:rsid w:val="00813851"/>
    <w:rsid w:val="00833D93"/>
    <w:rsid w:val="008503D1"/>
    <w:rsid w:val="00851E2E"/>
    <w:rsid w:val="00857740"/>
    <w:rsid w:val="00865564"/>
    <w:rsid w:val="00867160"/>
    <w:rsid w:val="008846E5"/>
    <w:rsid w:val="0088612A"/>
    <w:rsid w:val="00886BAF"/>
    <w:rsid w:val="008A4399"/>
    <w:rsid w:val="008D0CEE"/>
    <w:rsid w:val="008D46ED"/>
    <w:rsid w:val="008D474B"/>
    <w:rsid w:val="008D4816"/>
    <w:rsid w:val="008D68F4"/>
    <w:rsid w:val="008E3325"/>
    <w:rsid w:val="008E576C"/>
    <w:rsid w:val="008F7676"/>
    <w:rsid w:val="009002AD"/>
    <w:rsid w:val="009225B5"/>
    <w:rsid w:val="0092658E"/>
    <w:rsid w:val="009508A9"/>
    <w:rsid w:val="009B0A82"/>
    <w:rsid w:val="009B2882"/>
    <w:rsid w:val="009C457F"/>
    <w:rsid w:val="009C7B91"/>
    <w:rsid w:val="00A02E78"/>
    <w:rsid w:val="00A10A9D"/>
    <w:rsid w:val="00A17956"/>
    <w:rsid w:val="00A17A6F"/>
    <w:rsid w:val="00A23F3B"/>
    <w:rsid w:val="00A4620B"/>
    <w:rsid w:val="00A520B4"/>
    <w:rsid w:val="00A53496"/>
    <w:rsid w:val="00A559D7"/>
    <w:rsid w:val="00A575EE"/>
    <w:rsid w:val="00A81EB3"/>
    <w:rsid w:val="00A86B34"/>
    <w:rsid w:val="00A87EA1"/>
    <w:rsid w:val="00A94F0E"/>
    <w:rsid w:val="00AC1DF8"/>
    <w:rsid w:val="00AC6309"/>
    <w:rsid w:val="00AD6888"/>
    <w:rsid w:val="00AE2032"/>
    <w:rsid w:val="00AE5DAF"/>
    <w:rsid w:val="00B0347E"/>
    <w:rsid w:val="00B1562A"/>
    <w:rsid w:val="00B16FCF"/>
    <w:rsid w:val="00B21B1A"/>
    <w:rsid w:val="00B244CB"/>
    <w:rsid w:val="00B248F1"/>
    <w:rsid w:val="00B254B5"/>
    <w:rsid w:val="00B46A18"/>
    <w:rsid w:val="00B61D36"/>
    <w:rsid w:val="00B66F4E"/>
    <w:rsid w:val="00B75A3D"/>
    <w:rsid w:val="00B86750"/>
    <w:rsid w:val="00BB07AB"/>
    <w:rsid w:val="00BB2E76"/>
    <w:rsid w:val="00BC341E"/>
    <w:rsid w:val="00BE2B0E"/>
    <w:rsid w:val="00BF17C3"/>
    <w:rsid w:val="00C267F6"/>
    <w:rsid w:val="00C31C8A"/>
    <w:rsid w:val="00C32319"/>
    <w:rsid w:val="00C3293A"/>
    <w:rsid w:val="00C43875"/>
    <w:rsid w:val="00C51502"/>
    <w:rsid w:val="00C5413F"/>
    <w:rsid w:val="00C56DD5"/>
    <w:rsid w:val="00C672CE"/>
    <w:rsid w:val="00C73AF9"/>
    <w:rsid w:val="00C80D0E"/>
    <w:rsid w:val="00C95786"/>
    <w:rsid w:val="00CA4447"/>
    <w:rsid w:val="00CA47E8"/>
    <w:rsid w:val="00CB6B9B"/>
    <w:rsid w:val="00CB6F9A"/>
    <w:rsid w:val="00CB7958"/>
    <w:rsid w:val="00CC3140"/>
    <w:rsid w:val="00CC459D"/>
    <w:rsid w:val="00CD2965"/>
    <w:rsid w:val="00CE5B63"/>
    <w:rsid w:val="00CE6909"/>
    <w:rsid w:val="00D01C88"/>
    <w:rsid w:val="00D03FA3"/>
    <w:rsid w:val="00D14C0C"/>
    <w:rsid w:val="00D22CC1"/>
    <w:rsid w:val="00D23FC5"/>
    <w:rsid w:val="00D549F5"/>
    <w:rsid w:val="00D554D0"/>
    <w:rsid w:val="00D57A06"/>
    <w:rsid w:val="00D75FBD"/>
    <w:rsid w:val="00D7683B"/>
    <w:rsid w:val="00D7716A"/>
    <w:rsid w:val="00D94947"/>
    <w:rsid w:val="00DB1FEE"/>
    <w:rsid w:val="00DB2BF2"/>
    <w:rsid w:val="00DB448E"/>
    <w:rsid w:val="00DB62B0"/>
    <w:rsid w:val="00DB76F6"/>
    <w:rsid w:val="00DC4C02"/>
    <w:rsid w:val="00DD0E11"/>
    <w:rsid w:val="00DE0422"/>
    <w:rsid w:val="00DF08A2"/>
    <w:rsid w:val="00DF2C75"/>
    <w:rsid w:val="00DF755D"/>
    <w:rsid w:val="00E041C7"/>
    <w:rsid w:val="00E17134"/>
    <w:rsid w:val="00E502FE"/>
    <w:rsid w:val="00E55157"/>
    <w:rsid w:val="00E56BF8"/>
    <w:rsid w:val="00E62945"/>
    <w:rsid w:val="00E74EFD"/>
    <w:rsid w:val="00E765E5"/>
    <w:rsid w:val="00E965C9"/>
    <w:rsid w:val="00EA69B8"/>
    <w:rsid w:val="00EB0F7D"/>
    <w:rsid w:val="00EB4453"/>
    <w:rsid w:val="00ED417E"/>
    <w:rsid w:val="00EE6E21"/>
    <w:rsid w:val="00EF08E6"/>
    <w:rsid w:val="00EF539C"/>
    <w:rsid w:val="00F03448"/>
    <w:rsid w:val="00F054B7"/>
    <w:rsid w:val="00F0780E"/>
    <w:rsid w:val="00F16C9A"/>
    <w:rsid w:val="00F3334F"/>
    <w:rsid w:val="00F3469A"/>
    <w:rsid w:val="00F379E1"/>
    <w:rsid w:val="00F441D6"/>
    <w:rsid w:val="00F52389"/>
    <w:rsid w:val="00F55BEB"/>
    <w:rsid w:val="00F56207"/>
    <w:rsid w:val="00F57C81"/>
    <w:rsid w:val="00F6280E"/>
    <w:rsid w:val="00F81312"/>
    <w:rsid w:val="00F8244E"/>
    <w:rsid w:val="00F87A04"/>
    <w:rsid w:val="00FB0214"/>
    <w:rsid w:val="00FB5B49"/>
    <w:rsid w:val="00FD6319"/>
    <w:rsid w:val="00FD7B73"/>
    <w:rsid w:val="00FE47CA"/>
    <w:rsid w:val="00FE6A5C"/>
    <w:rsid w:val="00FE6BE4"/>
    <w:rsid w:val="00FF60A4"/>
    <w:rsid w:val="051F7258"/>
    <w:rsid w:val="06791058"/>
    <w:rsid w:val="0D337208"/>
    <w:rsid w:val="126D648D"/>
    <w:rsid w:val="15472B56"/>
    <w:rsid w:val="17AC5E79"/>
    <w:rsid w:val="17CEDD32"/>
    <w:rsid w:val="181F6915"/>
    <w:rsid w:val="1B1464DA"/>
    <w:rsid w:val="1C4B3066"/>
    <w:rsid w:val="1DE33F41"/>
    <w:rsid w:val="211B1DFD"/>
    <w:rsid w:val="21585A0B"/>
    <w:rsid w:val="21CC1AA7"/>
    <w:rsid w:val="228F7BEB"/>
    <w:rsid w:val="22F9162F"/>
    <w:rsid w:val="2301220B"/>
    <w:rsid w:val="27674F32"/>
    <w:rsid w:val="29B5513A"/>
    <w:rsid w:val="2A4766EC"/>
    <w:rsid w:val="2DD80176"/>
    <w:rsid w:val="2ED23278"/>
    <w:rsid w:val="361E5A6C"/>
    <w:rsid w:val="36CE0F9D"/>
    <w:rsid w:val="38844BF2"/>
    <w:rsid w:val="39796A43"/>
    <w:rsid w:val="3BBB75D3"/>
    <w:rsid w:val="3BEB40E5"/>
    <w:rsid w:val="3DCB25D0"/>
    <w:rsid w:val="3EB0731C"/>
    <w:rsid w:val="40554C35"/>
    <w:rsid w:val="438C5973"/>
    <w:rsid w:val="470A7964"/>
    <w:rsid w:val="47436475"/>
    <w:rsid w:val="4ABE0F92"/>
    <w:rsid w:val="4D5F0464"/>
    <w:rsid w:val="50EA09FA"/>
    <w:rsid w:val="533A541C"/>
    <w:rsid w:val="53913B25"/>
    <w:rsid w:val="54E86926"/>
    <w:rsid w:val="5541634F"/>
    <w:rsid w:val="571670D4"/>
    <w:rsid w:val="59AB3583"/>
    <w:rsid w:val="5A35025B"/>
    <w:rsid w:val="5C6A53F7"/>
    <w:rsid w:val="5F41431F"/>
    <w:rsid w:val="5F757B7D"/>
    <w:rsid w:val="60A66515"/>
    <w:rsid w:val="61B825BC"/>
    <w:rsid w:val="6200554A"/>
    <w:rsid w:val="672A2E53"/>
    <w:rsid w:val="6953426A"/>
    <w:rsid w:val="699578EC"/>
    <w:rsid w:val="6A0B4BC4"/>
    <w:rsid w:val="6ADF0C1A"/>
    <w:rsid w:val="6B81193C"/>
    <w:rsid w:val="6C230591"/>
    <w:rsid w:val="6DAC6487"/>
    <w:rsid w:val="6F204EAE"/>
    <w:rsid w:val="72684D25"/>
    <w:rsid w:val="72D40CAE"/>
    <w:rsid w:val="77DD293F"/>
    <w:rsid w:val="79764B5C"/>
    <w:rsid w:val="7E1A525C"/>
    <w:rsid w:val="7EA21AFA"/>
    <w:rsid w:val="7FDBADA9"/>
    <w:rsid w:val="AFBFFD2D"/>
    <w:rsid w:val="BAF74F6D"/>
    <w:rsid w:val="DDBC71BF"/>
    <w:rsid w:val="EA7E91D3"/>
    <w:rsid w:val="F5C7932B"/>
    <w:rsid w:val="FC3EE50D"/>
    <w:rsid w:val="FD7165BA"/>
    <w:rsid w:val="FDBFCA10"/>
    <w:rsid w:val="FDF74369"/>
    <w:rsid w:val="FEFF4E61"/>
    <w:rsid w:val="FF9EFEAB"/>
    <w:rsid w:val="FFFFDF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3"/>
    <w:qFormat/>
    <w:uiPriority w:val="99"/>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99"/>
    <w:pPr>
      <w:ind w:firstLine="420" w:firstLineChars="200"/>
    </w:pPr>
    <w:rPr>
      <w:sz w:val="32"/>
      <w:szCs w:val="24"/>
    </w:rPr>
  </w:style>
  <w:style w:type="paragraph" w:styleId="3">
    <w:name w:val="Body Text Indent"/>
    <w:basedOn w:val="1"/>
    <w:next w:val="4"/>
    <w:link w:val="33"/>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6">
    <w:name w:val="Normal Indent"/>
    <w:basedOn w:val="1"/>
    <w:qFormat/>
    <w:uiPriority w:val="0"/>
    <w:pPr>
      <w:ind w:firstLine="420"/>
    </w:pPr>
    <w:rPr>
      <w:rFonts w:ascii="Times New Roman" w:hAnsi="Times New Roman"/>
      <w:kern w:val="0"/>
      <w:sz w:val="20"/>
      <w:szCs w:val="20"/>
    </w:rPr>
  </w:style>
  <w:style w:type="paragraph" w:styleId="7">
    <w:name w:val="Document Map"/>
    <w:basedOn w:val="1"/>
    <w:link w:val="29"/>
    <w:semiHidden/>
    <w:qFormat/>
    <w:uiPriority w:val="99"/>
    <w:pPr>
      <w:shd w:val="clear" w:color="auto" w:fill="000080"/>
    </w:pPr>
  </w:style>
  <w:style w:type="paragraph" w:styleId="8">
    <w:name w:val="Body Text"/>
    <w:basedOn w:val="1"/>
    <w:link w:val="38"/>
    <w:semiHidden/>
    <w:unhideWhenUsed/>
    <w:qFormat/>
    <w:uiPriority w:val="99"/>
    <w:pPr>
      <w:spacing w:after="120"/>
    </w:pPr>
  </w:style>
  <w:style w:type="paragraph" w:styleId="9">
    <w:name w:val="Plain Text"/>
    <w:basedOn w:val="1"/>
    <w:qFormat/>
    <w:uiPriority w:val="0"/>
    <w:rPr>
      <w:rFonts w:ascii="宋体" w:hAnsi="Courier New"/>
      <w:kern w:val="0"/>
      <w:sz w:val="20"/>
      <w:szCs w:val="20"/>
    </w:r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6"/>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HTML Preformatted"/>
    <w:basedOn w:val="1"/>
    <w:unhideWhenUsed/>
    <w:qFormat/>
    <w:uiPriority w:val="0"/>
    <w:pPr>
      <w:adjustRightInd w:val="0"/>
      <w:spacing w:line="360" w:lineRule="atLeast"/>
      <w:textAlignment w:val="baseline"/>
    </w:pPr>
    <w:rPr>
      <w:rFonts w:ascii="Courier New" w:hAnsi="Courier New"/>
      <w:kern w:val="0"/>
      <w:sz w:val="20"/>
      <w:szCs w:val="20"/>
    </w:rPr>
  </w:style>
  <w:style w:type="paragraph" w:styleId="16">
    <w:name w:val="Normal (Web)"/>
    <w:basedOn w:val="1"/>
    <w:qFormat/>
    <w:uiPriority w:val="99"/>
    <w:pPr>
      <w:spacing w:beforeAutospacing="1" w:afterAutospacing="1"/>
      <w:jc w:val="left"/>
    </w:pPr>
    <w:rPr>
      <w:kern w:val="0"/>
      <w:sz w:val="24"/>
    </w:rPr>
  </w:style>
  <w:style w:type="paragraph" w:styleId="17">
    <w:name w:val="Title"/>
    <w:basedOn w:val="1"/>
    <w:next w:val="1"/>
    <w:link w:val="36"/>
    <w:qFormat/>
    <w:locked/>
    <w:uiPriority w:val="0"/>
    <w:pPr>
      <w:spacing w:before="240" w:after="60"/>
      <w:jc w:val="center"/>
      <w:outlineLvl w:val="0"/>
    </w:pPr>
    <w:rPr>
      <w:rFonts w:asciiTheme="majorHAnsi" w:hAnsiTheme="majorHAnsi" w:cstheme="majorBidi"/>
      <w:b/>
      <w:bCs/>
      <w:sz w:val="32"/>
      <w:szCs w:val="32"/>
    </w:rPr>
  </w:style>
  <w:style w:type="table" w:styleId="19">
    <w:name w:val="Table Grid"/>
    <w:basedOn w:val="18"/>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rFonts w:cs="Times New Roman"/>
      <w:color w:val="0000FF"/>
      <w:u w:val="single"/>
    </w:rPr>
  </w:style>
  <w:style w:type="paragraph" w:customStyle="1" w:styleId="22">
    <w:name w:val="正文1"/>
    <w:basedOn w:val="1"/>
    <w:qFormat/>
    <w:uiPriority w:val="0"/>
    <w:pPr>
      <w:spacing w:line="360" w:lineRule="auto"/>
      <w:ind w:firstLine="361"/>
    </w:pPr>
    <w:rPr>
      <w:rFonts w:ascii="宋体" w:hAnsi="宋体"/>
      <w:szCs w:val="24"/>
    </w:rPr>
  </w:style>
  <w:style w:type="character" w:customStyle="1" w:styleId="23">
    <w:name w:val="标题 1 Char"/>
    <w:basedOn w:val="20"/>
    <w:link w:val="5"/>
    <w:qFormat/>
    <w:locked/>
    <w:uiPriority w:val="99"/>
    <w:rPr>
      <w:rFonts w:cs="Times New Roman"/>
      <w:b/>
      <w:bCs/>
      <w:kern w:val="44"/>
      <w:sz w:val="44"/>
      <w:szCs w:val="44"/>
    </w:rPr>
  </w:style>
  <w:style w:type="paragraph" w:customStyle="1" w:styleId="24">
    <w:name w:val="列出段落1"/>
    <w:basedOn w:val="1"/>
    <w:qFormat/>
    <w:uiPriority w:val="99"/>
    <w:pPr>
      <w:ind w:firstLine="420" w:firstLineChars="200"/>
    </w:pPr>
  </w:style>
  <w:style w:type="paragraph" w:customStyle="1" w:styleId="25">
    <w:name w:val="TOC 标题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6">
    <w:name w:val="批注框文本 Char"/>
    <w:basedOn w:val="20"/>
    <w:link w:val="11"/>
    <w:semiHidden/>
    <w:qFormat/>
    <w:locked/>
    <w:uiPriority w:val="99"/>
    <w:rPr>
      <w:rFonts w:cs="Times New Roman"/>
      <w:sz w:val="18"/>
      <w:szCs w:val="18"/>
    </w:rPr>
  </w:style>
  <w:style w:type="character" w:customStyle="1" w:styleId="27">
    <w:name w:val="页眉 Char"/>
    <w:basedOn w:val="20"/>
    <w:link w:val="13"/>
    <w:qFormat/>
    <w:locked/>
    <w:uiPriority w:val="99"/>
    <w:rPr>
      <w:rFonts w:cs="Times New Roman"/>
      <w:sz w:val="18"/>
      <w:szCs w:val="18"/>
    </w:rPr>
  </w:style>
  <w:style w:type="character" w:customStyle="1" w:styleId="28">
    <w:name w:val="页脚 Char"/>
    <w:basedOn w:val="20"/>
    <w:link w:val="12"/>
    <w:qFormat/>
    <w:locked/>
    <w:uiPriority w:val="99"/>
    <w:rPr>
      <w:rFonts w:cs="Times New Roman"/>
      <w:sz w:val="18"/>
      <w:szCs w:val="18"/>
    </w:rPr>
  </w:style>
  <w:style w:type="character" w:customStyle="1" w:styleId="29">
    <w:name w:val="文档结构图 Char"/>
    <w:basedOn w:val="20"/>
    <w:link w:val="7"/>
    <w:semiHidden/>
    <w:qFormat/>
    <w:locked/>
    <w:uiPriority w:val="99"/>
    <w:rPr>
      <w:rFonts w:ascii="Times New Roman" w:hAnsi="Times New Roman" w:cs="Times New Roman"/>
      <w:sz w:val="2"/>
    </w:rPr>
  </w:style>
  <w:style w:type="paragraph" w:customStyle="1" w:styleId="30">
    <w:name w:val="列出段落11"/>
    <w:basedOn w:val="1"/>
    <w:qFormat/>
    <w:uiPriority w:val="34"/>
    <w:pPr>
      <w:ind w:firstLine="420" w:firstLineChars="200"/>
    </w:pPr>
  </w:style>
  <w:style w:type="paragraph" w:customStyle="1" w:styleId="31">
    <w:name w:val="p0"/>
    <w:basedOn w:val="1"/>
    <w:qFormat/>
    <w:uiPriority w:val="0"/>
    <w:pPr>
      <w:widowControl/>
    </w:pPr>
    <w:rPr>
      <w:szCs w:val="21"/>
    </w:rPr>
  </w:style>
  <w:style w:type="character" w:customStyle="1" w:styleId="32">
    <w:name w:val="样式 小四 加粗"/>
    <w:basedOn w:val="20"/>
    <w:qFormat/>
    <w:uiPriority w:val="0"/>
    <w:rPr>
      <w:rFonts w:eastAsia="黑体"/>
      <w:b/>
      <w:bCs/>
      <w:sz w:val="24"/>
    </w:rPr>
  </w:style>
  <w:style w:type="character" w:customStyle="1" w:styleId="33">
    <w:name w:val="正文文本缩进 Char"/>
    <w:basedOn w:val="20"/>
    <w:link w:val="3"/>
    <w:semiHidden/>
    <w:qFormat/>
    <w:uiPriority w:val="99"/>
    <w:rPr>
      <w:rFonts w:ascii="Calibri" w:hAnsi="Calibri"/>
      <w:kern w:val="2"/>
      <w:sz w:val="21"/>
      <w:szCs w:val="22"/>
    </w:rPr>
  </w:style>
  <w:style w:type="character" w:customStyle="1" w:styleId="34">
    <w:name w:val="正文首行缩进 2 Char"/>
    <w:basedOn w:val="33"/>
    <w:link w:val="2"/>
    <w:qFormat/>
    <w:uiPriority w:val="99"/>
    <w:rPr>
      <w:rFonts w:ascii="Calibri" w:hAnsi="Calibri"/>
      <w:kern w:val="2"/>
      <w:sz w:val="32"/>
      <w:szCs w:val="24"/>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6">
    <w:name w:val="标题 Char"/>
    <w:basedOn w:val="20"/>
    <w:link w:val="17"/>
    <w:qFormat/>
    <w:uiPriority w:val="0"/>
    <w:rPr>
      <w:rFonts w:asciiTheme="majorHAnsi" w:hAnsiTheme="majorHAnsi" w:cstheme="majorBidi"/>
      <w:b/>
      <w:bCs/>
      <w:kern w:val="2"/>
      <w:sz w:val="32"/>
      <w:szCs w:val="32"/>
    </w:rPr>
  </w:style>
  <w:style w:type="paragraph" w:styleId="37">
    <w:name w:val="List Paragraph"/>
    <w:basedOn w:val="1"/>
    <w:qFormat/>
    <w:uiPriority w:val="99"/>
    <w:pPr>
      <w:ind w:firstLine="420" w:firstLineChars="200"/>
    </w:pPr>
  </w:style>
  <w:style w:type="character" w:customStyle="1" w:styleId="38">
    <w:name w:val="正文文本 Char"/>
    <w:basedOn w:val="20"/>
    <w:link w:val="8"/>
    <w:semiHidden/>
    <w:qFormat/>
    <w:uiPriority w:val="99"/>
    <w:rPr>
      <w:rFonts w:ascii="Calibri" w:hAnsi="Calibri"/>
      <w:kern w:val="2"/>
      <w:sz w:val="21"/>
      <w:szCs w:val="22"/>
    </w:rPr>
  </w:style>
  <w:style w:type="paragraph" w:customStyle="1" w:styleId="39">
    <w:name w:val="Normal_0_1"/>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kern w:val="0"/>
      <w:sz w:val="28"/>
      <w:szCs w:val="20"/>
    </w:rPr>
  </w:style>
  <w:style w:type="paragraph" w:customStyle="1" w:styleId="41">
    <w:name w:val="正文缩进4格"/>
    <w:basedOn w:val="40"/>
    <w:qFormat/>
    <w:uiPriority w:val="0"/>
    <w:pPr>
      <w:ind w:left="2" w:firstLine="538" w:firstLineChars="192"/>
    </w:pPr>
    <w:rPr>
      <w:rFonts w:cs="Times New Roman"/>
      <w:color w:val="0000FF"/>
      <w:szCs w:val="28"/>
    </w:rPr>
  </w:style>
  <w:style w:type="paragraph" w:customStyle="1" w:styleId="42">
    <w:name w:val="2cxspmidd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3F187-D82E-493C-94A7-7D75F72E50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1364</Words>
  <Characters>7779</Characters>
  <Lines>64</Lines>
  <Paragraphs>18</Paragraphs>
  <TotalTime>26</TotalTime>
  <ScaleCrop>false</ScaleCrop>
  <LinksUpToDate>false</LinksUpToDate>
  <CharactersWithSpaces>9125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2021-11-03T08:01:00Z</dcterms:created>
  <dc:creator>bailing</dc:creator>
  <cp:lastModifiedBy>ntrb1</cp:lastModifiedBy>
  <cp:lastPrinted>2021-12-07T08:18:00Z</cp:lastPrinted>
  <dcterms:modified xsi:type="dcterms:W3CDTF">2021-12-17T07:02:29Z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6833DC56F581446BB14D15C1CB4180F8</vt:lpwstr>
  </property>
</Properties>
</file>