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eastAsia" w:ascii="宋体" w:hAnsi="宋体" w:eastAsia="宋体" w:cs="宋体"/>
          <w:b/>
          <w:bCs/>
          <w:i w:val="0"/>
          <w:iCs w:val="0"/>
          <w:caps w:val="0"/>
          <w:color w:val="auto"/>
          <w:spacing w:val="0"/>
          <w:sz w:val="32"/>
          <w:szCs w:val="32"/>
        </w:rPr>
      </w:pPr>
      <w:r>
        <w:rPr>
          <w:rFonts w:hint="eastAsia" w:cs="宋体"/>
          <w:b/>
          <w:bCs/>
          <w:i w:val="0"/>
          <w:iCs w:val="0"/>
          <w:caps w:val="0"/>
          <w:color w:val="auto"/>
          <w:spacing w:val="0"/>
          <w:sz w:val="32"/>
          <w:szCs w:val="32"/>
          <w:shd w:val="clear" w:fill="FFFFFF"/>
          <w:lang w:val="en-US" w:eastAsia="zh-CN"/>
        </w:rPr>
        <w:t xml:space="preserve">  </w:t>
      </w:r>
      <w:bookmarkStart w:id="0" w:name="_GoBack"/>
      <w:bookmarkEnd w:id="0"/>
      <w:r>
        <w:rPr>
          <w:rFonts w:hint="eastAsia" w:ascii="宋体" w:hAnsi="宋体" w:eastAsia="宋体" w:cs="宋体"/>
          <w:b/>
          <w:bCs/>
          <w:i w:val="0"/>
          <w:iCs w:val="0"/>
          <w:caps w:val="0"/>
          <w:color w:val="auto"/>
          <w:spacing w:val="0"/>
          <w:sz w:val="32"/>
          <w:szCs w:val="32"/>
          <w:shd w:val="clear" w:fill="FFFFFF"/>
        </w:rPr>
        <w:t>202</w:t>
      </w:r>
      <w:r>
        <w:rPr>
          <w:rFonts w:hint="eastAsia" w:cs="宋体"/>
          <w:b/>
          <w:bCs/>
          <w:i w:val="0"/>
          <w:iCs w:val="0"/>
          <w:caps w:val="0"/>
          <w:color w:val="auto"/>
          <w:spacing w:val="0"/>
          <w:sz w:val="32"/>
          <w:szCs w:val="32"/>
          <w:shd w:val="clear" w:fill="FFFFFF"/>
          <w:lang w:val="en-US" w:eastAsia="zh-CN"/>
        </w:rPr>
        <w:t>2</w:t>
      </w:r>
      <w:r>
        <w:rPr>
          <w:rFonts w:hint="eastAsia" w:ascii="宋体" w:hAnsi="宋体" w:eastAsia="宋体" w:cs="宋体"/>
          <w:b/>
          <w:bCs/>
          <w:i w:val="0"/>
          <w:iCs w:val="0"/>
          <w:caps w:val="0"/>
          <w:color w:val="auto"/>
          <w:spacing w:val="0"/>
          <w:sz w:val="32"/>
          <w:szCs w:val="32"/>
          <w:shd w:val="clear" w:fill="FFFFFF"/>
        </w:rPr>
        <w:t>南通《中招指南》印刷费用询价通知书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本集团（公司）因联合南通市教育考试院出版202</w:t>
      </w:r>
      <w:r>
        <w:rPr>
          <w:rFonts w:hint="eastAsia" w:ascii="宋体" w:hAnsi="宋体" w:eastAsia="宋体" w:cs="宋体"/>
          <w:i w:val="0"/>
          <w:iCs w:val="0"/>
          <w:caps w:val="0"/>
          <w:color w:val="2B2B2B"/>
          <w:spacing w:val="0"/>
          <w:sz w:val="24"/>
          <w:szCs w:val="24"/>
          <w:shd w:val="clear" w:fill="FFFFFF"/>
          <w:lang w:val="en-US" w:eastAsia="zh-CN"/>
        </w:rPr>
        <w:t>2</w:t>
      </w:r>
      <w:r>
        <w:rPr>
          <w:rFonts w:hint="eastAsia" w:ascii="宋体" w:hAnsi="宋体" w:eastAsia="宋体" w:cs="宋体"/>
          <w:i w:val="0"/>
          <w:iCs w:val="0"/>
          <w:caps w:val="0"/>
          <w:color w:val="2B2B2B"/>
          <w:spacing w:val="0"/>
          <w:sz w:val="24"/>
          <w:szCs w:val="24"/>
          <w:shd w:val="clear" w:fill="FFFFFF"/>
        </w:rPr>
        <w:t>南通《中招指南》需要，特通过《南通网》公开发布询价采购通知书。采购人经询价小组评议结果报告结果情况，确定202</w:t>
      </w:r>
      <w:r>
        <w:rPr>
          <w:rFonts w:hint="eastAsia" w:ascii="宋体" w:hAnsi="宋体" w:eastAsia="宋体" w:cs="宋体"/>
          <w:i w:val="0"/>
          <w:iCs w:val="0"/>
          <w:caps w:val="0"/>
          <w:color w:val="2B2B2B"/>
          <w:spacing w:val="0"/>
          <w:sz w:val="24"/>
          <w:szCs w:val="24"/>
          <w:shd w:val="clear" w:fill="FFFFFF"/>
          <w:lang w:val="en-US" w:eastAsia="zh-CN"/>
        </w:rPr>
        <w:t>2</w:t>
      </w:r>
      <w:r>
        <w:rPr>
          <w:rFonts w:hint="eastAsia" w:ascii="宋体" w:hAnsi="宋体" w:eastAsia="宋体" w:cs="宋体"/>
          <w:i w:val="0"/>
          <w:iCs w:val="0"/>
          <w:caps w:val="0"/>
          <w:color w:val="2B2B2B"/>
          <w:spacing w:val="0"/>
          <w:sz w:val="24"/>
          <w:szCs w:val="24"/>
          <w:shd w:val="clear" w:fill="FFFFFF"/>
        </w:rPr>
        <w:t>南通《中招指南》手册印刷承印单位。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一、印刷规格、数量及要求（页数按实计算，上下浮动不超过10%）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1.南通大市、通州区16K版本： 规格：25.7cm*18.5cm，其中封面和插页约48P使用128G铜版纸、内页约64P使用45G-48G优等新闻纸，工艺要求：正反4色，骑马钉装订，数量明细见下表，质量要求：国家标准。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2. 市区、启东市16K版本：规格: 25.7cm*18.5cm，其中封面和插页约48P</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使用128G铜版纸、内页约80P使用45G-48G优等新闻纸，工艺要求：正反4色，骑马订，数量明细见下表，质量要求：国家标准。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二、采购项目预算金额：≤</w:t>
      </w:r>
      <w:r>
        <w:rPr>
          <w:rFonts w:hint="eastAsia" w:ascii="宋体" w:hAnsi="宋体" w:eastAsia="宋体" w:cs="宋体"/>
          <w:i w:val="0"/>
          <w:iCs w:val="0"/>
          <w:caps w:val="0"/>
          <w:color w:val="2B2B2B"/>
          <w:spacing w:val="0"/>
          <w:sz w:val="24"/>
          <w:szCs w:val="24"/>
          <w:shd w:val="clear" w:fill="FFFFFF"/>
          <w:lang w:val="en-US" w:eastAsia="zh-CN"/>
        </w:rPr>
        <w:t>21</w:t>
      </w:r>
      <w:r>
        <w:rPr>
          <w:rFonts w:hint="eastAsia" w:ascii="宋体" w:hAnsi="宋体" w:eastAsia="宋体" w:cs="宋体"/>
          <w:i w:val="0"/>
          <w:iCs w:val="0"/>
          <w:caps w:val="0"/>
          <w:color w:val="2B2B2B"/>
          <w:spacing w:val="0"/>
          <w:sz w:val="24"/>
          <w:szCs w:val="24"/>
          <w:shd w:val="clear" w:fill="FFFFFF"/>
        </w:rPr>
        <w:t>万元（</w:t>
      </w:r>
      <w:r>
        <w:rPr>
          <w:rFonts w:hint="eastAsia" w:ascii="宋体" w:hAnsi="宋体" w:eastAsia="宋体" w:cs="宋体"/>
          <w:i w:val="0"/>
          <w:iCs w:val="0"/>
          <w:caps w:val="0"/>
          <w:color w:val="2B2B2B"/>
          <w:spacing w:val="0"/>
          <w:sz w:val="24"/>
          <w:szCs w:val="24"/>
          <w:shd w:val="clear" w:fill="FFFFFF"/>
          <w:lang w:val="en-US" w:eastAsia="zh-CN"/>
        </w:rPr>
        <w:t>开具</w:t>
      </w:r>
      <w:r>
        <w:rPr>
          <w:rFonts w:hint="eastAsia" w:ascii="宋体" w:hAnsi="宋体" w:eastAsia="宋体" w:cs="宋体"/>
          <w:i w:val="0"/>
          <w:iCs w:val="0"/>
          <w:caps w:val="0"/>
          <w:color w:val="2B2B2B"/>
          <w:spacing w:val="0"/>
          <w:sz w:val="24"/>
          <w:szCs w:val="24"/>
          <w:shd w:val="clear" w:fill="FFFFFF"/>
        </w:rPr>
        <w:t>增值税专用</w:t>
      </w:r>
      <w:r>
        <w:rPr>
          <w:rFonts w:hint="eastAsia" w:ascii="宋体" w:hAnsi="宋体" w:eastAsia="宋体" w:cs="宋体"/>
          <w:i w:val="0"/>
          <w:iCs w:val="0"/>
          <w:caps w:val="0"/>
          <w:color w:val="2B2B2B"/>
          <w:spacing w:val="0"/>
          <w:sz w:val="24"/>
          <w:szCs w:val="24"/>
          <w:shd w:val="clear" w:fill="FFFFFF"/>
          <w:lang w:val="en-US" w:eastAsia="zh-CN"/>
        </w:rPr>
        <w:t>发票</w:t>
      </w:r>
      <w:r>
        <w:rPr>
          <w:rFonts w:hint="eastAsia" w:ascii="宋体" w:hAnsi="宋体" w:eastAsia="宋体" w:cs="宋体"/>
          <w:i w:val="0"/>
          <w:iCs w:val="0"/>
          <w:caps w:val="0"/>
          <w:color w:val="2B2B2B"/>
          <w:spacing w:val="0"/>
          <w:sz w:val="24"/>
          <w:szCs w:val="24"/>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三、报价清单明细附表：本次《中招指南》按4个不同版本印刷，各版本总页数不同，按实际印刷页数结算，报价单请按报价单明细表要求分别填写一次报出不得更改的报价及附单价（注明铜版纸、新闻纸品牌，含送到指定地点运费及含13%增值税率），并提交4P128G铜版纸、8P内页45G-48G优等新闻纸打样样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响应报价单（含税）：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xml:space="preserve">铜版纸品牌、克数：   </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 xml:space="preserve"> 新闻纸品牌、克数：</w:t>
      </w:r>
    </w:p>
    <w:tbl>
      <w:tblPr>
        <w:tblStyle w:val="6"/>
        <w:tblpPr w:leftFromText="180" w:rightFromText="180" w:vertAnchor="text" w:horzAnchor="page" w:tblpX="1530" w:tblpY="447"/>
        <w:tblOverlap w:val="never"/>
        <w:tblW w:w="9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335"/>
        <w:gridCol w:w="1320"/>
        <w:gridCol w:w="840"/>
        <w:gridCol w:w="1950"/>
        <w:gridCol w:w="207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top"/>
          </w:tcPr>
          <w:p>
            <w:pPr>
              <w:spacing w:line="240" w:lineRule="auto"/>
              <w:jc w:val="center"/>
              <w:rPr>
                <w:rFonts w:hint="eastAsia"/>
                <w:color w:val="auto"/>
                <w:szCs w:val="21"/>
              </w:rPr>
            </w:pPr>
            <w:r>
              <w:rPr>
                <w:rFonts w:hint="eastAsia"/>
                <w:color w:val="auto"/>
                <w:szCs w:val="21"/>
              </w:rPr>
              <w:t>份数</w:t>
            </w:r>
          </w:p>
        </w:tc>
        <w:tc>
          <w:tcPr>
            <w:tcW w:w="1335" w:type="dxa"/>
            <w:noWrap w:val="0"/>
            <w:vAlign w:val="top"/>
          </w:tcPr>
          <w:p>
            <w:pPr>
              <w:spacing w:line="240" w:lineRule="auto"/>
              <w:rPr>
                <w:rFonts w:hint="eastAsia"/>
                <w:color w:val="auto"/>
                <w:szCs w:val="21"/>
              </w:rPr>
            </w:pPr>
            <w:r>
              <w:rPr>
                <w:rFonts w:hint="eastAsia"/>
                <w:color w:val="auto"/>
                <w:szCs w:val="21"/>
              </w:rPr>
              <w:t>铜版纸 P数</w:t>
            </w:r>
          </w:p>
        </w:tc>
        <w:tc>
          <w:tcPr>
            <w:tcW w:w="1320" w:type="dxa"/>
            <w:noWrap w:val="0"/>
            <w:vAlign w:val="top"/>
          </w:tcPr>
          <w:p>
            <w:pPr>
              <w:spacing w:line="240" w:lineRule="auto"/>
              <w:jc w:val="center"/>
              <w:rPr>
                <w:rFonts w:hint="eastAsia"/>
                <w:color w:val="auto"/>
                <w:szCs w:val="21"/>
              </w:rPr>
            </w:pPr>
            <w:r>
              <w:rPr>
                <w:rFonts w:hint="eastAsia"/>
                <w:color w:val="auto"/>
                <w:szCs w:val="21"/>
              </w:rPr>
              <w:t>新闻纸P数</w:t>
            </w:r>
          </w:p>
        </w:tc>
        <w:tc>
          <w:tcPr>
            <w:tcW w:w="840" w:type="dxa"/>
            <w:noWrap w:val="0"/>
            <w:vAlign w:val="top"/>
          </w:tcPr>
          <w:p>
            <w:pPr>
              <w:spacing w:line="240" w:lineRule="auto"/>
              <w:jc w:val="center"/>
              <w:rPr>
                <w:rFonts w:hint="eastAsia"/>
                <w:color w:val="auto"/>
                <w:szCs w:val="21"/>
              </w:rPr>
            </w:pPr>
            <w:r>
              <w:rPr>
                <w:rFonts w:hint="eastAsia"/>
                <w:color w:val="auto"/>
                <w:szCs w:val="21"/>
              </w:rPr>
              <w:t>合计</w:t>
            </w:r>
          </w:p>
        </w:tc>
        <w:tc>
          <w:tcPr>
            <w:tcW w:w="1950" w:type="dxa"/>
            <w:noWrap w:val="0"/>
            <w:vAlign w:val="top"/>
          </w:tcPr>
          <w:p>
            <w:pPr>
              <w:spacing w:line="240" w:lineRule="auto"/>
              <w:rPr>
                <w:rFonts w:hint="eastAsia"/>
                <w:color w:val="auto"/>
                <w:szCs w:val="21"/>
              </w:rPr>
            </w:pPr>
            <w:r>
              <w:rPr>
                <w:rFonts w:hint="eastAsia"/>
                <w:color w:val="auto"/>
                <w:szCs w:val="21"/>
              </w:rPr>
              <w:t>铜版纸每16p单价</w:t>
            </w:r>
          </w:p>
        </w:tc>
        <w:tc>
          <w:tcPr>
            <w:tcW w:w="2070" w:type="dxa"/>
            <w:noWrap w:val="0"/>
            <w:vAlign w:val="top"/>
          </w:tcPr>
          <w:p>
            <w:pPr>
              <w:spacing w:line="240" w:lineRule="auto"/>
              <w:jc w:val="center"/>
              <w:rPr>
                <w:rFonts w:hint="eastAsia"/>
                <w:color w:val="auto"/>
                <w:szCs w:val="21"/>
              </w:rPr>
            </w:pPr>
            <w:r>
              <w:rPr>
                <w:rFonts w:hint="eastAsia"/>
                <w:color w:val="auto"/>
                <w:szCs w:val="21"/>
              </w:rPr>
              <w:t>新闻纸每16p单价</w:t>
            </w:r>
          </w:p>
        </w:tc>
        <w:tc>
          <w:tcPr>
            <w:tcW w:w="750" w:type="dxa"/>
            <w:noWrap w:val="0"/>
            <w:vAlign w:val="top"/>
          </w:tcPr>
          <w:p>
            <w:pPr>
              <w:spacing w:line="240" w:lineRule="auto"/>
              <w:jc w:val="center"/>
              <w:rPr>
                <w:rFonts w:hint="eastAsia"/>
                <w:color w:val="auto"/>
                <w:szCs w:val="21"/>
              </w:rPr>
            </w:pPr>
            <w:r>
              <w:rPr>
                <w:rFonts w:hint="eastAsia"/>
                <w:color w:val="auto"/>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top"/>
          </w:tcPr>
          <w:p>
            <w:pPr>
              <w:spacing w:line="240" w:lineRule="auto"/>
              <w:jc w:val="center"/>
              <w:rPr>
                <w:color w:val="auto"/>
                <w:szCs w:val="21"/>
              </w:rPr>
            </w:pPr>
            <w:r>
              <w:rPr>
                <w:rFonts w:hint="eastAsia"/>
                <w:color w:val="auto"/>
                <w:szCs w:val="21"/>
              </w:rPr>
              <w:t>3</w:t>
            </w:r>
            <w:r>
              <w:rPr>
                <w:rFonts w:hint="eastAsia"/>
                <w:color w:val="auto"/>
                <w:szCs w:val="21"/>
                <w:lang w:val="en-US" w:eastAsia="zh-CN"/>
              </w:rPr>
              <w:t>20</w:t>
            </w:r>
            <w:r>
              <w:rPr>
                <w:rFonts w:hint="eastAsia"/>
                <w:color w:val="auto"/>
                <w:szCs w:val="21"/>
              </w:rPr>
              <w:t>00</w:t>
            </w:r>
          </w:p>
        </w:tc>
        <w:tc>
          <w:tcPr>
            <w:tcW w:w="1335" w:type="dxa"/>
            <w:noWrap w:val="0"/>
            <w:vAlign w:val="top"/>
          </w:tcPr>
          <w:p>
            <w:pPr>
              <w:spacing w:line="240" w:lineRule="auto"/>
              <w:jc w:val="center"/>
              <w:rPr>
                <w:rFonts w:hint="eastAsia"/>
                <w:color w:val="auto"/>
                <w:szCs w:val="21"/>
              </w:rPr>
            </w:pPr>
            <w:r>
              <w:rPr>
                <w:rFonts w:hint="eastAsia"/>
                <w:color w:val="auto"/>
                <w:szCs w:val="21"/>
              </w:rPr>
              <w:t>4</w:t>
            </w:r>
            <w:r>
              <w:rPr>
                <w:rFonts w:hint="eastAsia"/>
                <w:color w:val="auto"/>
                <w:szCs w:val="21"/>
                <w:lang w:val="en-US" w:eastAsia="zh-CN"/>
              </w:rPr>
              <w:t>8</w:t>
            </w:r>
            <w:r>
              <w:rPr>
                <w:rFonts w:hint="eastAsia"/>
                <w:color w:val="auto"/>
                <w:szCs w:val="21"/>
              </w:rPr>
              <w:t>（初定）</w:t>
            </w:r>
          </w:p>
        </w:tc>
        <w:tc>
          <w:tcPr>
            <w:tcW w:w="1320" w:type="dxa"/>
            <w:noWrap w:val="0"/>
            <w:vAlign w:val="top"/>
          </w:tcPr>
          <w:p>
            <w:pPr>
              <w:spacing w:line="240" w:lineRule="auto"/>
              <w:jc w:val="center"/>
              <w:rPr>
                <w:rFonts w:hint="eastAsia"/>
                <w:color w:val="auto"/>
                <w:szCs w:val="21"/>
              </w:rPr>
            </w:pPr>
            <w:r>
              <w:rPr>
                <w:rFonts w:hint="eastAsia"/>
                <w:color w:val="auto"/>
                <w:szCs w:val="21"/>
                <w:lang w:val="en-US" w:eastAsia="zh-CN"/>
              </w:rPr>
              <w:t>64</w:t>
            </w:r>
            <w:r>
              <w:rPr>
                <w:rFonts w:hint="eastAsia"/>
                <w:color w:val="auto"/>
                <w:szCs w:val="21"/>
              </w:rPr>
              <w:t>（预估）</w:t>
            </w:r>
          </w:p>
        </w:tc>
        <w:tc>
          <w:tcPr>
            <w:tcW w:w="840" w:type="dxa"/>
            <w:noWrap w:val="0"/>
            <w:vAlign w:val="top"/>
          </w:tcPr>
          <w:p>
            <w:pPr>
              <w:spacing w:line="240" w:lineRule="auto"/>
              <w:jc w:val="center"/>
              <w:rPr>
                <w:rFonts w:hint="eastAsia"/>
                <w:color w:val="auto"/>
                <w:szCs w:val="21"/>
              </w:rPr>
            </w:pPr>
          </w:p>
        </w:tc>
        <w:tc>
          <w:tcPr>
            <w:tcW w:w="1950" w:type="dxa"/>
            <w:noWrap w:val="0"/>
            <w:vAlign w:val="top"/>
          </w:tcPr>
          <w:p>
            <w:pPr>
              <w:spacing w:line="240" w:lineRule="auto"/>
              <w:jc w:val="center"/>
              <w:rPr>
                <w:rFonts w:hint="eastAsia"/>
                <w:color w:val="auto"/>
                <w:szCs w:val="21"/>
              </w:rPr>
            </w:pPr>
          </w:p>
        </w:tc>
        <w:tc>
          <w:tcPr>
            <w:tcW w:w="2070" w:type="dxa"/>
            <w:noWrap w:val="0"/>
            <w:vAlign w:val="top"/>
          </w:tcPr>
          <w:p>
            <w:pPr>
              <w:spacing w:line="240" w:lineRule="auto"/>
              <w:jc w:val="center"/>
              <w:rPr>
                <w:rFonts w:hint="eastAsia"/>
                <w:color w:val="auto"/>
                <w:szCs w:val="21"/>
              </w:rPr>
            </w:pPr>
          </w:p>
        </w:tc>
        <w:tc>
          <w:tcPr>
            <w:tcW w:w="750" w:type="dxa"/>
            <w:noWrap w:val="0"/>
            <w:vAlign w:val="top"/>
          </w:tcPr>
          <w:p>
            <w:pPr>
              <w:spacing w:line="24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top"/>
          </w:tcPr>
          <w:p>
            <w:pPr>
              <w:spacing w:line="240" w:lineRule="auto"/>
              <w:jc w:val="center"/>
              <w:rPr>
                <w:color w:val="auto"/>
                <w:szCs w:val="21"/>
              </w:rPr>
            </w:pPr>
            <w:r>
              <w:rPr>
                <w:rFonts w:hint="eastAsia"/>
                <w:color w:val="auto"/>
                <w:szCs w:val="21"/>
              </w:rPr>
              <w:t>1</w:t>
            </w:r>
            <w:r>
              <w:rPr>
                <w:rFonts w:hint="eastAsia"/>
                <w:color w:val="auto"/>
                <w:szCs w:val="21"/>
                <w:lang w:val="en-US" w:eastAsia="zh-CN"/>
              </w:rPr>
              <w:t>25</w:t>
            </w:r>
            <w:r>
              <w:rPr>
                <w:rFonts w:hint="eastAsia"/>
                <w:color w:val="auto"/>
                <w:szCs w:val="21"/>
              </w:rPr>
              <w:t>00</w:t>
            </w:r>
          </w:p>
        </w:tc>
        <w:tc>
          <w:tcPr>
            <w:tcW w:w="1335" w:type="dxa"/>
            <w:noWrap w:val="0"/>
            <w:vAlign w:val="top"/>
          </w:tcPr>
          <w:p>
            <w:pPr>
              <w:spacing w:line="240" w:lineRule="auto"/>
              <w:jc w:val="center"/>
              <w:rPr>
                <w:rFonts w:hint="eastAsia"/>
                <w:color w:val="auto"/>
                <w:szCs w:val="21"/>
              </w:rPr>
            </w:pPr>
            <w:r>
              <w:rPr>
                <w:rFonts w:hint="eastAsia"/>
                <w:color w:val="auto"/>
                <w:szCs w:val="21"/>
              </w:rPr>
              <w:t>4</w:t>
            </w:r>
            <w:r>
              <w:rPr>
                <w:rFonts w:hint="eastAsia"/>
                <w:color w:val="auto"/>
                <w:szCs w:val="21"/>
                <w:lang w:val="en-US" w:eastAsia="zh-CN"/>
              </w:rPr>
              <w:t>8</w:t>
            </w:r>
            <w:r>
              <w:rPr>
                <w:rFonts w:hint="eastAsia"/>
                <w:color w:val="auto"/>
                <w:szCs w:val="21"/>
              </w:rPr>
              <w:t>（初定）</w:t>
            </w:r>
          </w:p>
        </w:tc>
        <w:tc>
          <w:tcPr>
            <w:tcW w:w="1320" w:type="dxa"/>
            <w:noWrap w:val="0"/>
            <w:vAlign w:val="top"/>
          </w:tcPr>
          <w:p>
            <w:pPr>
              <w:spacing w:line="240" w:lineRule="auto"/>
              <w:jc w:val="center"/>
              <w:rPr>
                <w:rFonts w:hint="eastAsia"/>
                <w:color w:val="auto"/>
                <w:szCs w:val="21"/>
              </w:rPr>
            </w:pPr>
            <w:r>
              <w:rPr>
                <w:rFonts w:hint="eastAsia"/>
                <w:color w:val="auto"/>
                <w:szCs w:val="21"/>
              </w:rPr>
              <w:t>80（预估）</w:t>
            </w:r>
          </w:p>
        </w:tc>
        <w:tc>
          <w:tcPr>
            <w:tcW w:w="840" w:type="dxa"/>
            <w:noWrap w:val="0"/>
            <w:vAlign w:val="top"/>
          </w:tcPr>
          <w:p>
            <w:pPr>
              <w:spacing w:line="240" w:lineRule="auto"/>
              <w:jc w:val="center"/>
              <w:rPr>
                <w:rFonts w:hint="eastAsia"/>
                <w:color w:val="auto"/>
                <w:szCs w:val="21"/>
              </w:rPr>
            </w:pPr>
          </w:p>
        </w:tc>
        <w:tc>
          <w:tcPr>
            <w:tcW w:w="1950" w:type="dxa"/>
            <w:noWrap w:val="0"/>
            <w:vAlign w:val="top"/>
          </w:tcPr>
          <w:p>
            <w:pPr>
              <w:spacing w:line="240" w:lineRule="auto"/>
              <w:jc w:val="center"/>
              <w:rPr>
                <w:rFonts w:hint="eastAsia"/>
                <w:color w:val="auto"/>
                <w:szCs w:val="21"/>
              </w:rPr>
            </w:pPr>
          </w:p>
        </w:tc>
        <w:tc>
          <w:tcPr>
            <w:tcW w:w="2070" w:type="dxa"/>
            <w:noWrap w:val="0"/>
            <w:vAlign w:val="top"/>
          </w:tcPr>
          <w:p>
            <w:pPr>
              <w:spacing w:line="240" w:lineRule="auto"/>
              <w:jc w:val="center"/>
              <w:rPr>
                <w:rFonts w:hint="eastAsia"/>
                <w:color w:val="auto"/>
                <w:szCs w:val="21"/>
              </w:rPr>
            </w:pPr>
          </w:p>
        </w:tc>
        <w:tc>
          <w:tcPr>
            <w:tcW w:w="750" w:type="dxa"/>
            <w:noWrap w:val="0"/>
            <w:vAlign w:val="top"/>
          </w:tcPr>
          <w:p>
            <w:pPr>
              <w:spacing w:line="24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top"/>
          </w:tcPr>
          <w:p>
            <w:pPr>
              <w:spacing w:line="240" w:lineRule="auto"/>
              <w:jc w:val="center"/>
              <w:rPr>
                <w:rFonts w:hint="default" w:eastAsiaTheme="minorEastAsia"/>
                <w:color w:val="auto"/>
                <w:szCs w:val="21"/>
                <w:lang w:val="en-US" w:eastAsia="zh-CN"/>
              </w:rPr>
            </w:pPr>
            <w:r>
              <w:rPr>
                <w:rFonts w:hint="eastAsia"/>
                <w:color w:val="auto"/>
                <w:szCs w:val="21"/>
                <w:lang w:val="en-US" w:eastAsia="zh-CN"/>
              </w:rPr>
              <w:t>8000</w:t>
            </w:r>
          </w:p>
        </w:tc>
        <w:tc>
          <w:tcPr>
            <w:tcW w:w="1335" w:type="dxa"/>
            <w:noWrap w:val="0"/>
            <w:vAlign w:val="top"/>
          </w:tcPr>
          <w:p>
            <w:pPr>
              <w:spacing w:line="240" w:lineRule="auto"/>
              <w:jc w:val="center"/>
              <w:rPr>
                <w:rFonts w:hint="eastAsia"/>
                <w:color w:val="auto"/>
                <w:szCs w:val="21"/>
              </w:rPr>
            </w:pPr>
            <w:r>
              <w:rPr>
                <w:rFonts w:hint="eastAsia"/>
                <w:color w:val="auto"/>
                <w:szCs w:val="21"/>
              </w:rPr>
              <w:t>4</w:t>
            </w:r>
            <w:r>
              <w:rPr>
                <w:rFonts w:hint="eastAsia"/>
                <w:color w:val="auto"/>
                <w:szCs w:val="21"/>
                <w:lang w:val="en-US" w:eastAsia="zh-CN"/>
              </w:rPr>
              <w:t>8</w:t>
            </w:r>
            <w:r>
              <w:rPr>
                <w:rFonts w:hint="eastAsia"/>
                <w:color w:val="auto"/>
                <w:szCs w:val="21"/>
              </w:rPr>
              <w:t>（初定）</w:t>
            </w:r>
          </w:p>
        </w:tc>
        <w:tc>
          <w:tcPr>
            <w:tcW w:w="1320" w:type="dxa"/>
            <w:noWrap w:val="0"/>
            <w:vAlign w:val="top"/>
          </w:tcPr>
          <w:p>
            <w:pPr>
              <w:spacing w:line="240" w:lineRule="auto"/>
              <w:jc w:val="center"/>
              <w:rPr>
                <w:rFonts w:hint="eastAsia"/>
                <w:color w:val="auto"/>
                <w:szCs w:val="21"/>
              </w:rPr>
            </w:pPr>
            <w:r>
              <w:rPr>
                <w:rFonts w:hint="eastAsia"/>
                <w:color w:val="auto"/>
                <w:szCs w:val="21"/>
                <w:lang w:val="en-US" w:eastAsia="zh-CN"/>
              </w:rPr>
              <w:t>64</w:t>
            </w:r>
            <w:r>
              <w:rPr>
                <w:rFonts w:hint="eastAsia"/>
                <w:color w:val="auto"/>
                <w:szCs w:val="21"/>
              </w:rPr>
              <w:t>（预估）</w:t>
            </w:r>
          </w:p>
        </w:tc>
        <w:tc>
          <w:tcPr>
            <w:tcW w:w="840" w:type="dxa"/>
            <w:noWrap w:val="0"/>
            <w:vAlign w:val="top"/>
          </w:tcPr>
          <w:p>
            <w:pPr>
              <w:spacing w:line="240" w:lineRule="auto"/>
              <w:jc w:val="center"/>
              <w:rPr>
                <w:rFonts w:hint="eastAsia"/>
                <w:color w:val="auto"/>
                <w:szCs w:val="21"/>
              </w:rPr>
            </w:pPr>
          </w:p>
        </w:tc>
        <w:tc>
          <w:tcPr>
            <w:tcW w:w="1950" w:type="dxa"/>
            <w:noWrap w:val="0"/>
            <w:vAlign w:val="top"/>
          </w:tcPr>
          <w:p>
            <w:pPr>
              <w:spacing w:line="240" w:lineRule="auto"/>
              <w:jc w:val="center"/>
              <w:rPr>
                <w:rFonts w:hint="eastAsia"/>
                <w:color w:val="auto"/>
                <w:szCs w:val="21"/>
              </w:rPr>
            </w:pPr>
          </w:p>
        </w:tc>
        <w:tc>
          <w:tcPr>
            <w:tcW w:w="2070" w:type="dxa"/>
            <w:noWrap w:val="0"/>
            <w:vAlign w:val="top"/>
          </w:tcPr>
          <w:p>
            <w:pPr>
              <w:spacing w:line="240" w:lineRule="auto"/>
              <w:jc w:val="center"/>
              <w:rPr>
                <w:rFonts w:hint="eastAsia"/>
                <w:color w:val="auto"/>
                <w:szCs w:val="21"/>
              </w:rPr>
            </w:pPr>
          </w:p>
        </w:tc>
        <w:tc>
          <w:tcPr>
            <w:tcW w:w="750" w:type="dxa"/>
            <w:noWrap w:val="0"/>
            <w:vAlign w:val="top"/>
          </w:tcPr>
          <w:p>
            <w:pPr>
              <w:spacing w:line="24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top"/>
          </w:tcPr>
          <w:p>
            <w:pPr>
              <w:spacing w:line="240" w:lineRule="auto"/>
              <w:jc w:val="center"/>
              <w:rPr>
                <w:color w:val="auto"/>
                <w:szCs w:val="21"/>
              </w:rPr>
            </w:pPr>
            <w:r>
              <w:rPr>
                <w:rFonts w:hint="eastAsia"/>
                <w:color w:val="auto"/>
                <w:szCs w:val="21"/>
                <w:lang w:val="en-US" w:eastAsia="zh-CN"/>
              </w:rPr>
              <w:t>73</w:t>
            </w:r>
            <w:r>
              <w:rPr>
                <w:rFonts w:hint="eastAsia"/>
                <w:color w:val="auto"/>
                <w:szCs w:val="21"/>
              </w:rPr>
              <w:t>00</w:t>
            </w:r>
          </w:p>
        </w:tc>
        <w:tc>
          <w:tcPr>
            <w:tcW w:w="1335" w:type="dxa"/>
            <w:noWrap w:val="0"/>
            <w:vAlign w:val="top"/>
          </w:tcPr>
          <w:p>
            <w:pPr>
              <w:spacing w:line="240" w:lineRule="auto"/>
              <w:jc w:val="center"/>
              <w:rPr>
                <w:rFonts w:hint="eastAsia"/>
                <w:color w:val="auto"/>
                <w:szCs w:val="21"/>
              </w:rPr>
            </w:pPr>
            <w:r>
              <w:rPr>
                <w:rFonts w:hint="eastAsia"/>
                <w:color w:val="auto"/>
                <w:szCs w:val="21"/>
              </w:rPr>
              <w:t>4</w:t>
            </w:r>
            <w:r>
              <w:rPr>
                <w:rFonts w:hint="eastAsia"/>
                <w:color w:val="auto"/>
                <w:szCs w:val="21"/>
                <w:lang w:val="en-US" w:eastAsia="zh-CN"/>
              </w:rPr>
              <w:t>8</w:t>
            </w:r>
            <w:r>
              <w:rPr>
                <w:rFonts w:hint="eastAsia"/>
                <w:color w:val="auto"/>
                <w:szCs w:val="21"/>
              </w:rPr>
              <w:t>（初定）</w:t>
            </w:r>
          </w:p>
        </w:tc>
        <w:tc>
          <w:tcPr>
            <w:tcW w:w="1320" w:type="dxa"/>
            <w:noWrap w:val="0"/>
            <w:vAlign w:val="top"/>
          </w:tcPr>
          <w:p>
            <w:pPr>
              <w:spacing w:line="240" w:lineRule="auto"/>
              <w:jc w:val="center"/>
              <w:rPr>
                <w:rFonts w:hint="eastAsia"/>
                <w:color w:val="auto"/>
                <w:szCs w:val="21"/>
              </w:rPr>
            </w:pPr>
            <w:r>
              <w:rPr>
                <w:rFonts w:hint="eastAsia"/>
                <w:color w:val="auto"/>
                <w:szCs w:val="21"/>
              </w:rPr>
              <w:t>80（预估）</w:t>
            </w:r>
          </w:p>
        </w:tc>
        <w:tc>
          <w:tcPr>
            <w:tcW w:w="840" w:type="dxa"/>
            <w:noWrap w:val="0"/>
            <w:vAlign w:val="top"/>
          </w:tcPr>
          <w:p>
            <w:pPr>
              <w:spacing w:line="240" w:lineRule="auto"/>
              <w:jc w:val="center"/>
              <w:rPr>
                <w:rFonts w:hint="eastAsia"/>
                <w:color w:val="auto"/>
                <w:szCs w:val="21"/>
              </w:rPr>
            </w:pPr>
          </w:p>
        </w:tc>
        <w:tc>
          <w:tcPr>
            <w:tcW w:w="1950" w:type="dxa"/>
            <w:noWrap w:val="0"/>
            <w:vAlign w:val="top"/>
          </w:tcPr>
          <w:p>
            <w:pPr>
              <w:spacing w:line="240" w:lineRule="auto"/>
              <w:jc w:val="center"/>
              <w:rPr>
                <w:rFonts w:hint="eastAsia"/>
                <w:color w:val="auto"/>
                <w:szCs w:val="21"/>
              </w:rPr>
            </w:pPr>
          </w:p>
        </w:tc>
        <w:tc>
          <w:tcPr>
            <w:tcW w:w="2070" w:type="dxa"/>
            <w:noWrap w:val="0"/>
            <w:vAlign w:val="top"/>
          </w:tcPr>
          <w:p>
            <w:pPr>
              <w:spacing w:line="240" w:lineRule="auto"/>
              <w:jc w:val="center"/>
              <w:rPr>
                <w:rFonts w:hint="eastAsia"/>
                <w:color w:val="auto"/>
                <w:szCs w:val="21"/>
              </w:rPr>
            </w:pPr>
          </w:p>
        </w:tc>
        <w:tc>
          <w:tcPr>
            <w:tcW w:w="750" w:type="dxa"/>
            <w:noWrap w:val="0"/>
            <w:vAlign w:val="top"/>
          </w:tcPr>
          <w:p>
            <w:pPr>
              <w:spacing w:line="24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gridSpan w:val="3"/>
            <w:noWrap w:val="0"/>
            <w:vAlign w:val="top"/>
          </w:tcPr>
          <w:p>
            <w:pPr>
              <w:spacing w:line="240" w:lineRule="auto"/>
              <w:jc w:val="center"/>
              <w:rPr>
                <w:rFonts w:hint="eastAsia"/>
                <w:color w:val="auto"/>
                <w:szCs w:val="21"/>
              </w:rPr>
            </w:pPr>
            <w:r>
              <w:rPr>
                <w:rFonts w:hint="eastAsia"/>
                <w:color w:val="auto"/>
                <w:szCs w:val="21"/>
                <w:lang w:val="en-US" w:eastAsia="zh-CN"/>
              </w:rPr>
              <w:t>报价合计</w:t>
            </w:r>
          </w:p>
        </w:tc>
        <w:tc>
          <w:tcPr>
            <w:tcW w:w="840" w:type="dxa"/>
            <w:noWrap w:val="0"/>
            <w:vAlign w:val="top"/>
          </w:tcPr>
          <w:p>
            <w:pPr>
              <w:spacing w:line="240" w:lineRule="auto"/>
              <w:jc w:val="center"/>
              <w:rPr>
                <w:rFonts w:hint="eastAsia"/>
                <w:color w:val="auto"/>
                <w:szCs w:val="21"/>
              </w:rPr>
            </w:pPr>
          </w:p>
        </w:tc>
        <w:tc>
          <w:tcPr>
            <w:tcW w:w="1950" w:type="dxa"/>
            <w:noWrap w:val="0"/>
            <w:vAlign w:val="top"/>
          </w:tcPr>
          <w:p>
            <w:pPr>
              <w:spacing w:line="240" w:lineRule="auto"/>
              <w:jc w:val="center"/>
              <w:rPr>
                <w:rFonts w:hint="eastAsia"/>
                <w:color w:val="auto"/>
                <w:szCs w:val="21"/>
              </w:rPr>
            </w:pPr>
          </w:p>
        </w:tc>
        <w:tc>
          <w:tcPr>
            <w:tcW w:w="2070" w:type="dxa"/>
            <w:noWrap w:val="0"/>
            <w:vAlign w:val="top"/>
          </w:tcPr>
          <w:p>
            <w:pPr>
              <w:spacing w:line="240" w:lineRule="auto"/>
              <w:jc w:val="center"/>
              <w:rPr>
                <w:rFonts w:hint="eastAsia"/>
                <w:color w:val="auto"/>
                <w:szCs w:val="21"/>
              </w:rPr>
            </w:pPr>
          </w:p>
        </w:tc>
        <w:tc>
          <w:tcPr>
            <w:tcW w:w="750" w:type="dxa"/>
            <w:noWrap w:val="0"/>
            <w:vAlign w:val="top"/>
          </w:tcPr>
          <w:p>
            <w:pPr>
              <w:spacing w:line="240" w:lineRule="auto"/>
              <w:jc w:val="center"/>
              <w:rPr>
                <w:rFonts w:hint="eastAsia"/>
                <w:color w:val="auto"/>
                <w:szCs w:val="21"/>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宋体" w:hAnsi="宋体" w:eastAsia="宋体" w:cs="宋体"/>
          <w:i w:val="0"/>
          <w:iCs w:val="0"/>
          <w:caps w:val="0"/>
          <w:color w:val="auto"/>
          <w:spacing w:val="0"/>
          <w:sz w:val="24"/>
          <w:szCs w:val="24"/>
          <w:u w:val="none"/>
          <w:lang w:val="en-US" w:eastAsia="zh-CN"/>
        </w:rPr>
      </w:pPr>
      <w:r>
        <w:rPr>
          <w:rFonts w:hint="eastAsia" w:ascii="宋体" w:hAnsi="宋体" w:eastAsia="宋体" w:cs="宋体"/>
          <w:i w:val="0"/>
          <w:iCs w:val="0"/>
          <w:caps w:val="0"/>
          <w:color w:val="auto"/>
          <w:spacing w:val="0"/>
          <w:sz w:val="24"/>
          <w:szCs w:val="24"/>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4"/>
          <w:szCs w:val="24"/>
          <w:shd w:val="clear" w:fill="FFFFFF"/>
          <w:lang w:val="en-US" w:eastAsia="zh-CN"/>
        </w:rPr>
        <w:t>以上报价为含税价，税率为</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lang w:val="en-US" w:eastAsia="zh-CN"/>
        </w:rPr>
        <w:t xml:space="preserve"> % ，不含税价为</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u w:val="none"/>
          <w:shd w:val="clear" w:fill="FFFFFF"/>
          <w:lang w:val="en-US" w:eastAsia="zh-CN"/>
        </w:rPr>
        <w:t xml:space="preserve"> 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fill="FFFFFF"/>
        </w:rPr>
        <w:t>四、交货日期、交货地点</w:t>
      </w:r>
      <w:r>
        <w:rPr>
          <w:rFonts w:hint="eastAsia" w:ascii="宋体" w:hAnsi="宋体" w:eastAsia="宋体" w:cs="宋体"/>
          <w:i w:val="0"/>
          <w:iCs w:val="0"/>
          <w:caps w:val="0"/>
          <w:color w:val="auto"/>
          <w:spacing w:val="0"/>
          <w:sz w:val="24"/>
          <w:szCs w:val="24"/>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我方编排、制作版样，于要求交货时间前5日将稿件传送到承印单位，传稿完毕之日起5日内将货送至南通市招生办本市指定地点。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lang w:eastAsia="zh-CN"/>
        </w:rPr>
      </w:pPr>
      <w:r>
        <w:rPr>
          <w:rFonts w:hint="eastAsia" w:ascii="宋体" w:hAnsi="宋体" w:eastAsia="宋体" w:cs="宋体"/>
          <w:i w:val="0"/>
          <w:iCs w:val="0"/>
          <w:caps w:val="0"/>
          <w:color w:val="2B2B2B"/>
          <w:spacing w:val="0"/>
          <w:sz w:val="24"/>
          <w:szCs w:val="24"/>
          <w:shd w:val="clear" w:fill="FFFFFF"/>
        </w:rPr>
        <w:t>五、投标人资格要求及投标须提供的材料</w:t>
      </w:r>
      <w:r>
        <w:rPr>
          <w:rFonts w:hint="eastAsia" w:ascii="宋体" w:hAnsi="宋体" w:eastAsia="宋体" w:cs="宋体"/>
          <w:i w:val="0"/>
          <w:iCs w:val="0"/>
          <w:caps w:val="0"/>
          <w:color w:val="2B2B2B"/>
          <w:spacing w:val="0"/>
          <w:sz w:val="24"/>
          <w:szCs w:val="24"/>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1. 经年检的法人营业执照副本、印刷许可证(复印件加盖单位印章)；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2．法人委托书及代理人身份证复印件；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3．请将上述材料按顺序装订成册，密封（注明单位、联系人、手机）参与报价，否则不予接受。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2B2B2B"/>
          <w:spacing w:val="0"/>
          <w:sz w:val="24"/>
          <w:szCs w:val="24"/>
        </w:rPr>
      </w:pPr>
      <w:r>
        <w:rPr>
          <w:rFonts w:hint="eastAsia" w:ascii="宋体" w:hAnsi="宋体" w:eastAsia="宋体" w:cs="宋体"/>
          <w:i w:val="0"/>
          <w:iCs w:val="0"/>
          <w:caps w:val="0"/>
          <w:color w:val="2B2B2B"/>
          <w:spacing w:val="0"/>
          <w:sz w:val="24"/>
          <w:szCs w:val="24"/>
          <w:shd w:val="clear" w:fill="FFFFFF"/>
        </w:rPr>
        <w:t>4.由于招生指南印发是十分严谨的重要任务，为了确保印制质量，请参与报价的各方提供印刷品16K样品（样品打样4P铜板纸加16P新闻纸），本报选定样本后，按报样为本次《中招指南》印制质量标准，如出现质量瑕疵与报样不符的情况，承印单位须按合同总价的30%—50%予以惩罚性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fill="FFFFFF"/>
        </w:rPr>
        <w:t>六、评审程序及方法</w:t>
      </w:r>
      <w:r>
        <w:rPr>
          <w:rFonts w:hint="eastAsia" w:ascii="宋体" w:hAnsi="宋体" w:eastAsia="宋体" w:cs="宋体"/>
          <w:i w:val="0"/>
          <w:iCs w:val="0"/>
          <w:caps w:val="0"/>
          <w:color w:val="auto"/>
          <w:spacing w:val="0"/>
          <w:sz w:val="24"/>
          <w:szCs w:val="24"/>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我方询价采购小组，根据符合印刷承印需求、质量和服务相等且报价最低</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以不含税价为审定价</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的原则确定成交供应商。合同文本格式参照“印刷行业承印格式合同”。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fill="FFFFFF"/>
        </w:rPr>
        <w:t>七、结算方式及期限</w:t>
      </w:r>
      <w:r>
        <w:rPr>
          <w:rFonts w:hint="eastAsia" w:ascii="宋体" w:hAnsi="宋体" w:eastAsia="宋体" w:cs="宋体"/>
          <w:i w:val="0"/>
          <w:iCs w:val="0"/>
          <w:caps w:val="0"/>
          <w:color w:val="auto"/>
          <w:spacing w:val="0"/>
          <w:sz w:val="24"/>
          <w:szCs w:val="24"/>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履约验收合格后30个工作日一次性支付合同总价款。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八、其它 合同及价格经双方确认签字盖章后，不得更改，双方都必须按合同履行。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Style w:val="8"/>
          <w:rFonts w:hint="eastAsia" w:ascii="宋体" w:hAnsi="宋体" w:eastAsia="宋体" w:cs="宋体"/>
          <w:b/>
          <w:bCs/>
          <w:i w:val="0"/>
          <w:iCs w:val="0"/>
          <w:caps w:val="0"/>
          <w:color w:val="2B2B2B"/>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九、开标日期、地点：202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 xml:space="preserve"> 月 </w:t>
      </w: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日14：30，南通报业传媒大厦2406室。请潜在响应供应商于202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日1</w:t>
      </w:r>
      <w:r>
        <w:rPr>
          <w:rFonts w:hint="eastAsia" w:ascii="宋体" w:hAnsi="宋体" w:eastAsia="宋体" w:cs="宋体"/>
          <w:i w:val="0"/>
          <w:iCs w:val="0"/>
          <w:caps w:val="0"/>
          <w:color w:val="2B2B2B"/>
          <w:spacing w:val="0"/>
          <w:sz w:val="24"/>
          <w:szCs w:val="24"/>
          <w:shd w:val="clear" w:fill="FFFFFF"/>
        </w:rPr>
        <w:t>4：30之前，按照询价采购通知书要求将询价响应文件一式三份密封（注明《中招指南》标书）寄送至南通报业传媒集团经管办李旋收，地址：南通市世纪大道8号2406室 邮编：226018 联系电话：0513-85118880、68218829 ，E-mail: 190896297@qq.com。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Style w:val="8"/>
          <w:rFonts w:hint="eastAsia" w:ascii="宋体" w:hAnsi="宋体" w:eastAsia="宋体" w:cs="宋体"/>
          <w:b/>
          <w:bCs/>
          <w:i w:val="0"/>
          <w:iCs w:val="0"/>
          <w:caps w:val="0"/>
          <w:color w:val="2B2B2B"/>
          <w:spacing w:val="0"/>
          <w:sz w:val="24"/>
          <w:szCs w:val="2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Style w:val="8"/>
          <w:rFonts w:hint="eastAsia" w:ascii="宋体" w:hAnsi="宋体" w:eastAsia="宋体" w:cs="宋体"/>
          <w:b/>
          <w:bCs/>
          <w:i w:val="0"/>
          <w:iCs w:val="0"/>
          <w:caps w:val="0"/>
          <w:color w:val="2B2B2B"/>
          <w:spacing w:val="0"/>
          <w:sz w:val="24"/>
          <w:szCs w:val="2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Style w:val="8"/>
          <w:rFonts w:hint="eastAsia" w:ascii="宋体" w:hAnsi="宋体" w:eastAsia="宋体" w:cs="宋体"/>
          <w:b/>
          <w:bCs/>
          <w:i w:val="0"/>
          <w:iCs w:val="0"/>
          <w:caps w:val="0"/>
          <w:color w:val="2B2B2B"/>
          <w:spacing w:val="0"/>
          <w:sz w:val="24"/>
          <w:szCs w:val="24"/>
          <w:shd w:val="clear" w:fill="FFFFFF"/>
          <w:lang w:val="en-US" w:eastAsia="zh-CN"/>
        </w:rPr>
      </w:pPr>
      <w:r>
        <w:rPr>
          <w:rStyle w:val="8"/>
          <w:rFonts w:hint="eastAsia" w:ascii="宋体" w:hAnsi="宋体" w:eastAsia="宋体" w:cs="宋体"/>
          <w:b/>
          <w:bCs/>
          <w:i w:val="0"/>
          <w:iCs w:val="0"/>
          <w:caps w:val="0"/>
          <w:color w:val="2B2B2B"/>
          <w:spacing w:val="0"/>
          <w:sz w:val="24"/>
          <w:szCs w:val="24"/>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Style w:val="8"/>
          <w:rFonts w:hint="eastAsia" w:ascii="宋体" w:hAnsi="宋体" w:eastAsia="宋体" w:cs="宋体"/>
          <w:b/>
          <w:bCs/>
          <w:i w:val="0"/>
          <w:iCs w:val="0"/>
          <w:caps w:val="0"/>
          <w:color w:val="2B2B2B"/>
          <w:spacing w:val="0"/>
          <w:sz w:val="24"/>
          <w:szCs w:val="24"/>
          <w:shd w:val="clear" w:fill="FFFFFF"/>
        </w:rPr>
      </w:pPr>
      <w:r>
        <w:rPr>
          <w:rStyle w:val="8"/>
          <w:rFonts w:hint="eastAsia" w:ascii="宋体" w:hAnsi="宋体" w:eastAsia="宋体" w:cs="宋体"/>
          <w:b/>
          <w:bCs/>
          <w:i w:val="0"/>
          <w:iCs w:val="0"/>
          <w:caps w:val="0"/>
          <w:color w:val="2B2B2B"/>
          <w:spacing w:val="0"/>
          <w:sz w:val="24"/>
          <w:szCs w:val="24"/>
          <w:shd w:val="clear" w:fill="FFFFFF"/>
          <w:lang w:val="en-US" w:eastAsia="zh-CN"/>
        </w:rPr>
        <w:t xml:space="preserve">                      </w:t>
      </w:r>
      <w:r>
        <w:rPr>
          <w:rStyle w:val="8"/>
          <w:rFonts w:hint="eastAsia" w:ascii="宋体" w:hAnsi="宋体" w:eastAsia="宋体" w:cs="宋体"/>
          <w:b/>
          <w:bCs/>
          <w:i w:val="0"/>
          <w:iCs w:val="0"/>
          <w:caps w:val="0"/>
          <w:color w:val="2B2B2B"/>
          <w:spacing w:val="0"/>
          <w:sz w:val="24"/>
          <w:szCs w:val="24"/>
          <w:shd w:val="clear" w:fill="FFFFFF"/>
        </w:rPr>
        <w:t>南通日报社（南通报业传媒集团）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pPr>
      <w:r>
        <w:rPr>
          <w:rStyle w:val="8"/>
          <w:rFonts w:hint="eastAsia" w:ascii="宋体" w:hAnsi="宋体" w:eastAsia="宋体" w:cs="宋体"/>
          <w:b/>
          <w:bCs/>
          <w:i w:val="0"/>
          <w:iCs w:val="0"/>
          <w:caps w:val="0"/>
          <w:color w:val="2B2B2B"/>
          <w:spacing w:val="0"/>
          <w:sz w:val="24"/>
          <w:szCs w:val="24"/>
          <w:shd w:val="clear" w:fill="FFFFFF"/>
          <w:lang w:val="en-US" w:eastAsia="zh-CN"/>
        </w:rPr>
        <w:t xml:space="preserve">                                          </w:t>
      </w:r>
      <w:r>
        <w:rPr>
          <w:rStyle w:val="8"/>
          <w:rFonts w:hint="eastAsia" w:ascii="宋体" w:hAnsi="宋体" w:eastAsia="宋体" w:cs="宋体"/>
          <w:b/>
          <w:bCs/>
          <w:i w:val="0"/>
          <w:iCs w:val="0"/>
          <w:caps w:val="0"/>
          <w:color w:val="2B2B2B"/>
          <w:spacing w:val="0"/>
          <w:sz w:val="24"/>
          <w:szCs w:val="24"/>
          <w:shd w:val="clear" w:fill="FFFFFF"/>
        </w:rPr>
        <w:t>202</w:t>
      </w:r>
      <w:r>
        <w:rPr>
          <w:rStyle w:val="8"/>
          <w:rFonts w:hint="eastAsia" w:ascii="宋体" w:hAnsi="宋体" w:eastAsia="宋体" w:cs="宋体"/>
          <w:b/>
          <w:bCs/>
          <w:i w:val="0"/>
          <w:iCs w:val="0"/>
          <w:caps w:val="0"/>
          <w:color w:val="2B2B2B"/>
          <w:spacing w:val="0"/>
          <w:sz w:val="24"/>
          <w:szCs w:val="24"/>
          <w:shd w:val="clear" w:fill="FFFFFF"/>
          <w:lang w:val="en-US" w:eastAsia="zh-CN"/>
        </w:rPr>
        <w:t>2</w:t>
      </w:r>
      <w:r>
        <w:rPr>
          <w:rStyle w:val="8"/>
          <w:rFonts w:hint="eastAsia" w:ascii="宋体" w:hAnsi="宋体" w:eastAsia="宋体" w:cs="宋体"/>
          <w:b/>
          <w:bCs/>
          <w:i w:val="0"/>
          <w:iCs w:val="0"/>
          <w:caps w:val="0"/>
          <w:color w:val="2B2B2B"/>
          <w:spacing w:val="0"/>
          <w:sz w:val="24"/>
          <w:szCs w:val="24"/>
          <w:shd w:val="clear" w:fill="FFFFFF"/>
        </w:rPr>
        <w:t>年4月</w:t>
      </w:r>
      <w:r>
        <w:rPr>
          <w:rStyle w:val="8"/>
          <w:rFonts w:hint="eastAsia" w:ascii="宋体" w:hAnsi="宋体" w:eastAsia="宋体" w:cs="宋体"/>
          <w:b/>
          <w:bCs/>
          <w:i w:val="0"/>
          <w:iCs w:val="0"/>
          <w:caps w:val="0"/>
          <w:color w:val="2B2B2B"/>
          <w:spacing w:val="0"/>
          <w:sz w:val="24"/>
          <w:szCs w:val="24"/>
          <w:shd w:val="clear" w:fill="FFFFFF"/>
          <w:lang w:val="en-US" w:eastAsia="zh-CN"/>
        </w:rPr>
        <w:t>25</w:t>
      </w:r>
      <w:r>
        <w:rPr>
          <w:rStyle w:val="8"/>
          <w:rFonts w:hint="eastAsia" w:ascii="宋体" w:hAnsi="宋体" w:eastAsia="宋体" w:cs="宋体"/>
          <w:b/>
          <w:bCs/>
          <w:i w:val="0"/>
          <w:iCs w:val="0"/>
          <w:caps w:val="0"/>
          <w:color w:val="2B2B2B"/>
          <w:spacing w:val="0"/>
          <w:sz w:val="24"/>
          <w:szCs w:val="24"/>
          <w:shd w:val="clear" w:fill="FFFFFF"/>
        </w:rPr>
        <w:t>日</w:t>
      </w:r>
    </w:p>
    <w:p/>
    <w:sectPr>
      <w:footerReference r:id="rId3" w:type="default"/>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01A0A"/>
    <w:rsid w:val="00631A58"/>
    <w:rsid w:val="050321A4"/>
    <w:rsid w:val="08501523"/>
    <w:rsid w:val="08D37B58"/>
    <w:rsid w:val="0D601A0A"/>
    <w:rsid w:val="1EA917C6"/>
    <w:rsid w:val="1EAC4C7B"/>
    <w:rsid w:val="1FBC6CE7"/>
    <w:rsid w:val="20CE56C6"/>
    <w:rsid w:val="213845A4"/>
    <w:rsid w:val="25BB1670"/>
    <w:rsid w:val="27E679F4"/>
    <w:rsid w:val="2C330E83"/>
    <w:rsid w:val="2DAF530E"/>
    <w:rsid w:val="32987598"/>
    <w:rsid w:val="36665B62"/>
    <w:rsid w:val="398C23F8"/>
    <w:rsid w:val="3A43603C"/>
    <w:rsid w:val="3D687B84"/>
    <w:rsid w:val="43947908"/>
    <w:rsid w:val="4A6F4C2B"/>
    <w:rsid w:val="58ED4BF9"/>
    <w:rsid w:val="5D072E59"/>
    <w:rsid w:val="65BE454A"/>
    <w:rsid w:val="67694A84"/>
    <w:rsid w:val="6B136FFE"/>
    <w:rsid w:val="6BBE5887"/>
    <w:rsid w:val="73993510"/>
    <w:rsid w:val="744F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1199</Words>
  <Characters>1384</Characters>
  <Lines>0</Lines>
  <Paragraphs>0</Paragraphs>
  <TotalTime>7</TotalTime>
  <ScaleCrop>false</ScaleCrop>
  <LinksUpToDate>false</LinksUpToDate>
  <CharactersWithSpaces>1495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2021-05-07T08:52:00Z</dcterms:created>
  <dc:creator>ntrb1</dc:creator>
  <cp:lastModifiedBy>ntrb1</cp:lastModifiedBy>
  <dcterms:modified xsi:type="dcterms:W3CDTF">2022-04-24T09:14:51Z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A21EB568055E4EECA9EEE5AB45BB4FF7</vt:lpwstr>
  </property>
  <property fmtid="{D5CDD505-2E9C-101B-9397-08002B2CF9AE}" pid="4" name="commondata">
    <vt:lpwstr>eyJoZGlkIjoiMzNkMjJiMGYzMzE5M2M1YTUxZTBhYjY2NzVkZjM0MmYifQ==</vt:lpwstr>
  </property>
</Properties>
</file>