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宋体" w:hAnsi="宋体" w:eastAsia="宋体" w:cs="宋体"/>
          <w:b/>
          <w:bCs/>
          <w:i w:val="0"/>
          <w:iCs w:val="0"/>
          <w:caps w:val="0"/>
          <w:color w:val="auto"/>
          <w:spacing w:val="0"/>
          <w:sz w:val="32"/>
          <w:szCs w:val="32"/>
        </w:rPr>
      </w:pPr>
      <w:r>
        <w:rPr>
          <w:rFonts w:hint="eastAsia" w:cs="宋体"/>
          <w:b/>
          <w:bCs/>
          <w:i w:val="0"/>
          <w:iCs w:val="0"/>
          <w:caps w:val="0"/>
          <w:color w:val="auto"/>
          <w:spacing w:val="0"/>
          <w:sz w:val="32"/>
          <w:szCs w:val="32"/>
          <w:shd w:val="clear" w:fill="FFFFFF"/>
          <w:lang w:val="en-US" w:eastAsia="zh-CN"/>
        </w:rPr>
        <w:t xml:space="preserve">  </w:t>
      </w:r>
      <w:bookmarkStart w:id="0" w:name="_GoBack"/>
      <w:bookmarkEnd w:id="0"/>
      <w:r>
        <w:rPr>
          <w:rFonts w:hint="eastAsia" w:ascii="宋体" w:hAnsi="宋体" w:eastAsia="宋体" w:cs="宋体"/>
          <w:b/>
          <w:bCs/>
          <w:i w:val="0"/>
          <w:iCs w:val="0"/>
          <w:caps w:val="0"/>
          <w:color w:val="auto"/>
          <w:spacing w:val="0"/>
          <w:sz w:val="32"/>
          <w:szCs w:val="32"/>
          <w:shd w:val="clear" w:fill="FFFFFF"/>
        </w:rPr>
        <w:t>202</w:t>
      </w:r>
      <w:r>
        <w:rPr>
          <w:rFonts w:hint="eastAsia" w:cs="宋体"/>
          <w:b/>
          <w:bCs/>
          <w:i w:val="0"/>
          <w:iCs w:val="0"/>
          <w:caps w:val="0"/>
          <w:color w:val="auto"/>
          <w:spacing w:val="0"/>
          <w:sz w:val="32"/>
          <w:szCs w:val="32"/>
          <w:shd w:val="clear" w:fill="FFFFFF"/>
          <w:lang w:val="en-US" w:eastAsia="zh-CN"/>
        </w:rPr>
        <w:t>2</w:t>
      </w:r>
      <w:r>
        <w:rPr>
          <w:rFonts w:hint="eastAsia" w:ascii="宋体" w:hAnsi="宋体" w:eastAsia="宋体" w:cs="宋体"/>
          <w:b/>
          <w:bCs/>
          <w:i w:val="0"/>
          <w:iCs w:val="0"/>
          <w:caps w:val="0"/>
          <w:color w:val="auto"/>
          <w:spacing w:val="0"/>
          <w:sz w:val="32"/>
          <w:szCs w:val="32"/>
          <w:shd w:val="clear" w:fill="FFFFFF"/>
        </w:rPr>
        <w:t>南通《中招指南》印刷费用询价通知书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shd w:val="clear" w:fill="FFFFFF"/>
        </w:rPr>
        <w:t>本集团（公司）因联合南通市教育考试院出版202</w:t>
      </w:r>
      <w:r>
        <w:rPr>
          <w:rFonts w:hint="eastAsia" w:ascii="宋体" w:hAnsi="宋体" w:eastAsia="宋体" w:cs="宋体"/>
          <w:i w:val="0"/>
          <w:iCs w:val="0"/>
          <w:caps w:val="0"/>
          <w:color w:val="2B2B2B"/>
          <w:spacing w:val="0"/>
          <w:sz w:val="24"/>
          <w:szCs w:val="24"/>
          <w:shd w:val="clear" w:fill="FFFFFF"/>
          <w:lang w:val="en-US" w:eastAsia="zh-CN"/>
        </w:rPr>
        <w:t>2</w:t>
      </w:r>
      <w:r>
        <w:rPr>
          <w:rFonts w:hint="eastAsia" w:ascii="宋体" w:hAnsi="宋体" w:eastAsia="宋体" w:cs="宋体"/>
          <w:i w:val="0"/>
          <w:iCs w:val="0"/>
          <w:caps w:val="0"/>
          <w:color w:val="2B2B2B"/>
          <w:spacing w:val="0"/>
          <w:sz w:val="24"/>
          <w:szCs w:val="24"/>
          <w:shd w:val="clear" w:fill="FFFFFF"/>
        </w:rPr>
        <w:t>南通《中招指南》需要，特通过《南通网》公开发布询价采购通知书。采购人经询价小组评议结果报告结果情况，确定202</w:t>
      </w:r>
      <w:r>
        <w:rPr>
          <w:rFonts w:hint="eastAsia" w:ascii="宋体" w:hAnsi="宋体" w:eastAsia="宋体" w:cs="宋体"/>
          <w:i w:val="0"/>
          <w:iCs w:val="0"/>
          <w:caps w:val="0"/>
          <w:color w:val="2B2B2B"/>
          <w:spacing w:val="0"/>
          <w:sz w:val="24"/>
          <w:szCs w:val="24"/>
          <w:shd w:val="clear" w:fill="FFFFFF"/>
          <w:lang w:val="en-US" w:eastAsia="zh-CN"/>
        </w:rPr>
        <w:t>2</w:t>
      </w:r>
      <w:r>
        <w:rPr>
          <w:rFonts w:hint="eastAsia" w:ascii="宋体" w:hAnsi="宋体" w:eastAsia="宋体" w:cs="宋体"/>
          <w:i w:val="0"/>
          <w:iCs w:val="0"/>
          <w:caps w:val="0"/>
          <w:color w:val="2B2B2B"/>
          <w:spacing w:val="0"/>
          <w:sz w:val="24"/>
          <w:szCs w:val="24"/>
          <w:shd w:val="clear" w:fill="FFFFFF"/>
        </w:rPr>
        <w:t>南通《中招指南》手册印刷承印单位。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shd w:val="clear" w:fill="FFFFFF"/>
        </w:rPr>
        <w:t>一、印刷规格、数量及要求（页数按实计算，上下浮动不超过10%）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shd w:val="clear" w:fill="FFFFFF"/>
        </w:rPr>
        <w:t>1.南通大市、通州区16K版本： 规格：25.7cm*18.5cm，其中封面和插页约48P使用128G铜版纸、内页约64P使用45G-48G优等新闻纸，工艺要求：正反4色，骑马钉装订，数量明细见下表，质量要求：国家标准。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shd w:val="clear" w:fill="FFFFFF"/>
        </w:rPr>
        <w:t>2. 市区、启东市16K版本：规格: 25.7cm*18.5cm，其中封面和插页约48P</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shd w:val="clear" w:fill="FFFFFF"/>
        </w:rPr>
        <w:t>使用128G铜版纸、内页约80P使用45G-48G优等新闻纸，工艺要求：正反4色，骑马订，数量明细见下表，质量要求：国家标准。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shd w:val="clear" w:fill="FFFFFF"/>
        </w:rPr>
        <w:t>二、采购项目预算金额：≤</w:t>
      </w:r>
      <w:r>
        <w:rPr>
          <w:rFonts w:hint="eastAsia" w:ascii="宋体" w:hAnsi="宋体" w:eastAsia="宋体" w:cs="宋体"/>
          <w:i w:val="0"/>
          <w:iCs w:val="0"/>
          <w:caps w:val="0"/>
          <w:color w:val="2B2B2B"/>
          <w:spacing w:val="0"/>
          <w:sz w:val="24"/>
          <w:szCs w:val="24"/>
          <w:shd w:val="clear" w:fill="FFFFFF"/>
          <w:lang w:val="en-US" w:eastAsia="zh-CN"/>
        </w:rPr>
        <w:t>21</w:t>
      </w:r>
      <w:r>
        <w:rPr>
          <w:rFonts w:hint="eastAsia" w:ascii="宋体" w:hAnsi="宋体" w:eastAsia="宋体" w:cs="宋体"/>
          <w:i w:val="0"/>
          <w:iCs w:val="0"/>
          <w:caps w:val="0"/>
          <w:color w:val="2B2B2B"/>
          <w:spacing w:val="0"/>
          <w:sz w:val="24"/>
          <w:szCs w:val="24"/>
          <w:shd w:val="clear" w:fill="FFFFFF"/>
        </w:rPr>
        <w:t>万元（</w:t>
      </w:r>
      <w:r>
        <w:rPr>
          <w:rFonts w:hint="eastAsia" w:ascii="宋体" w:hAnsi="宋体" w:eastAsia="宋体" w:cs="宋体"/>
          <w:i w:val="0"/>
          <w:iCs w:val="0"/>
          <w:caps w:val="0"/>
          <w:color w:val="2B2B2B"/>
          <w:spacing w:val="0"/>
          <w:sz w:val="24"/>
          <w:szCs w:val="24"/>
          <w:shd w:val="clear" w:fill="FFFFFF"/>
          <w:lang w:val="en-US" w:eastAsia="zh-CN"/>
        </w:rPr>
        <w:t>开具</w:t>
      </w:r>
      <w:r>
        <w:rPr>
          <w:rFonts w:hint="eastAsia" w:ascii="宋体" w:hAnsi="宋体" w:eastAsia="宋体" w:cs="宋体"/>
          <w:i w:val="0"/>
          <w:iCs w:val="0"/>
          <w:caps w:val="0"/>
          <w:color w:val="2B2B2B"/>
          <w:spacing w:val="0"/>
          <w:sz w:val="24"/>
          <w:szCs w:val="24"/>
          <w:shd w:val="clear" w:fill="FFFFFF"/>
        </w:rPr>
        <w:t>增值税专用</w:t>
      </w:r>
      <w:r>
        <w:rPr>
          <w:rFonts w:hint="eastAsia" w:ascii="宋体" w:hAnsi="宋体" w:eastAsia="宋体" w:cs="宋体"/>
          <w:i w:val="0"/>
          <w:iCs w:val="0"/>
          <w:caps w:val="0"/>
          <w:color w:val="2B2B2B"/>
          <w:spacing w:val="0"/>
          <w:sz w:val="24"/>
          <w:szCs w:val="24"/>
          <w:shd w:val="clear" w:fill="FFFFFF"/>
          <w:lang w:val="en-US" w:eastAsia="zh-CN"/>
        </w:rPr>
        <w:t>发票</w:t>
      </w:r>
      <w:r>
        <w:rPr>
          <w:rFonts w:hint="eastAsia" w:ascii="宋体" w:hAnsi="宋体" w:eastAsia="宋体" w:cs="宋体"/>
          <w:i w:val="0"/>
          <w:iCs w:val="0"/>
          <w:caps w:val="0"/>
          <w:color w:val="2B2B2B"/>
          <w:spacing w:val="0"/>
          <w:sz w:val="24"/>
          <w:szCs w:val="24"/>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shd w:val="clear" w:fill="FFFFFF"/>
        </w:rPr>
        <w:t>三、报价清单明细附表：本次《中招指南》按4个不同版本印刷，各版本总页数不同，按实际印刷页数结算，报价单请按报价单明细表要求分别填写一次报出不得更改的报价及附单价（注明铜版纸、新闻纸品牌，含送到指定地点运费及含13%增值税率），并提交4P128G铜版纸、8P内页45G-48G优等新闻纸打样样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响应报价单（含税）：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xml:space="preserve">铜版纸品牌、克数：   </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 xml:space="preserve"> 新闻纸品牌、克数：</w:t>
      </w:r>
    </w:p>
    <w:tbl>
      <w:tblPr>
        <w:tblStyle w:val="6"/>
        <w:tblpPr w:leftFromText="180" w:rightFromText="180" w:vertAnchor="text" w:horzAnchor="page" w:tblpX="1530" w:tblpY="447"/>
        <w:tblOverlap w:val="never"/>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335"/>
        <w:gridCol w:w="1320"/>
        <w:gridCol w:w="840"/>
        <w:gridCol w:w="1950"/>
        <w:gridCol w:w="207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noWrap w:val="0"/>
            <w:vAlign w:val="top"/>
          </w:tcPr>
          <w:p>
            <w:pPr>
              <w:spacing w:line="240" w:lineRule="auto"/>
              <w:jc w:val="center"/>
              <w:rPr>
                <w:rFonts w:hint="eastAsia"/>
                <w:color w:val="auto"/>
                <w:szCs w:val="21"/>
              </w:rPr>
            </w:pPr>
            <w:r>
              <w:rPr>
                <w:rFonts w:hint="eastAsia"/>
                <w:color w:val="auto"/>
                <w:szCs w:val="21"/>
              </w:rPr>
              <w:t>份数</w:t>
            </w:r>
          </w:p>
        </w:tc>
        <w:tc>
          <w:tcPr>
            <w:tcW w:w="1335" w:type="dxa"/>
            <w:noWrap w:val="0"/>
            <w:vAlign w:val="top"/>
          </w:tcPr>
          <w:p>
            <w:pPr>
              <w:spacing w:line="240" w:lineRule="auto"/>
              <w:rPr>
                <w:rFonts w:hint="eastAsia"/>
                <w:color w:val="auto"/>
                <w:szCs w:val="21"/>
              </w:rPr>
            </w:pPr>
            <w:r>
              <w:rPr>
                <w:rFonts w:hint="eastAsia"/>
                <w:color w:val="auto"/>
                <w:szCs w:val="21"/>
              </w:rPr>
              <w:t>铜版纸 P数</w:t>
            </w:r>
          </w:p>
        </w:tc>
        <w:tc>
          <w:tcPr>
            <w:tcW w:w="1320" w:type="dxa"/>
            <w:noWrap w:val="0"/>
            <w:vAlign w:val="top"/>
          </w:tcPr>
          <w:p>
            <w:pPr>
              <w:spacing w:line="240" w:lineRule="auto"/>
              <w:jc w:val="center"/>
              <w:rPr>
                <w:rFonts w:hint="eastAsia"/>
                <w:color w:val="auto"/>
                <w:szCs w:val="21"/>
              </w:rPr>
            </w:pPr>
            <w:r>
              <w:rPr>
                <w:rFonts w:hint="eastAsia"/>
                <w:color w:val="auto"/>
                <w:szCs w:val="21"/>
              </w:rPr>
              <w:t>新闻纸P数</w:t>
            </w:r>
          </w:p>
        </w:tc>
        <w:tc>
          <w:tcPr>
            <w:tcW w:w="840" w:type="dxa"/>
            <w:noWrap w:val="0"/>
            <w:vAlign w:val="top"/>
          </w:tcPr>
          <w:p>
            <w:pPr>
              <w:spacing w:line="240" w:lineRule="auto"/>
              <w:jc w:val="center"/>
              <w:rPr>
                <w:rFonts w:hint="eastAsia"/>
                <w:color w:val="auto"/>
                <w:szCs w:val="21"/>
              </w:rPr>
            </w:pPr>
            <w:r>
              <w:rPr>
                <w:rFonts w:hint="eastAsia"/>
                <w:color w:val="auto"/>
                <w:szCs w:val="21"/>
              </w:rPr>
              <w:t>合计</w:t>
            </w:r>
          </w:p>
        </w:tc>
        <w:tc>
          <w:tcPr>
            <w:tcW w:w="1950" w:type="dxa"/>
            <w:noWrap w:val="0"/>
            <w:vAlign w:val="top"/>
          </w:tcPr>
          <w:p>
            <w:pPr>
              <w:spacing w:line="240" w:lineRule="auto"/>
              <w:rPr>
                <w:rFonts w:hint="eastAsia"/>
                <w:color w:val="auto"/>
                <w:szCs w:val="21"/>
              </w:rPr>
            </w:pPr>
            <w:r>
              <w:rPr>
                <w:rFonts w:hint="eastAsia"/>
                <w:color w:val="auto"/>
                <w:szCs w:val="21"/>
              </w:rPr>
              <w:t>铜版纸每16p单价</w:t>
            </w:r>
          </w:p>
        </w:tc>
        <w:tc>
          <w:tcPr>
            <w:tcW w:w="2070" w:type="dxa"/>
            <w:noWrap w:val="0"/>
            <w:vAlign w:val="top"/>
          </w:tcPr>
          <w:p>
            <w:pPr>
              <w:spacing w:line="240" w:lineRule="auto"/>
              <w:jc w:val="center"/>
              <w:rPr>
                <w:rFonts w:hint="eastAsia"/>
                <w:color w:val="auto"/>
                <w:szCs w:val="21"/>
              </w:rPr>
            </w:pPr>
            <w:r>
              <w:rPr>
                <w:rFonts w:hint="eastAsia"/>
                <w:color w:val="auto"/>
                <w:szCs w:val="21"/>
              </w:rPr>
              <w:t>新闻纸每16p单价</w:t>
            </w:r>
          </w:p>
        </w:tc>
        <w:tc>
          <w:tcPr>
            <w:tcW w:w="750" w:type="dxa"/>
            <w:noWrap w:val="0"/>
            <w:vAlign w:val="top"/>
          </w:tcPr>
          <w:p>
            <w:pPr>
              <w:spacing w:line="240" w:lineRule="auto"/>
              <w:jc w:val="center"/>
              <w:rPr>
                <w:rFonts w:hint="eastAsia"/>
                <w:color w:val="auto"/>
                <w:szCs w:val="21"/>
              </w:rPr>
            </w:pPr>
            <w:r>
              <w:rPr>
                <w:rFonts w:hint="eastAsia"/>
                <w:color w:val="auto"/>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noWrap w:val="0"/>
            <w:vAlign w:val="top"/>
          </w:tcPr>
          <w:p>
            <w:pPr>
              <w:spacing w:line="240" w:lineRule="auto"/>
              <w:jc w:val="center"/>
              <w:rPr>
                <w:color w:val="auto"/>
                <w:szCs w:val="21"/>
              </w:rPr>
            </w:pPr>
            <w:r>
              <w:rPr>
                <w:rFonts w:hint="eastAsia"/>
                <w:color w:val="auto"/>
                <w:szCs w:val="21"/>
              </w:rPr>
              <w:t>3</w:t>
            </w:r>
            <w:r>
              <w:rPr>
                <w:rFonts w:hint="eastAsia"/>
                <w:color w:val="auto"/>
                <w:szCs w:val="21"/>
                <w:lang w:val="en-US" w:eastAsia="zh-CN"/>
              </w:rPr>
              <w:t>20</w:t>
            </w:r>
            <w:r>
              <w:rPr>
                <w:rFonts w:hint="eastAsia"/>
                <w:color w:val="auto"/>
                <w:szCs w:val="21"/>
              </w:rPr>
              <w:t>00</w:t>
            </w:r>
          </w:p>
        </w:tc>
        <w:tc>
          <w:tcPr>
            <w:tcW w:w="1335" w:type="dxa"/>
            <w:noWrap w:val="0"/>
            <w:vAlign w:val="top"/>
          </w:tcPr>
          <w:p>
            <w:pPr>
              <w:spacing w:line="240" w:lineRule="auto"/>
              <w:jc w:val="center"/>
              <w:rPr>
                <w:rFonts w:hint="eastAsia"/>
                <w:color w:val="auto"/>
                <w:szCs w:val="21"/>
              </w:rPr>
            </w:pPr>
            <w:r>
              <w:rPr>
                <w:rFonts w:hint="eastAsia"/>
                <w:color w:val="auto"/>
                <w:szCs w:val="21"/>
              </w:rPr>
              <w:t>4</w:t>
            </w:r>
            <w:r>
              <w:rPr>
                <w:rFonts w:hint="eastAsia"/>
                <w:color w:val="auto"/>
                <w:szCs w:val="21"/>
                <w:lang w:val="en-US" w:eastAsia="zh-CN"/>
              </w:rPr>
              <w:t>8</w:t>
            </w:r>
            <w:r>
              <w:rPr>
                <w:rFonts w:hint="eastAsia"/>
                <w:color w:val="auto"/>
                <w:szCs w:val="21"/>
              </w:rPr>
              <w:t>（初定）</w:t>
            </w:r>
          </w:p>
        </w:tc>
        <w:tc>
          <w:tcPr>
            <w:tcW w:w="1320" w:type="dxa"/>
            <w:noWrap w:val="0"/>
            <w:vAlign w:val="top"/>
          </w:tcPr>
          <w:p>
            <w:pPr>
              <w:spacing w:line="240" w:lineRule="auto"/>
              <w:jc w:val="center"/>
              <w:rPr>
                <w:rFonts w:hint="eastAsia"/>
                <w:color w:val="auto"/>
                <w:szCs w:val="21"/>
              </w:rPr>
            </w:pPr>
            <w:r>
              <w:rPr>
                <w:rFonts w:hint="eastAsia"/>
                <w:color w:val="auto"/>
                <w:szCs w:val="21"/>
                <w:lang w:val="en-US" w:eastAsia="zh-CN"/>
              </w:rPr>
              <w:t>64</w:t>
            </w:r>
            <w:r>
              <w:rPr>
                <w:rFonts w:hint="eastAsia"/>
                <w:color w:val="auto"/>
                <w:szCs w:val="21"/>
              </w:rPr>
              <w:t>（预估）</w:t>
            </w:r>
          </w:p>
        </w:tc>
        <w:tc>
          <w:tcPr>
            <w:tcW w:w="840" w:type="dxa"/>
            <w:noWrap w:val="0"/>
            <w:vAlign w:val="top"/>
          </w:tcPr>
          <w:p>
            <w:pPr>
              <w:spacing w:line="240" w:lineRule="auto"/>
              <w:jc w:val="center"/>
              <w:rPr>
                <w:rFonts w:hint="eastAsia"/>
                <w:color w:val="auto"/>
                <w:szCs w:val="21"/>
              </w:rPr>
            </w:pPr>
          </w:p>
        </w:tc>
        <w:tc>
          <w:tcPr>
            <w:tcW w:w="1950" w:type="dxa"/>
            <w:noWrap w:val="0"/>
            <w:vAlign w:val="top"/>
          </w:tcPr>
          <w:p>
            <w:pPr>
              <w:spacing w:line="240" w:lineRule="auto"/>
              <w:jc w:val="center"/>
              <w:rPr>
                <w:rFonts w:hint="eastAsia"/>
                <w:color w:val="auto"/>
                <w:szCs w:val="21"/>
              </w:rPr>
            </w:pPr>
          </w:p>
        </w:tc>
        <w:tc>
          <w:tcPr>
            <w:tcW w:w="2070" w:type="dxa"/>
            <w:noWrap w:val="0"/>
            <w:vAlign w:val="top"/>
          </w:tcPr>
          <w:p>
            <w:pPr>
              <w:spacing w:line="240" w:lineRule="auto"/>
              <w:jc w:val="center"/>
              <w:rPr>
                <w:rFonts w:hint="eastAsia"/>
                <w:color w:val="auto"/>
                <w:szCs w:val="21"/>
              </w:rPr>
            </w:pPr>
          </w:p>
        </w:tc>
        <w:tc>
          <w:tcPr>
            <w:tcW w:w="750" w:type="dxa"/>
            <w:noWrap w:val="0"/>
            <w:vAlign w:val="top"/>
          </w:tcPr>
          <w:p>
            <w:pPr>
              <w:spacing w:line="24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noWrap w:val="0"/>
            <w:vAlign w:val="top"/>
          </w:tcPr>
          <w:p>
            <w:pPr>
              <w:spacing w:line="240" w:lineRule="auto"/>
              <w:jc w:val="center"/>
              <w:rPr>
                <w:color w:val="auto"/>
                <w:szCs w:val="21"/>
              </w:rPr>
            </w:pPr>
            <w:r>
              <w:rPr>
                <w:rFonts w:hint="eastAsia"/>
                <w:color w:val="auto"/>
                <w:szCs w:val="21"/>
              </w:rPr>
              <w:t>1</w:t>
            </w:r>
            <w:r>
              <w:rPr>
                <w:rFonts w:hint="eastAsia"/>
                <w:color w:val="auto"/>
                <w:szCs w:val="21"/>
                <w:lang w:val="en-US" w:eastAsia="zh-CN"/>
              </w:rPr>
              <w:t>25</w:t>
            </w:r>
            <w:r>
              <w:rPr>
                <w:rFonts w:hint="eastAsia"/>
                <w:color w:val="auto"/>
                <w:szCs w:val="21"/>
              </w:rPr>
              <w:t>00</w:t>
            </w:r>
          </w:p>
        </w:tc>
        <w:tc>
          <w:tcPr>
            <w:tcW w:w="1335" w:type="dxa"/>
            <w:noWrap w:val="0"/>
            <w:vAlign w:val="top"/>
          </w:tcPr>
          <w:p>
            <w:pPr>
              <w:spacing w:line="240" w:lineRule="auto"/>
              <w:jc w:val="center"/>
              <w:rPr>
                <w:rFonts w:hint="eastAsia"/>
                <w:color w:val="auto"/>
                <w:szCs w:val="21"/>
              </w:rPr>
            </w:pPr>
            <w:r>
              <w:rPr>
                <w:rFonts w:hint="eastAsia"/>
                <w:color w:val="auto"/>
                <w:szCs w:val="21"/>
              </w:rPr>
              <w:t>4</w:t>
            </w:r>
            <w:r>
              <w:rPr>
                <w:rFonts w:hint="eastAsia"/>
                <w:color w:val="auto"/>
                <w:szCs w:val="21"/>
                <w:lang w:val="en-US" w:eastAsia="zh-CN"/>
              </w:rPr>
              <w:t>8</w:t>
            </w:r>
            <w:r>
              <w:rPr>
                <w:rFonts w:hint="eastAsia"/>
                <w:color w:val="auto"/>
                <w:szCs w:val="21"/>
              </w:rPr>
              <w:t>（初定）</w:t>
            </w:r>
          </w:p>
        </w:tc>
        <w:tc>
          <w:tcPr>
            <w:tcW w:w="1320" w:type="dxa"/>
            <w:noWrap w:val="0"/>
            <w:vAlign w:val="top"/>
          </w:tcPr>
          <w:p>
            <w:pPr>
              <w:spacing w:line="240" w:lineRule="auto"/>
              <w:jc w:val="center"/>
              <w:rPr>
                <w:rFonts w:hint="eastAsia"/>
                <w:color w:val="auto"/>
                <w:szCs w:val="21"/>
              </w:rPr>
            </w:pPr>
            <w:r>
              <w:rPr>
                <w:rFonts w:hint="eastAsia"/>
                <w:color w:val="auto"/>
                <w:szCs w:val="21"/>
              </w:rPr>
              <w:t>80（预估）</w:t>
            </w:r>
          </w:p>
        </w:tc>
        <w:tc>
          <w:tcPr>
            <w:tcW w:w="840" w:type="dxa"/>
            <w:noWrap w:val="0"/>
            <w:vAlign w:val="top"/>
          </w:tcPr>
          <w:p>
            <w:pPr>
              <w:spacing w:line="240" w:lineRule="auto"/>
              <w:jc w:val="center"/>
              <w:rPr>
                <w:rFonts w:hint="eastAsia"/>
                <w:color w:val="auto"/>
                <w:szCs w:val="21"/>
              </w:rPr>
            </w:pPr>
          </w:p>
        </w:tc>
        <w:tc>
          <w:tcPr>
            <w:tcW w:w="1950" w:type="dxa"/>
            <w:noWrap w:val="0"/>
            <w:vAlign w:val="top"/>
          </w:tcPr>
          <w:p>
            <w:pPr>
              <w:spacing w:line="240" w:lineRule="auto"/>
              <w:jc w:val="center"/>
              <w:rPr>
                <w:rFonts w:hint="eastAsia"/>
                <w:color w:val="auto"/>
                <w:szCs w:val="21"/>
              </w:rPr>
            </w:pPr>
          </w:p>
        </w:tc>
        <w:tc>
          <w:tcPr>
            <w:tcW w:w="2070" w:type="dxa"/>
            <w:noWrap w:val="0"/>
            <w:vAlign w:val="top"/>
          </w:tcPr>
          <w:p>
            <w:pPr>
              <w:spacing w:line="240" w:lineRule="auto"/>
              <w:jc w:val="center"/>
              <w:rPr>
                <w:rFonts w:hint="eastAsia"/>
                <w:color w:val="auto"/>
                <w:szCs w:val="21"/>
              </w:rPr>
            </w:pPr>
          </w:p>
        </w:tc>
        <w:tc>
          <w:tcPr>
            <w:tcW w:w="750" w:type="dxa"/>
            <w:noWrap w:val="0"/>
            <w:vAlign w:val="top"/>
          </w:tcPr>
          <w:p>
            <w:pPr>
              <w:spacing w:line="240" w:lineRule="auto"/>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noWrap w:val="0"/>
            <w:vAlign w:val="top"/>
          </w:tcPr>
          <w:p>
            <w:pPr>
              <w:spacing w:line="240" w:lineRule="auto"/>
              <w:jc w:val="center"/>
              <w:rPr>
                <w:rFonts w:hint="default" w:eastAsiaTheme="minorEastAsia"/>
                <w:color w:val="auto"/>
                <w:szCs w:val="21"/>
                <w:lang w:val="en-US" w:eastAsia="zh-CN"/>
              </w:rPr>
            </w:pPr>
            <w:r>
              <w:rPr>
                <w:rFonts w:hint="eastAsia"/>
                <w:color w:val="auto"/>
                <w:szCs w:val="21"/>
                <w:lang w:val="en-US" w:eastAsia="zh-CN"/>
              </w:rPr>
              <w:t>8000</w:t>
            </w:r>
          </w:p>
        </w:tc>
        <w:tc>
          <w:tcPr>
            <w:tcW w:w="1335" w:type="dxa"/>
            <w:noWrap w:val="0"/>
            <w:vAlign w:val="top"/>
          </w:tcPr>
          <w:p>
            <w:pPr>
              <w:spacing w:line="240" w:lineRule="auto"/>
              <w:jc w:val="center"/>
              <w:rPr>
                <w:rFonts w:hint="eastAsia"/>
                <w:color w:val="auto"/>
                <w:szCs w:val="21"/>
              </w:rPr>
            </w:pPr>
            <w:r>
              <w:rPr>
                <w:rFonts w:hint="eastAsia"/>
                <w:color w:val="auto"/>
                <w:szCs w:val="21"/>
              </w:rPr>
              <w:t>4</w:t>
            </w:r>
            <w:r>
              <w:rPr>
                <w:rFonts w:hint="eastAsia"/>
                <w:color w:val="auto"/>
                <w:szCs w:val="21"/>
                <w:lang w:val="en-US" w:eastAsia="zh-CN"/>
              </w:rPr>
              <w:t>8</w:t>
            </w:r>
            <w:r>
              <w:rPr>
                <w:rFonts w:hint="eastAsia"/>
                <w:color w:val="auto"/>
                <w:szCs w:val="21"/>
              </w:rPr>
              <w:t>（初定）</w:t>
            </w:r>
          </w:p>
        </w:tc>
        <w:tc>
          <w:tcPr>
            <w:tcW w:w="1320" w:type="dxa"/>
            <w:noWrap w:val="0"/>
            <w:vAlign w:val="top"/>
          </w:tcPr>
          <w:p>
            <w:pPr>
              <w:spacing w:line="240" w:lineRule="auto"/>
              <w:jc w:val="center"/>
              <w:rPr>
                <w:rFonts w:hint="eastAsia"/>
                <w:color w:val="auto"/>
                <w:szCs w:val="21"/>
              </w:rPr>
            </w:pPr>
            <w:r>
              <w:rPr>
                <w:rFonts w:hint="eastAsia"/>
                <w:color w:val="auto"/>
                <w:szCs w:val="21"/>
                <w:lang w:val="en-US" w:eastAsia="zh-CN"/>
              </w:rPr>
              <w:t>64</w:t>
            </w:r>
            <w:r>
              <w:rPr>
                <w:rFonts w:hint="eastAsia"/>
                <w:color w:val="auto"/>
                <w:szCs w:val="21"/>
              </w:rPr>
              <w:t>（预估）</w:t>
            </w:r>
          </w:p>
        </w:tc>
        <w:tc>
          <w:tcPr>
            <w:tcW w:w="840" w:type="dxa"/>
            <w:noWrap w:val="0"/>
            <w:vAlign w:val="top"/>
          </w:tcPr>
          <w:p>
            <w:pPr>
              <w:spacing w:line="240" w:lineRule="auto"/>
              <w:jc w:val="center"/>
              <w:rPr>
                <w:rFonts w:hint="eastAsia"/>
                <w:color w:val="auto"/>
                <w:szCs w:val="21"/>
              </w:rPr>
            </w:pPr>
          </w:p>
        </w:tc>
        <w:tc>
          <w:tcPr>
            <w:tcW w:w="1950" w:type="dxa"/>
            <w:noWrap w:val="0"/>
            <w:vAlign w:val="top"/>
          </w:tcPr>
          <w:p>
            <w:pPr>
              <w:spacing w:line="240" w:lineRule="auto"/>
              <w:jc w:val="center"/>
              <w:rPr>
                <w:rFonts w:hint="eastAsia"/>
                <w:color w:val="auto"/>
                <w:szCs w:val="21"/>
              </w:rPr>
            </w:pPr>
          </w:p>
        </w:tc>
        <w:tc>
          <w:tcPr>
            <w:tcW w:w="2070" w:type="dxa"/>
            <w:noWrap w:val="0"/>
            <w:vAlign w:val="top"/>
          </w:tcPr>
          <w:p>
            <w:pPr>
              <w:spacing w:line="240" w:lineRule="auto"/>
              <w:jc w:val="center"/>
              <w:rPr>
                <w:rFonts w:hint="eastAsia"/>
                <w:color w:val="auto"/>
                <w:szCs w:val="21"/>
              </w:rPr>
            </w:pPr>
          </w:p>
        </w:tc>
        <w:tc>
          <w:tcPr>
            <w:tcW w:w="750" w:type="dxa"/>
            <w:noWrap w:val="0"/>
            <w:vAlign w:val="top"/>
          </w:tcPr>
          <w:p>
            <w:pPr>
              <w:spacing w:line="240" w:lineRule="auto"/>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noWrap w:val="0"/>
            <w:vAlign w:val="top"/>
          </w:tcPr>
          <w:p>
            <w:pPr>
              <w:spacing w:line="240" w:lineRule="auto"/>
              <w:jc w:val="center"/>
              <w:rPr>
                <w:color w:val="auto"/>
                <w:szCs w:val="21"/>
              </w:rPr>
            </w:pPr>
            <w:r>
              <w:rPr>
                <w:rFonts w:hint="eastAsia"/>
                <w:color w:val="auto"/>
                <w:szCs w:val="21"/>
                <w:lang w:val="en-US" w:eastAsia="zh-CN"/>
              </w:rPr>
              <w:t>73</w:t>
            </w:r>
            <w:r>
              <w:rPr>
                <w:rFonts w:hint="eastAsia"/>
                <w:color w:val="auto"/>
                <w:szCs w:val="21"/>
              </w:rPr>
              <w:t>00</w:t>
            </w:r>
          </w:p>
        </w:tc>
        <w:tc>
          <w:tcPr>
            <w:tcW w:w="1335" w:type="dxa"/>
            <w:noWrap w:val="0"/>
            <w:vAlign w:val="top"/>
          </w:tcPr>
          <w:p>
            <w:pPr>
              <w:spacing w:line="240" w:lineRule="auto"/>
              <w:jc w:val="center"/>
              <w:rPr>
                <w:rFonts w:hint="eastAsia"/>
                <w:color w:val="auto"/>
                <w:szCs w:val="21"/>
              </w:rPr>
            </w:pPr>
            <w:r>
              <w:rPr>
                <w:rFonts w:hint="eastAsia"/>
                <w:color w:val="auto"/>
                <w:szCs w:val="21"/>
              </w:rPr>
              <w:t>4</w:t>
            </w:r>
            <w:r>
              <w:rPr>
                <w:rFonts w:hint="eastAsia"/>
                <w:color w:val="auto"/>
                <w:szCs w:val="21"/>
                <w:lang w:val="en-US" w:eastAsia="zh-CN"/>
              </w:rPr>
              <w:t>8</w:t>
            </w:r>
            <w:r>
              <w:rPr>
                <w:rFonts w:hint="eastAsia"/>
                <w:color w:val="auto"/>
                <w:szCs w:val="21"/>
              </w:rPr>
              <w:t>（初定）</w:t>
            </w:r>
          </w:p>
        </w:tc>
        <w:tc>
          <w:tcPr>
            <w:tcW w:w="1320" w:type="dxa"/>
            <w:noWrap w:val="0"/>
            <w:vAlign w:val="top"/>
          </w:tcPr>
          <w:p>
            <w:pPr>
              <w:spacing w:line="240" w:lineRule="auto"/>
              <w:jc w:val="center"/>
              <w:rPr>
                <w:rFonts w:hint="eastAsia"/>
                <w:color w:val="auto"/>
                <w:szCs w:val="21"/>
              </w:rPr>
            </w:pPr>
            <w:r>
              <w:rPr>
                <w:rFonts w:hint="eastAsia"/>
                <w:color w:val="auto"/>
                <w:szCs w:val="21"/>
              </w:rPr>
              <w:t>80（预估）</w:t>
            </w:r>
          </w:p>
        </w:tc>
        <w:tc>
          <w:tcPr>
            <w:tcW w:w="840" w:type="dxa"/>
            <w:noWrap w:val="0"/>
            <w:vAlign w:val="top"/>
          </w:tcPr>
          <w:p>
            <w:pPr>
              <w:spacing w:line="240" w:lineRule="auto"/>
              <w:jc w:val="center"/>
              <w:rPr>
                <w:rFonts w:hint="eastAsia"/>
                <w:color w:val="auto"/>
                <w:szCs w:val="21"/>
              </w:rPr>
            </w:pPr>
          </w:p>
        </w:tc>
        <w:tc>
          <w:tcPr>
            <w:tcW w:w="1950" w:type="dxa"/>
            <w:noWrap w:val="0"/>
            <w:vAlign w:val="top"/>
          </w:tcPr>
          <w:p>
            <w:pPr>
              <w:spacing w:line="240" w:lineRule="auto"/>
              <w:jc w:val="center"/>
              <w:rPr>
                <w:rFonts w:hint="eastAsia"/>
                <w:color w:val="auto"/>
                <w:szCs w:val="21"/>
              </w:rPr>
            </w:pPr>
          </w:p>
        </w:tc>
        <w:tc>
          <w:tcPr>
            <w:tcW w:w="2070" w:type="dxa"/>
            <w:noWrap w:val="0"/>
            <w:vAlign w:val="top"/>
          </w:tcPr>
          <w:p>
            <w:pPr>
              <w:spacing w:line="240" w:lineRule="auto"/>
              <w:jc w:val="center"/>
              <w:rPr>
                <w:rFonts w:hint="eastAsia"/>
                <w:color w:val="auto"/>
                <w:szCs w:val="21"/>
              </w:rPr>
            </w:pPr>
          </w:p>
        </w:tc>
        <w:tc>
          <w:tcPr>
            <w:tcW w:w="750" w:type="dxa"/>
            <w:noWrap w:val="0"/>
            <w:vAlign w:val="top"/>
          </w:tcPr>
          <w:p>
            <w:pPr>
              <w:spacing w:line="240" w:lineRule="auto"/>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3"/>
            <w:noWrap w:val="0"/>
            <w:vAlign w:val="top"/>
          </w:tcPr>
          <w:p>
            <w:pPr>
              <w:spacing w:line="240" w:lineRule="auto"/>
              <w:jc w:val="center"/>
              <w:rPr>
                <w:rFonts w:hint="eastAsia"/>
                <w:color w:val="auto"/>
                <w:szCs w:val="21"/>
              </w:rPr>
            </w:pPr>
            <w:r>
              <w:rPr>
                <w:rFonts w:hint="eastAsia"/>
                <w:color w:val="auto"/>
                <w:szCs w:val="21"/>
                <w:lang w:val="en-US" w:eastAsia="zh-CN"/>
              </w:rPr>
              <w:t>报价合计</w:t>
            </w:r>
          </w:p>
        </w:tc>
        <w:tc>
          <w:tcPr>
            <w:tcW w:w="840" w:type="dxa"/>
            <w:noWrap w:val="0"/>
            <w:vAlign w:val="top"/>
          </w:tcPr>
          <w:p>
            <w:pPr>
              <w:spacing w:line="240" w:lineRule="auto"/>
              <w:jc w:val="center"/>
              <w:rPr>
                <w:rFonts w:hint="eastAsia"/>
                <w:color w:val="auto"/>
                <w:szCs w:val="21"/>
              </w:rPr>
            </w:pPr>
          </w:p>
        </w:tc>
        <w:tc>
          <w:tcPr>
            <w:tcW w:w="1950" w:type="dxa"/>
            <w:noWrap w:val="0"/>
            <w:vAlign w:val="top"/>
          </w:tcPr>
          <w:p>
            <w:pPr>
              <w:spacing w:line="240" w:lineRule="auto"/>
              <w:jc w:val="center"/>
              <w:rPr>
                <w:rFonts w:hint="eastAsia"/>
                <w:color w:val="auto"/>
                <w:szCs w:val="21"/>
              </w:rPr>
            </w:pPr>
          </w:p>
        </w:tc>
        <w:tc>
          <w:tcPr>
            <w:tcW w:w="2070" w:type="dxa"/>
            <w:noWrap w:val="0"/>
            <w:vAlign w:val="top"/>
          </w:tcPr>
          <w:p>
            <w:pPr>
              <w:spacing w:line="240" w:lineRule="auto"/>
              <w:jc w:val="center"/>
              <w:rPr>
                <w:rFonts w:hint="eastAsia"/>
                <w:color w:val="auto"/>
                <w:szCs w:val="21"/>
              </w:rPr>
            </w:pPr>
          </w:p>
        </w:tc>
        <w:tc>
          <w:tcPr>
            <w:tcW w:w="750" w:type="dxa"/>
            <w:noWrap w:val="0"/>
            <w:vAlign w:val="top"/>
          </w:tcPr>
          <w:p>
            <w:pPr>
              <w:spacing w:line="240" w:lineRule="auto"/>
              <w:jc w:val="center"/>
              <w:rPr>
                <w:rFonts w:hint="eastAsia"/>
                <w:color w:val="auto"/>
                <w:szCs w:val="21"/>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宋体" w:hAnsi="宋体" w:eastAsia="宋体" w:cs="宋体"/>
          <w:i w:val="0"/>
          <w:iCs w:val="0"/>
          <w:caps w:val="0"/>
          <w:color w:val="auto"/>
          <w:spacing w:val="0"/>
          <w:sz w:val="24"/>
          <w:szCs w:val="24"/>
          <w:u w:val="none"/>
          <w:lang w:val="en-US" w:eastAsia="zh-CN"/>
        </w:rPr>
      </w:pPr>
      <w:r>
        <w:rPr>
          <w:rFonts w:hint="eastAsia" w:ascii="宋体" w:hAnsi="宋体" w:eastAsia="宋体" w:cs="宋体"/>
          <w:i w:val="0"/>
          <w:iCs w:val="0"/>
          <w:caps w:val="0"/>
          <w:color w:val="auto"/>
          <w:spacing w:val="0"/>
          <w:sz w:val="24"/>
          <w:szCs w:val="24"/>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i w:val="0"/>
          <w:iCs w:val="0"/>
          <w:caps w:val="0"/>
          <w:color w:val="auto"/>
          <w:spacing w:val="0"/>
          <w:sz w:val="24"/>
          <w:szCs w:val="24"/>
          <w:shd w:val="clear" w:fill="FFFFFF"/>
          <w:lang w:val="en-US" w:eastAsia="zh-CN"/>
        </w:rPr>
        <w:t>以上报价为含税价，税率为</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val="en-US" w:eastAsia="zh-CN"/>
        </w:rPr>
        <w:t xml:space="preserve"> % ，不含税价为</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none"/>
          <w:shd w:val="clear" w:fill="FFFFFF"/>
          <w:lang w:val="en-US" w:eastAsia="zh-CN"/>
        </w:rPr>
        <w:t xml:space="preserve"> 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四、交货日期、交货地点</w:t>
      </w:r>
      <w:r>
        <w:rPr>
          <w:rFonts w:hint="eastAsia" w:ascii="宋体" w:hAnsi="宋体" w:eastAsia="宋体" w:cs="宋体"/>
          <w:i w:val="0"/>
          <w:iCs w:val="0"/>
          <w:caps w:val="0"/>
          <w:color w:val="auto"/>
          <w:spacing w:val="0"/>
          <w:sz w:val="24"/>
          <w:szCs w:val="24"/>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我方编排、制作版样，于要求交货时间前5日将稿件传送到承印单位，传稿完毕之日起5日内将货送至南通市招生办本市指定地点。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lang w:eastAsia="zh-CN"/>
        </w:rPr>
      </w:pPr>
      <w:r>
        <w:rPr>
          <w:rFonts w:hint="eastAsia" w:ascii="宋体" w:hAnsi="宋体" w:eastAsia="宋体" w:cs="宋体"/>
          <w:i w:val="0"/>
          <w:iCs w:val="0"/>
          <w:caps w:val="0"/>
          <w:color w:val="2B2B2B"/>
          <w:spacing w:val="0"/>
          <w:sz w:val="24"/>
          <w:szCs w:val="24"/>
          <w:shd w:val="clear" w:fill="FFFFFF"/>
        </w:rPr>
        <w:t>五、投标人资格要求及投标须提供的材料</w:t>
      </w:r>
      <w:r>
        <w:rPr>
          <w:rFonts w:hint="eastAsia" w:ascii="宋体" w:hAnsi="宋体" w:eastAsia="宋体" w:cs="宋体"/>
          <w:i w:val="0"/>
          <w:iCs w:val="0"/>
          <w:caps w:val="0"/>
          <w:color w:val="2B2B2B"/>
          <w:spacing w:val="0"/>
          <w:sz w:val="24"/>
          <w:szCs w:val="24"/>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shd w:val="clear" w:fill="FFFFFF"/>
        </w:rPr>
        <w:t>1. 经年检的法人营业执照副本、印刷许可证(复印件加盖单位印章)；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shd w:val="clear" w:fill="FFFFFF"/>
        </w:rPr>
        <w:t>2．法人委托书及代理人身份证复印件；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shd w:val="clear" w:fill="FFFFFF"/>
        </w:rPr>
        <w:t>3．请将上述材料按顺序装订成册，密封（注明单位、联系人、手机）参与报价，否则不予接受。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shd w:val="clear" w:fill="FFFFFF"/>
        </w:rPr>
        <w:t>4.由于招生指南印发是十分严谨的重要任务，为了确保印制质量，请参与报价的各方提供印刷品16K样品（样品打样4P铜板纸加16P新闻纸），本报选定样本后，按报样为本次《中招指南》印制质量标准，如出现质量瑕疵与报样不符的情况，承印单位须按合同总价的30%—50%予以惩罚性赔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六、评审程序及方法</w:t>
      </w:r>
      <w:r>
        <w:rPr>
          <w:rFonts w:hint="eastAsia" w:ascii="宋体" w:hAnsi="宋体" w:eastAsia="宋体" w:cs="宋体"/>
          <w:i w:val="0"/>
          <w:iCs w:val="0"/>
          <w:caps w:val="0"/>
          <w:color w:val="auto"/>
          <w:spacing w:val="0"/>
          <w:sz w:val="24"/>
          <w:szCs w:val="24"/>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我方询价采购小组，根据符合印刷承印需求、质量和服务相等且报价最低</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以不含税价为审定价</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的原则确定成交供应商。合同文本格式参照“印刷行业承印格式合同”。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七、结算方式及期限</w:t>
      </w:r>
      <w:r>
        <w:rPr>
          <w:rFonts w:hint="eastAsia" w:ascii="宋体" w:hAnsi="宋体" w:eastAsia="宋体" w:cs="宋体"/>
          <w:i w:val="0"/>
          <w:iCs w:val="0"/>
          <w:caps w:val="0"/>
          <w:color w:val="auto"/>
          <w:spacing w:val="0"/>
          <w:sz w:val="24"/>
          <w:szCs w:val="24"/>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履约验收合格后30个工作日一次性支付合同总价款。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八、其它 合同及价格经双方确认签字盖章后，不得更改，双方都必须按合同履行。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Style w:val="8"/>
          <w:rFonts w:hint="eastAsia" w:ascii="宋体" w:hAnsi="宋体" w:eastAsia="宋体" w:cs="宋体"/>
          <w:b/>
          <w:bCs/>
          <w:i w:val="0"/>
          <w:iCs w:val="0"/>
          <w:caps w:val="0"/>
          <w:color w:val="2B2B2B"/>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九、开标日期、地点：202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 xml:space="preserve"> 月 </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日14：30，南通报业传媒大厦2406室。请潜在响应供应商于202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日1</w:t>
      </w:r>
      <w:r>
        <w:rPr>
          <w:rFonts w:hint="eastAsia" w:ascii="宋体" w:hAnsi="宋体" w:eastAsia="宋体" w:cs="宋体"/>
          <w:i w:val="0"/>
          <w:iCs w:val="0"/>
          <w:caps w:val="0"/>
          <w:color w:val="2B2B2B"/>
          <w:spacing w:val="0"/>
          <w:sz w:val="24"/>
          <w:szCs w:val="24"/>
          <w:shd w:val="clear" w:fill="FFFFFF"/>
        </w:rPr>
        <w:t>4：30之前，按照询价采购通知书要求将询价响应文件一式三份密封（注明《中招指南》标书）寄送至南通报业传媒集团经管办李旋收，地址：南通市世纪大道8号2406室 邮编：226018 联系电话：0513-85118880、68218829 ，E-mail: 190896297@qq.com。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Style w:val="8"/>
          <w:rFonts w:hint="eastAsia" w:ascii="宋体" w:hAnsi="宋体" w:eastAsia="宋体" w:cs="宋体"/>
          <w:b/>
          <w:bCs/>
          <w:i w:val="0"/>
          <w:iCs w:val="0"/>
          <w:caps w:val="0"/>
          <w:color w:val="2B2B2B"/>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Style w:val="8"/>
          <w:rFonts w:hint="eastAsia" w:ascii="宋体" w:hAnsi="宋体" w:eastAsia="宋体" w:cs="宋体"/>
          <w:b/>
          <w:bCs/>
          <w:i w:val="0"/>
          <w:iCs w:val="0"/>
          <w:caps w:val="0"/>
          <w:color w:val="2B2B2B"/>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Style w:val="8"/>
          <w:rFonts w:hint="eastAsia" w:ascii="宋体" w:hAnsi="宋体" w:eastAsia="宋体" w:cs="宋体"/>
          <w:b/>
          <w:bCs/>
          <w:i w:val="0"/>
          <w:iCs w:val="0"/>
          <w:caps w:val="0"/>
          <w:color w:val="2B2B2B"/>
          <w:spacing w:val="0"/>
          <w:sz w:val="24"/>
          <w:szCs w:val="24"/>
          <w:shd w:val="clear" w:fill="FFFFFF"/>
          <w:lang w:val="en-US" w:eastAsia="zh-CN"/>
        </w:rPr>
      </w:pPr>
      <w:r>
        <w:rPr>
          <w:rStyle w:val="8"/>
          <w:rFonts w:hint="eastAsia" w:ascii="宋体" w:hAnsi="宋体" w:eastAsia="宋体" w:cs="宋体"/>
          <w:b/>
          <w:bCs/>
          <w:i w:val="0"/>
          <w:iCs w:val="0"/>
          <w:caps w:val="0"/>
          <w:color w:val="2B2B2B"/>
          <w:spacing w:val="0"/>
          <w:sz w:val="24"/>
          <w:szCs w:val="24"/>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Style w:val="8"/>
          <w:rFonts w:hint="eastAsia" w:ascii="宋体" w:hAnsi="宋体" w:eastAsia="宋体" w:cs="宋体"/>
          <w:b/>
          <w:bCs/>
          <w:i w:val="0"/>
          <w:iCs w:val="0"/>
          <w:caps w:val="0"/>
          <w:color w:val="2B2B2B"/>
          <w:spacing w:val="0"/>
          <w:sz w:val="24"/>
          <w:szCs w:val="24"/>
          <w:shd w:val="clear" w:fill="FFFFFF"/>
        </w:rPr>
      </w:pPr>
      <w:r>
        <w:rPr>
          <w:rStyle w:val="8"/>
          <w:rFonts w:hint="eastAsia" w:ascii="宋体" w:hAnsi="宋体" w:eastAsia="宋体" w:cs="宋体"/>
          <w:b/>
          <w:bCs/>
          <w:i w:val="0"/>
          <w:iCs w:val="0"/>
          <w:caps w:val="0"/>
          <w:color w:val="2B2B2B"/>
          <w:spacing w:val="0"/>
          <w:sz w:val="24"/>
          <w:szCs w:val="24"/>
          <w:shd w:val="clear" w:fill="FFFFFF"/>
          <w:lang w:val="en-US" w:eastAsia="zh-CN"/>
        </w:rPr>
        <w:t xml:space="preserve">                      </w:t>
      </w:r>
      <w:r>
        <w:rPr>
          <w:rStyle w:val="8"/>
          <w:rFonts w:hint="eastAsia" w:ascii="宋体" w:hAnsi="宋体" w:eastAsia="宋体" w:cs="宋体"/>
          <w:b/>
          <w:bCs/>
          <w:i w:val="0"/>
          <w:iCs w:val="0"/>
          <w:caps w:val="0"/>
          <w:color w:val="2B2B2B"/>
          <w:spacing w:val="0"/>
          <w:sz w:val="24"/>
          <w:szCs w:val="24"/>
          <w:shd w:val="clear" w:fill="FFFFFF"/>
        </w:rPr>
        <w:t>南通日报社（南通报业传媒集团）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pPr>
      <w:r>
        <w:rPr>
          <w:rStyle w:val="8"/>
          <w:rFonts w:hint="eastAsia" w:ascii="宋体" w:hAnsi="宋体" w:eastAsia="宋体" w:cs="宋体"/>
          <w:b/>
          <w:bCs/>
          <w:i w:val="0"/>
          <w:iCs w:val="0"/>
          <w:caps w:val="0"/>
          <w:color w:val="2B2B2B"/>
          <w:spacing w:val="0"/>
          <w:sz w:val="24"/>
          <w:szCs w:val="24"/>
          <w:shd w:val="clear" w:fill="FFFFFF"/>
          <w:lang w:val="en-US" w:eastAsia="zh-CN"/>
        </w:rPr>
        <w:t xml:space="preserve">                                          </w:t>
      </w:r>
      <w:r>
        <w:rPr>
          <w:rStyle w:val="8"/>
          <w:rFonts w:hint="eastAsia" w:ascii="宋体" w:hAnsi="宋体" w:eastAsia="宋体" w:cs="宋体"/>
          <w:b/>
          <w:bCs/>
          <w:i w:val="0"/>
          <w:iCs w:val="0"/>
          <w:caps w:val="0"/>
          <w:color w:val="2B2B2B"/>
          <w:spacing w:val="0"/>
          <w:sz w:val="24"/>
          <w:szCs w:val="24"/>
          <w:shd w:val="clear" w:fill="FFFFFF"/>
        </w:rPr>
        <w:t>202</w:t>
      </w:r>
      <w:r>
        <w:rPr>
          <w:rStyle w:val="8"/>
          <w:rFonts w:hint="eastAsia" w:ascii="宋体" w:hAnsi="宋体" w:eastAsia="宋体" w:cs="宋体"/>
          <w:b/>
          <w:bCs/>
          <w:i w:val="0"/>
          <w:iCs w:val="0"/>
          <w:caps w:val="0"/>
          <w:color w:val="2B2B2B"/>
          <w:spacing w:val="0"/>
          <w:sz w:val="24"/>
          <w:szCs w:val="24"/>
          <w:shd w:val="clear" w:fill="FFFFFF"/>
          <w:lang w:val="en-US" w:eastAsia="zh-CN"/>
        </w:rPr>
        <w:t>2</w:t>
      </w:r>
      <w:r>
        <w:rPr>
          <w:rStyle w:val="8"/>
          <w:rFonts w:hint="eastAsia" w:ascii="宋体" w:hAnsi="宋体" w:eastAsia="宋体" w:cs="宋体"/>
          <w:b/>
          <w:bCs/>
          <w:i w:val="0"/>
          <w:iCs w:val="0"/>
          <w:caps w:val="0"/>
          <w:color w:val="2B2B2B"/>
          <w:spacing w:val="0"/>
          <w:sz w:val="24"/>
          <w:szCs w:val="24"/>
          <w:shd w:val="clear" w:fill="FFFFFF"/>
        </w:rPr>
        <w:t>年4月</w:t>
      </w:r>
      <w:r>
        <w:rPr>
          <w:rStyle w:val="8"/>
          <w:rFonts w:hint="eastAsia" w:ascii="宋体" w:hAnsi="宋体" w:eastAsia="宋体" w:cs="宋体"/>
          <w:b/>
          <w:bCs/>
          <w:i w:val="0"/>
          <w:iCs w:val="0"/>
          <w:caps w:val="0"/>
          <w:color w:val="2B2B2B"/>
          <w:spacing w:val="0"/>
          <w:sz w:val="24"/>
          <w:szCs w:val="24"/>
          <w:shd w:val="clear" w:fill="FFFFFF"/>
          <w:lang w:val="en-US" w:eastAsia="zh-CN"/>
        </w:rPr>
        <w:t>25</w:t>
      </w:r>
      <w:r>
        <w:rPr>
          <w:rStyle w:val="8"/>
          <w:rFonts w:hint="eastAsia" w:ascii="宋体" w:hAnsi="宋体" w:eastAsia="宋体" w:cs="宋体"/>
          <w:b/>
          <w:bCs/>
          <w:i w:val="0"/>
          <w:iCs w:val="0"/>
          <w:caps w:val="0"/>
          <w:color w:val="2B2B2B"/>
          <w:spacing w:val="0"/>
          <w:sz w:val="24"/>
          <w:szCs w:val="24"/>
          <w:shd w:val="clear" w:fill="FFFFFF"/>
        </w:rPr>
        <w:t>日</w:t>
      </w:r>
    </w:p>
    <w:p/>
    <w:sectPr>
      <w:footerReference r:id="rId3" w:type="default"/>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01A0A"/>
    <w:rsid w:val="00631A58"/>
    <w:rsid w:val="050321A4"/>
    <w:rsid w:val="08501523"/>
    <w:rsid w:val="08D37B58"/>
    <w:rsid w:val="0D601A0A"/>
    <w:rsid w:val="1EA917C6"/>
    <w:rsid w:val="1EAC4C7B"/>
    <w:rsid w:val="1FBC6CE7"/>
    <w:rsid w:val="20CE56C6"/>
    <w:rsid w:val="213845A4"/>
    <w:rsid w:val="25BB1670"/>
    <w:rsid w:val="27E679F4"/>
    <w:rsid w:val="2C330E83"/>
    <w:rsid w:val="2DAF530E"/>
    <w:rsid w:val="32987598"/>
    <w:rsid w:val="36665B62"/>
    <w:rsid w:val="398C23F8"/>
    <w:rsid w:val="3A43603C"/>
    <w:rsid w:val="3D687B84"/>
    <w:rsid w:val="43947908"/>
    <w:rsid w:val="4A6F4C2B"/>
    <w:rsid w:val="58ED4BF9"/>
    <w:rsid w:val="5D072E59"/>
    <w:rsid w:val="65BE454A"/>
    <w:rsid w:val="67694A84"/>
    <w:rsid w:val="6B136FFE"/>
    <w:rsid w:val="6BBE5887"/>
    <w:rsid w:val="73993510"/>
    <w:rsid w:val="744F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1199</Words>
  <Characters>1384</Characters>
  <Lines>0</Lines>
  <Paragraphs>0</Paragraphs>
  <TotalTime>7</TotalTime>
  <ScaleCrop>false</ScaleCrop>
  <LinksUpToDate>false</LinksUpToDate>
  <CharactersWithSpaces>1495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2021-05-07T08:52:00Z</dcterms:created>
  <dc:creator>ntrb1</dc:creator>
  <cp:lastModifiedBy>ntrb1</cp:lastModifiedBy>
  <dcterms:modified xsi:type="dcterms:W3CDTF">2022-04-24T09:14:51Z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A21EB568055E4EECA9EEE5AB45BB4FF7</vt:lpwstr>
  </property>
  <property fmtid="{D5CDD505-2E9C-101B-9397-08002B2CF9AE}" pid="4" name="commondata">
    <vt:lpwstr>eyJoZGlkIjoiMzNkMjJiMGYzMzE5M2M1YTUxZTBhYjY2NzVkZjM0MmYifQ==</vt:lpwstr>
  </property>
</Properties>
</file>