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beforeLines="50" w:afterLines="50" w:line="600" w:lineRule="auto"/>
        <w:rPr>
          <w:rFonts w:hint="eastAsia" w:ascii="宋体" w:hAnsi="宋体" w:eastAsia="宋体" w:cs="宋体"/>
          <w:b/>
          <w:sz w:val="36"/>
          <w:szCs w:val="36"/>
        </w:rPr>
      </w:pPr>
    </w:p>
    <w:p>
      <w:pPr>
        <w:pStyle w:val="30"/>
        <w:pageBreakBefore w:val="0"/>
        <w:kinsoku/>
        <w:wordWrap/>
        <w:overflowPunct/>
        <w:topLinePunct w:val="0"/>
        <w:bidi w:val="0"/>
        <w:spacing w:line="600" w:lineRule="auto"/>
        <w:ind w:firstLine="0"/>
        <w:jc w:val="center"/>
        <w:rPr>
          <w:rFonts w:hint="eastAsia" w:ascii="宋体" w:hAnsi="宋体" w:eastAsia="宋体" w:cs="宋体"/>
          <w:b/>
          <w:sz w:val="36"/>
          <w:szCs w:val="36"/>
        </w:rPr>
      </w:pPr>
      <w:r>
        <w:rPr>
          <w:rFonts w:hint="eastAsia" w:ascii="宋体" w:hAnsi="宋体" w:eastAsia="宋体" w:cs="宋体"/>
          <w:b/>
          <w:sz w:val="36"/>
          <w:szCs w:val="36"/>
        </w:rPr>
        <w:t>南通日报社（集团）</w:t>
      </w:r>
    </w:p>
    <w:p>
      <w:pPr>
        <w:pStyle w:val="30"/>
        <w:pageBreakBefore w:val="0"/>
        <w:kinsoku/>
        <w:wordWrap/>
        <w:overflowPunct/>
        <w:topLinePunct w:val="0"/>
        <w:bidi w:val="0"/>
        <w:spacing w:line="600" w:lineRule="auto"/>
        <w:ind w:firstLine="0"/>
        <w:jc w:val="center"/>
        <w:rPr>
          <w:rFonts w:hint="eastAsia" w:ascii="宋体" w:hAnsi="宋体" w:eastAsia="宋体" w:cs="宋体"/>
          <w:sz w:val="36"/>
          <w:szCs w:val="36"/>
        </w:rPr>
      </w:pPr>
      <w:r>
        <w:rPr>
          <w:rFonts w:hint="eastAsia" w:ascii="宋体" w:hAnsi="宋体" w:eastAsia="宋体" w:cs="宋体"/>
          <w:b/>
          <w:sz w:val="36"/>
          <w:szCs w:val="36"/>
        </w:rPr>
        <w:t>网络信息系统安全等级</w:t>
      </w:r>
      <w:bookmarkStart w:id="0" w:name="OLE_LINK3"/>
      <w:r>
        <w:rPr>
          <w:rFonts w:hint="eastAsia" w:ascii="宋体" w:hAnsi="宋体" w:eastAsia="宋体" w:cs="宋体"/>
          <w:b/>
          <w:sz w:val="36"/>
          <w:szCs w:val="36"/>
        </w:rPr>
        <w:t>保护测评</w:t>
      </w:r>
      <w:bookmarkEnd w:id="0"/>
      <w:r>
        <w:rPr>
          <w:rFonts w:hint="eastAsia" w:ascii="宋体" w:hAnsi="宋体" w:eastAsia="宋体" w:cs="宋体"/>
          <w:b/>
          <w:sz w:val="36"/>
          <w:szCs w:val="36"/>
        </w:rPr>
        <w:t>服务项目</w:t>
      </w:r>
    </w:p>
    <w:p>
      <w:pPr>
        <w:pageBreakBefore w:val="0"/>
        <w:kinsoku/>
        <w:wordWrap/>
        <w:overflowPunct/>
        <w:topLinePunct w:val="0"/>
        <w:bidi w:val="0"/>
        <w:spacing w:beforeLines="50" w:afterLines="50" w:line="600" w:lineRule="auto"/>
        <w:rPr>
          <w:rFonts w:hint="eastAsia" w:ascii="宋体" w:hAnsi="宋体" w:eastAsia="宋体" w:cs="宋体"/>
          <w:b/>
          <w:sz w:val="36"/>
          <w:szCs w:val="36"/>
        </w:rPr>
      </w:pPr>
    </w:p>
    <w:p>
      <w:pPr>
        <w:pStyle w:val="2"/>
        <w:rPr>
          <w:rFonts w:hint="eastAsia" w:ascii="宋体" w:hAnsi="宋体" w:eastAsia="宋体" w:cs="宋体"/>
          <w:b/>
          <w:sz w:val="36"/>
          <w:szCs w:val="36"/>
        </w:rPr>
      </w:pPr>
    </w:p>
    <w:p>
      <w:pPr>
        <w:pStyle w:val="2"/>
        <w:rPr>
          <w:rFonts w:hint="eastAsia" w:ascii="宋体" w:hAnsi="宋体" w:eastAsia="宋体" w:cs="宋体"/>
          <w:b/>
          <w:sz w:val="36"/>
          <w:szCs w:val="36"/>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ageBreakBefore w:val="0"/>
        <w:kinsoku/>
        <w:wordWrap/>
        <w:overflowPunct/>
        <w:topLinePunct w:val="0"/>
        <w:bidi w:val="0"/>
        <w:spacing w:beforeLines="50" w:afterLines="50" w:line="400" w:lineRule="exact"/>
        <w:jc w:val="center"/>
        <w:rPr>
          <w:rFonts w:hint="eastAsia" w:ascii="宋体" w:hAnsi="宋体" w:eastAsia="宋体" w:cs="宋体"/>
          <w:b/>
          <w:sz w:val="48"/>
          <w:szCs w:val="48"/>
        </w:rPr>
      </w:pPr>
      <w:r>
        <w:rPr>
          <w:rFonts w:hint="eastAsia" w:ascii="宋体" w:hAnsi="宋体" w:eastAsia="宋体" w:cs="宋体"/>
          <w:b/>
          <w:sz w:val="48"/>
          <w:szCs w:val="48"/>
        </w:rPr>
        <w:t>竞争性磋商文件</w:t>
      </w:r>
    </w:p>
    <w:p>
      <w:pPr>
        <w:pageBreakBefore w:val="0"/>
        <w:kinsoku/>
        <w:wordWrap/>
        <w:overflowPunct/>
        <w:topLinePunct w:val="0"/>
        <w:bidi w:val="0"/>
        <w:spacing w:beforeLines="50" w:afterLines="50" w:line="400" w:lineRule="exact"/>
        <w:rPr>
          <w:rFonts w:hint="eastAsia" w:ascii="宋体" w:hAnsi="宋体" w:eastAsia="宋体" w:cs="宋体"/>
          <w:sz w:val="24"/>
          <w:szCs w:val="24"/>
        </w:rPr>
      </w:pPr>
    </w:p>
    <w:p>
      <w:pPr>
        <w:pageBreakBefore w:val="0"/>
        <w:kinsoku/>
        <w:wordWrap/>
        <w:overflowPunct/>
        <w:topLinePunct w:val="0"/>
        <w:bidi w:val="0"/>
        <w:spacing w:beforeLines="50" w:afterLines="50" w:line="400" w:lineRule="exact"/>
        <w:rPr>
          <w:rFonts w:hint="eastAsia" w:ascii="宋体" w:hAnsi="宋体" w:eastAsia="宋体" w:cs="宋体"/>
          <w:sz w:val="24"/>
          <w:szCs w:val="24"/>
        </w:rPr>
      </w:pPr>
    </w:p>
    <w:p>
      <w:pPr>
        <w:pageBreakBefore w:val="0"/>
        <w:kinsoku/>
        <w:wordWrap/>
        <w:overflowPunct/>
        <w:topLinePunct w:val="0"/>
        <w:bidi w:val="0"/>
        <w:spacing w:beforeLines="50" w:afterLines="50" w:line="400" w:lineRule="exact"/>
        <w:rPr>
          <w:rFonts w:hint="eastAsia" w:ascii="宋体" w:hAnsi="宋体" w:eastAsia="宋体" w:cs="宋体"/>
          <w:b/>
          <w:sz w:val="24"/>
          <w:szCs w:val="24"/>
        </w:rPr>
      </w:pPr>
    </w:p>
    <w:p>
      <w:pPr>
        <w:pageBreakBefore w:val="0"/>
        <w:kinsoku/>
        <w:wordWrap/>
        <w:overflowPunct/>
        <w:topLinePunct w:val="0"/>
        <w:bidi w:val="0"/>
        <w:spacing w:beforeLines="50" w:afterLines="50" w:line="400" w:lineRule="exact"/>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ind w:left="0" w:leftChars="0" w:firstLine="0" w:firstLineChars="0"/>
        <w:rPr>
          <w:rFonts w:hint="eastAsia" w:ascii="宋体" w:hAnsi="宋体" w:eastAsia="宋体" w:cs="宋体"/>
          <w:b/>
          <w:sz w:val="24"/>
          <w:szCs w:val="24"/>
        </w:rPr>
      </w:pPr>
    </w:p>
    <w:p>
      <w:pPr>
        <w:pageBreakBefore w:val="0"/>
        <w:kinsoku/>
        <w:wordWrap/>
        <w:overflowPunct/>
        <w:topLinePunct w:val="0"/>
        <w:bidi w:val="0"/>
        <w:spacing w:beforeLines="100" w:afterLines="100" w:line="400" w:lineRule="exact"/>
        <w:ind w:firstLine="3132" w:firstLineChars="1300"/>
        <w:rPr>
          <w:rFonts w:hint="eastAsia" w:ascii="宋体" w:hAnsi="宋体" w:eastAsia="宋体" w:cs="宋体"/>
          <w:b/>
          <w:sz w:val="24"/>
          <w:szCs w:val="24"/>
        </w:rPr>
      </w:pPr>
      <w:r>
        <w:rPr>
          <w:rFonts w:hint="eastAsia" w:ascii="宋体" w:hAnsi="宋体" w:eastAsia="宋体" w:cs="宋体"/>
          <w:b/>
          <w:sz w:val="24"/>
          <w:szCs w:val="24"/>
        </w:rPr>
        <w:t>招 标 人：南通日报社（集团）</w:t>
      </w:r>
    </w:p>
    <w:p>
      <w:pPr>
        <w:pageBreakBefore w:val="0"/>
        <w:kinsoku/>
        <w:wordWrap/>
        <w:overflowPunct/>
        <w:topLinePunct w:val="0"/>
        <w:bidi w:val="0"/>
        <w:spacing w:beforeLines="100" w:afterLines="100" w:line="400" w:lineRule="exact"/>
        <w:ind w:firstLine="3132" w:firstLineChars="1300"/>
        <w:rPr>
          <w:rFonts w:hint="eastAsia" w:ascii="宋体" w:hAnsi="宋体" w:eastAsia="宋体" w:cs="宋体"/>
          <w:b/>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b/>
          <w:color w:val="262626" w:themeColor="text1" w:themeTint="D9"/>
          <w:sz w:val="24"/>
          <w:szCs w:val="24"/>
          <w14:textFill>
            <w14:solidFill>
              <w14:schemeClr w14:val="tx1">
                <w14:lumMod w14:val="85000"/>
                <w14:lumOff w14:val="15000"/>
              </w14:schemeClr>
            </w14:solidFill>
          </w14:textFill>
        </w:rPr>
        <w:t>日    期：202</w:t>
      </w:r>
      <w:r>
        <w:rPr>
          <w:rFonts w:hint="eastAsia" w:ascii="宋体" w:hAnsi="宋体" w:cs="宋体"/>
          <w:b/>
          <w:color w:val="262626" w:themeColor="text1" w:themeTint="D9"/>
          <w:sz w:val="24"/>
          <w:szCs w:val="24"/>
          <w:lang w:val="en-US" w:eastAsia="zh-CN"/>
          <w14:textFill>
            <w14:solidFill>
              <w14:schemeClr w14:val="tx1">
                <w14:lumMod w14:val="85000"/>
                <w14:lumOff w14:val="15000"/>
              </w14:schemeClr>
            </w14:solidFill>
          </w14:textFill>
        </w:rPr>
        <w:t>3</w:t>
      </w:r>
      <w:r>
        <w:rPr>
          <w:rFonts w:hint="eastAsia" w:ascii="宋体" w:hAnsi="宋体" w:eastAsia="宋体" w:cs="宋体"/>
          <w:b/>
          <w:color w:val="262626" w:themeColor="text1" w:themeTint="D9"/>
          <w:sz w:val="24"/>
          <w:szCs w:val="24"/>
          <w14:textFill>
            <w14:solidFill>
              <w14:schemeClr w14:val="tx1">
                <w14:lumMod w14:val="85000"/>
                <w14:lumOff w14:val="15000"/>
              </w14:schemeClr>
            </w14:solidFill>
          </w14:textFill>
        </w:rPr>
        <w:t>年</w:t>
      </w:r>
      <w:r>
        <w:rPr>
          <w:rFonts w:hint="eastAsia" w:ascii="宋体" w:hAnsi="宋体" w:cs="宋体"/>
          <w:b/>
          <w:color w:val="262626" w:themeColor="text1" w:themeTint="D9"/>
          <w:sz w:val="24"/>
          <w:szCs w:val="24"/>
          <w:lang w:val="en-US" w:eastAsia="zh-CN"/>
          <w14:textFill>
            <w14:solidFill>
              <w14:schemeClr w14:val="tx1">
                <w14:lumMod w14:val="85000"/>
                <w14:lumOff w14:val="15000"/>
              </w14:schemeClr>
            </w14:solidFill>
          </w14:textFill>
        </w:rPr>
        <w:t>1</w:t>
      </w:r>
      <w:r>
        <w:rPr>
          <w:rFonts w:hint="eastAsia" w:ascii="宋体" w:hAnsi="宋体" w:eastAsia="宋体" w:cs="宋体"/>
          <w:b/>
          <w:color w:val="262626" w:themeColor="text1" w:themeTint="D9"/>
          <w:sz w:val="24"/>
          <w:szCs w:val="24"/>
          <w14:textFill>
            <w14:solidFill>
              <w14:schemeClr w14:val="tx1">
                <w14:lumMod w14:val="85000"/>
                <w14:lumOff w14:val="15000"/>
              </w14:schemeClr>
            </w14:solidFill>
          </w14:textFill>
        </w:rPr>
        <w:t>月</w:t>
      </w:r>
      <w:r>
        <w:rPr>
          <w:rFonts w:hint="eastAsia" w:ascii="宋体" w:hAnsi="宋体" w:cs="宋体"/>
          <w:b/>
          <w:color w:val="262626" w:themeColor="text1" w:themeTint="D9"/>
          <w:sz w:val="24"/>
          <w:szCs w:val="24"/>
          <w:lang w:val="en-US" w:eastAsia="zh-CN"/>
          <w14:textFill>
            <w14:solidFill>
              <w14:schemeClr w14:val="tx1">
                <w14:lumMod w14:val="85000"/>
                <w14:lumOff w14:val="15000"/>
              </w14:schemeClr>
            </w14:solidFill>
          </w14:textFill>
        </w:rPr>
        <w:t>12</w:t>
      </w:r>
      <w:r>
        <w:rPr>
          <w:rFonts w:hint="eastAsia" w:ascii="宋体" w:hAnsi="宋体" w:eastAsia="宋体" w:cs="宋体"/>
          <w:b/>
          <w:color w:val="262626" w:themeColor="text1" w:themeTint="D9"/>
          <w:sz w:val="24"/>
          <w:szCs w:val="24"/>
          <w14:textFill>
            <w14:solidFill>
              <w14:schemeClr w14:val="tx1">
                <w14:lumMod w14:val="85000"/>
                <w14:lumOff w14:val="15000"/>
              </w14:schemeClr>
            </w14:solidFill>
          </w14:textFill>
        </w:rPr>
        <w:t>日</w:t>
      </w:r>
    </w:p>
    <w:p>
      <w:pPr>
        <w:pageBreakBefore w:val="0"/>
        <w:widowControl/>
        <w:kinsoku/>
        <w:wordWrap/>
        <w:overflowPunct/>
        <w:topLinePunct w:val="0"/>
        <w:bidi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sz w:val="24"/>
          <w:szCs w:val="24"/>
        </w:rPr>
        <w:br w:type="page"/>
      </w:r>
    </w:p>
    <w:p>
      <w:pPr>
        <w:pStyle w:val="33"/>
        <w:pageBreakBefore w:val="0"/>
        <w:kinsoku/>
        <w:wordWrap/>
        <w:overflowPunct/>
        <w:topLinePunct w:val="0"/>
        <w:bidi w:val="0"/>
        <w:spacing w:line="480" w:lineRule="auto"/>
        <w:ind w:firstLine="3975" w:firstLineChars="1100"/>
        <w:jc w:val="both"/>
        <w:rPr>
          <w:rFonts w:hint="eastAsia" w:ascii="宋体" w:hAnsi="宋体" w:eastAsia="宋体" w:cs="宋体"/>
          <w:color w:val="auto"/>
          <w:sz w:val="36"/>
          <w:szCs w:val="36"/>
          <w:lang w:val="zh-CN"/>
        </w:rPr>
      </w:pPr>
    </w:p>
    <w:p>
      <w:pPr>
        <w:pStyle w:val="33"/>
        <w:pageBreakBefore w:val="0"/>
        <w:kinsoku/>
        <w:wordWrap/>
        <w:overflowPunct/>
        <w:topLinePunct w:val="0"/>
        <w:bidi w:val="0"/>
        <w:spacing w:line="480" w:lineRule="auto"/>
        <w:ind w:firstLine="3975" w:firstLineChars="1100"/>
        <w:jc w:val="both"/>
        <w:rPr>
          <w:rFonts w:hint="eastAsia" w:ascii="宋体" w:hAnsi="宋体" w:eastAsia="宋体" w:cs="宋体"/>
          <w:color w:val="auto"/>
          <w:sz w:val="36"/>
          <w:szCs w:val="36"/>
          <w:lang w:val="zh-CN"/>
        </w:rPr>
      </w:pPr>
      <w:bookmarkStart w:id="21" w:name="_GoBack"/>
      <w:bookmarkEnd w:id="21"/>
      <w:r>
        <w:rPr>
          <w:rFonts w:hint="eastAsia" w:ascii="宋体" w:hAnsi="宋体" w:eastAsia="宋体" w:cs="宋体"/>
          <w:color w:val="auto"/>
          <w:sz w:val="36"/>
          <w:szCs w:val="36"/>
          <w:lang w:val="zh-CN"/>
        </w:rPr>
        <w:t>目  录</w:t>
      </w:r>
    </w:p>
    <w:p>
      <w:pPr>
        <w:pStyle w:val="2"/>
        <w:ind w:left="0" w:leftChars="0" w:firstLine="0" w:firstLineChars="0"/>
        <w:rPr>
          <w:rFonts w:hint="eastAsia"/>
        </w:rPr>
      </w:pP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rPr>
      </w:pPr>
      <w:bookmarkStart w:id="1" w:name="_Toc38556321"/>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\z \u</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"_Toc99539214"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第一章 竞争性磋商公告</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"_Toc99539215"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"_Toc99539216"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第三章 采购需求</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fldChar w:fldCharType="end"/>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"_Toc99539217"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第四章 开标和评标</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fldChar w:fldCharType="end"/>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"_Toc99539218"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第五章  合同签订与验收付款</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"_Toc99539219"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第六章  质疑提出和处理</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w:t>
      </w:r>
    </w:p>
    <w:p>
      <w:pPr>
        <w:pStyle w:val="14"/>
        <w:pageBreakBefore w:val="0"/>
        <w:tabs>
          <w:tab w:val="right" w:leader="dot" w:pos="9344"/>
        </w:tabs>
        <w:kinsoku/>
        <w:wordWrap/>
        <w:overflowPunct/>
        <w:topLinePunct w:val="0"/>
        <w:bidi w:val="0"/>
        <w:spacing w:line="60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"_Toc99539220" </w:instrText>
      </w:r>
      <w:r>
        <w:rPr>
          <w:rFonts w:hint="eastAsia" w:ascii="宋体" w:hAnsi="宋体" w:eastAsia="宋体" w:cs="宋体"/>
          <w:color w:val="auto"/>
          <w:sz w:val="24"/>
          <w:szCs w:val="24"/>
        </w:rPr>
        <w:fldChar w:fldCharType="separate"/>
      </w:r>
      <w:r>
        <w:rPr>
          <w:rStyle w:val="25"/>
          <w:rFonts w:hint="eastAsia" w:ascii="宋体" w:hAnsi="宋体" w:eastAsia="宋体" w:cs="宋体"/>
          <w:color w:val="auto"/>
          <w:sz w:val="24"/>
          <w:szCs w:val="24"/>
        </w:rPr>
        <w:t>第七章 投标文件组成</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7</w:t>
      </w:r>
    </w:p>
    <w:p>
      <w:pPr>
        <w:pStyle w:val="5"/>
        <w:pageBreakBefore w:val="0"/>
        <w:kinsoku/>
        <w:wordWrap/>
        <w:overflowPunct/>
        <w:topLinePunct w:val="0"/>
        <w:bidi w:val="0"/>
        <w:spacing w:before="240" w:after="240" w:line="600" w:lineRule="auto"/>
        <w:jc w:val="center"/>
        <w:rPr>
          <w:rFonts w:hint="eastAsia" w:ascii="宋体" w:hAnsi="宋体" w:eastAsia="宋体" w:cs="宋体"/>
          <w:sz w:val="24"/>
          <w:szCs w:val="24"/>
        </w:rPr>
        <w:sectPr>
          <w:headerReference r:id="rId3" w:type="first"/>
          <w:footerReference r:id="rId5" w:type="first"/>
          <w:footerReference r:id="rId4" w:type="default"/>
          <w:pgSz w:w="11906" w:h="16838"/>
          <w:pgMar w:top="1418" w:right="1134" w:bottom="1418" w:left="1418" w:header="851" w:footer="992" w:gutter="0"/>
          <w:pgNumType w:fmt="decimal" w:start="1"/>
          <w:cols w:space="425" w:num="1"/>
          <w:docGrid w:type="lines" w:linePitch="312" w:charSpace="0"/>
        </w:sectPr>
      </w:pPr>
      <w:r>
        <w:rPr>
          <w:rFonts w:hint="eastAsia" w:ascii="宋体" w:hAnsi="宋体" w:eastAsia="宋体" w:cs="宋体"/>
          <w:color w:val="auto"/>
          <w:sz w:val="24"/>
          <w:szCs w:val="24"/>
        </w:rPr>
        <w:fldChar w:fldCharType="end"/>
      </w:r>
      <w:bookmarkStart w:id="2" w:name="_Toc99539214"/>
    </w:p>
    <w:p>
      <w:pPr>
        <w:pStyle w:val="5"/>
        <w:pageBreakBefore w:val="0"/>
        <w:kinsoku/>
        <w:wordWrap/>
        <w:overflowPunct/>
        <w:topLinePunct w:val="0"/>
        <w:bidi w:val="0"/>
        <w:spacing w:before="240" w:after="240" w:line="400" w:lineRule="exact"/>
        <w:jc w:val="center"/>
        <w:rPr>
          <w:rFonts w:hint="eastAsia" w:ascii="宋体" w:hAnsi="宋体" w:eastAsia="宋体" w:cs="宋体"/>
          <w:sz w:val="36"/>
          <w:szCs w:val="36"/>
        </w:rPr>
      </w:pPr>
      <w:r>
        <w:rPr>
          <w:rFonts w:hint="eastAsia" w:ascii="宋体" w:hAnsi="宋体" w:eastAsia="宋体" w:cs="宋体"/>
          <w:sz w:val="36"/>
          <w:szCs w:val="36"/>
        </w:rPr>
        <w:t>第一章 竞争性磋商公告</w:t>
      </w:r>
      <w:bookmarkEnd w:id="1"/>
      <w:bookmarkEnd w:id="2"/>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南通日报社（集团）</w:t>
      </w:r>
      <w:r>
        <w:rPr>
          <w:rFonts w:hint="eastAsia" w:ascii="宋体" w:hAnsi="宋体" w:eastAsia="宋体" w:cs="宋体"/>
          <w:color w:val="000000"/>
          <w:kern w:val="0"/>
          <w:sz w:val="24"/>
          <w:szCs w:val="24"/>
        </w:rPr>
        <w:t>拟对信息系统网络安全等级保护测评服务以竞争性磋商方式进行采购，诚邀符合条件的潜在供应商参加该项目的竞争性磋商。</w:t>
      </w:r>
    </w:p>
    <w:p>
      <w:pPr>
        <w:pageBreakBefore w:val="0"/>
        <w:widowControl/>
        <w:kinsoku/>
        <w:wordWrap/>
        <w:overflowPunct/>
        <w:topLinePunct w:val="0"/>
        <w:bidi w:val="0"/>
        <w:spacing w:after="75" w:line="400" w:lineRule="exac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一、采购人、采购项目名称和内容</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r>
        <w:rPr>
          <w:rFonts w:hint="eastAsia" w:ascii="宋体" w:hAnsi="宋体" w:eastAsia="宋体" w:cs="宋体"/>
          <w:kern w:val="0"/>
          <w:sz w:val="24"/>
          <w:szCs w:val="24"/>
        </w:rPr>
        <w:t>南通日报社（</w:t>
      </w:r>
      <w:r>
        <w:rPr>
          <w:rFonts w:hint="eastAsia" w:ascii="宋体" w:hAnsi="宋体" w:cs="宋体"/>
          <w:kern w:val="0"/>
          <w:sz w:val="24"/>
          <w:szCs w:val="24"/>
          <w:lang w:eastAsia="zh-CN"/>
        </w:rPr>
        <w:t>集团</w:t>
      </w:r>
      <w:r>
        <w:rPr>
          <w:rFonts w:hint="eastAsia" w:ascii="宋体" w:hAnsi="宋体" w:eastAsia="宋体" w:cs="宋体"/>
          <w:kern w:val="0"/>
          <w:sz w:val="24"/>
          <w:szCs w:val="24"/>
        </w:rPr>
        <w:t>）</w:t>
      </w:r>
    </w:p>
    <w:p>
      <w:pPr>
        <w:pageBreakBefore w:val="0"/>
        <w:widowControl/>
        <w:kinsoku/>
        <w:wordWrap/>
        <w:overflowPunct/>
        <w:topLinePunct w:val="0"/>
        <w:bidi w:val="0"/>
        <w:spacing w:after="75" w:line="400" w:lineRule="exact"/>
        <w:ind w:firstLine="48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采购项目名称：</w:t>
      </w:r>
      <w:r>
        <w:rPr>
          <w:rFonts w:hint="eastAsia" w:ascii="宋体" w:hAnsi="宋体" w:eastAsia="宋体" w:cs="宋体"/>
          <w:kern w:val="0"/>
          <w:sz w:val="24"/>
          <w:szCs w:val="24"/>
        </w:rPr>
        <w:t>南通日报社（</w:t>
      </w:r>
      <w:r>
        <w:rPr>
          <w:rFonts w:hint="eastAsia" w:ascii="宋体" w:hAnsi="宋体" w:cs="宋体"/>
          <w:kern w:val="0"/>
          <w:sz w:val="24"/>
          <w:szCs w:val="24"/>
          <w:lang w:eastAsia="zh-CN"/>
        </w:rPr>
        <w:t>集团</w:t>
      </w:r>
      <w:r>
        <w:rPr>
          <w:rFonts w:hint="eastAsia" w:ascii="宋体" w:hAnsi="宋体" w:eastAsia="宋体" w:cs="宋体"/>
          <w:kern w:val="0"/>
          <w:sz w:val="24"/>
          <w:szCs w:val="24"/>
        </w:rPr>
        <w:t>）网络信息系统安全等级保护测评服务项目</w:t>
      </w:r>
    </w:p>
    <w:p>
      <w:pPr>
        <w:pageBreakBefore w:val="0"/>
        <w:widowControl/>
        <w:kinsoku/>
        <w:wordWrap/>
        <w:overflowPunct/>
        <w:topLinePunct w:val="0"/>
        <w:bidi w:val="0"/>
        <w:spacing w:after="75" w:line="400" w:lineRule="exact"/>
        <w:jc w:val="left"/>
        <w:rPr>
          <w:rFonts w:hint="eastAsia" w:ascii="宋体" w:hAnsi="宋体" w:eastAsia="宋体" w:cs="宋体"/>
          <w:color w:val="auto"/>
          <w:sz w:val="24"/>
          <w:szCs w:val="24"/>
        </w:rPr>
      </w:pPr>
      <w:r>
        <w:rPr>
          <w:rFonts w:hint="eastAsia" w:ascii="宋体" w:hAnsi="宋体" w:eastAsia="宋体" w:cs="宋体"/>
          <w:b/>
          <w:color w:val="000000"/>
          <w:kern w:val="0"/>
          <w:sz w:val="24"/>
          <w:szCs w:val="24"/>
        </w:rPr>
        <w:t>二、项目预算</w:t>
      </w:r>
      <w:r>
        <w:rPr>
          <w:rFonts w:hint="eastAsia" w:ascii="宋体" w:hAnsi="宋体" w:eastAsia="宋体" w:cs="宋体"/>
          <w:color w:val="000000"/>
          <w:kern w:val="0"/>
          <w:sz w:val="24"/>
          <w:szCs w:val="24"/>
        </w:rPr>
        <w:t>：</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rPr>
        <w:t xml:space="preserve">30万元 </w:t>
      </w:r>
      <w:r>
        <w:rPr>
          <w:rFonts w:hint="eastAsia" w:ascii="宋体" w:hAnsi="宋体" w:eastAsia="宋体" w:cs="宋体"/>
          <w:color w:val="auto"/>
          <w:kern w:val="0"/>
          <w:sz w:val="24"/>
          <w:szCs w:val="24"/>
        </w:rPr>
        <w:t xml:space="preserve"> (服务期限：</w:t>
      </w:r>
      <w:r>
        <w:rPr>
          <w:rFonts w:hint="eastAsia" w:ascii="宋体" w:hAnsi="宋体" w:eastAsia="宋体" w:cs="宋体"/>
          <w:color w:val="auto"/>
          <w:kern w:val="0"/>
          <w:sz w:val="24"/>
          <w:szCs w:val="24"/>
          <w:lang w:val="en-US" w:eastAsia="zh-CN"/>
        </w:rPr>
        <w:t>3年</w:t>
      </w:r>
      <w:r>
        <w:rPr>
          <w:rFonts w:hint="eastAsia" w:ascii="宋体" w:hAnsi="宋体" w:eastAsia="宋体" w:cs="宋体"/>
          <w:color w:val="auto"/>
          <w:kern w:val="0"/>
          <w:sz w:val="24"/>
          <w:szCs w:val="24"/>
        </w:rPr>
        <w:t xml:space="preserve">  )</w:t>
      </w:r>
    </w:p>
    <w:p>
      <w:pPr>
        <w:pageBreakBefore w:val="0"/>
        <w:widowControl/>
        <w:kinsoku/>
        <w:wordWrap/>
        <w:overflowPunct/>
        <w:topLinePunct w:val="0"/>
        <w:bidi w:val="0"/>
        <w:spacing w:after="75" w:line="400" w:lineRule="exact"/>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三、供应商资格要求</w:t>
      </w:r>
    </w:p>
    <w:p>
      <w:pPr>
        <w:pageBreakBefore w:val="0"/>
        <w:widowControl/>
        <w:kinsoku/>
        <w:wordWrap/>
        <w:overflowPunct/>
        <w:topLinePunct w:val="0"/>
        <w:bidi w:val="0"/>
        <w:spacing w:after="75" w:line="400" w:lineRule="exact"/>
        <w:ind w:firstLine="48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（一）符合</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并提供下列材料：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1、法人或者其他组织的营业执照等证明文件；</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2、上一年度的财务报告（成立不满一年不需提供）；</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3、依法缴纳税收和社会保障资金的相关证明材料；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4、具备履行合同所必需的设备和专业技术能力的证明材料；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5、参加采购活动前3年内在经营活动中没有重大违法记录的书面声明；</w:t>
      </w:r>
    </w:p>
    <w:p>
      <w:pPr>
        <w:pageBreakBefore w:val="0"/>
        <w:widowControl/>
        <w:kinsoku/>
        <w:wordWrap/>
        <w:overflowPunct/>
        <w:topLinePunct w:val="0"/>
        <w:bidi w:val="0"/>
        <w:spacing w:after="75" w:line="400" w:lineRule="exact"/>
        <w:ind w:firstLine="48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（二）采购人其他要求：</w:t>
      </w:r>
    </w:p>
    <w:p>
      <w:pPr>
        <w:pageBreakBefore w:val="0"/>
        <w:widowControl/>
        <w:kinsoku/>
        <w:wordWrap/>
        <w:overflowPunct/>
        <w:topLinePunct w:val="0"/>
        <w:bidi w:val="0"/>
        <w:spacing w:after="75" w:line="400" w:lineRule="exact"/>
        <w:ind w:firstLine="480"/>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潜在供应商需具有有效期内的《网络安全等级测评与检测评估机构服务认证证书》。</w:t>
      </w:r>
    </w:p>
    <w:p>
      <w:pPr>
        <w:pageBreakBefore w:val="0"/>
        <w:widowControl/>
        <w:tabs>
          <w:tab w:val="center" w:pos="4917"/>
        </w:tabs>
        <w:kinsoku/>
        <w:wordWrap/>
        <w:overflowPunct/>
        <w:topLinePunct w:val="0"/>
        <w:bidi w:val="0"/>
        <w:spacing w:after="75" w:line="400" w:lineRule="exact"/>
        <w:ind w:firstLine="480"/>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本项目不接受联合体投标。</w:t>
      </w:r>
      <w:r>
        <w:rPr>
          <w:rFonts w:hint="eastAsia" w:ascii="宋体" w:hAnsi="宋体" w:eastAsia="宋体" w:cs="宋体"/>
          <w:color w:val="FF0000"/>
          <w:kern w:val="0"/>
          <w:sz w:val="24"/>
          <w:szCs w:val="24"/>
        </w:rPr>
        <w:tab/>
      </w:r>
    </w:p>
    <w:p>
      <w:pPr>
        <w:pageBreakBefore w:val="0"/>
        <w:widowControl/>
        <w:kinsoku/>
        <w:wordWrap/>
        <w:overflowPunct/>
        <w:topLinePunct w:val="0"/>
        <w:bidi w:val="0"/>
        <w:spacing w:after="75" w:line="400" w:lineRule="exac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四、拟采购的货物或者服务的说明</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本项目服务具体需求详见附件竞争性磋商文件。</w:t>
      </w:r>
    </w:p>
    <w:p>
      <w:pPr>
        <w:pageBreakBefore w:val="0"/>
        <w:numPr>
          <w:ilvl w:val="0"/>
          <w:numId w:val="1"/>
        </w:numPr>
        <w:kinsoku/>
        <w:wordWrap/>
        <w:overflowPunct/>
        <w:topLinePunct w:val="0"/>
        <w:bidi w:val="0"/>
        <w:spacing w:line="40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供应商参响应竞争性磋商路径</w:t>
      </w:r>
    </w:p>
    <w:p>
      <w:pPr>
        <w:pageBreakBefore w:val="0"/>
        <w:numPr>
          <w:ilvl w:val="0"/>
          <w:numId w:val="0"/>
        </w:numPr>
        <w:kinsoku/>
        <w:wordWrap/>
        <w:overflowPunct/>
        <w:topLinePunct w:val="0"/>
        <w:bidi w:val="0"/>
        <w:spacing w:line="400" w:lineRule="exac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rPr>
        <w:t>1、</w:t>
      </w:r>
      <w:r>
        <w:rPr>
          <w:rFonts w:hint="eastAsia" w:ascii="宋体" w:hAnsi="宋体" w:eastAsia="宋体" w:cs="宋体"/>
          <w:b w:val="0"/>
          <w:bCs/>
          <w:sz w:val="24"/>
          <w:szCs w:val="24"/>
        </w:rPr>
        <w:t>获取采购文件</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时间：202</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3</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年</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1</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月</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16</w:t>
      </w:r>
      <w:r>
        <w:rPr>
          <w:rFonts w:hint="eastAsia" w:ascii="宋体" w:hAnsi="宋体" w:eastAsia="宋体" w:cs="宋体"/>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日至202</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3</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年</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2</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月</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1</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日</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lang w:eastAsia="zh-CN"/>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地点：</w:t>
      </w:r>
      <w:r>
        <w:rPr>
          <w:rFonts w:hint="eastAsia" w:ascii="宋体" w:hAnsi="宋体" w:eastAsia="宋体" w:cs="宋体"/>
          <w:color w:val="262626" w:themeColor="text1" w:themeTint="D9"/>
          <w:sz w:val="24"/>
          <w:szCs w:val="24"/>
          <w:lang w:eastAsia="zh-CN"/>
          <w14:textFill>
            <w14:solidFill>
              <w14:schemeClr w14:val="tx1">
                <w14:lumMod w14:val="85000"/>
                <w14:lumOff w14:val="15000"/>
              </w14:schemeClr>
            </w14:solidFill>
          </w14:textFill>
        </w:rPr>
        <w:t>《</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南通市公共资源交易网</w:t>
      </w:r>
      <w:r>
        <w:rPr>
          <w:rFonts w:hint="eastAsia" w:ascii="宋体" w:hAnsi="宋体" w:eastAsia="宋体" w:cs="宋体"/>
          <w:color w:val="262626" w:themeColor="text1" w:themeTint="D9"/>
          <w:sz w:val="24"/>
          <w:szCs w:val="24"/>
          <w:lang w:eastAsia="zh-CN"/>
          <w14:textFill>
            <w14:solidFill>
              <w14:schemeClr w14:val="tx1">
                <w14:lumMod w14:val="85000"/>
                <w14:lumOff w14:val="15000"/>
              </w14:schemeClr>
            </w14:solidFill>
          </w14:textFill>
        </w:rPr>
        <w:t>》、《</w:t>
      </w:r>
      <w:r>
        <w:rPr>
          <w:rFonts w:hint="eastAsia" w:ascii="宋体" w:hAnsi="宋体" w:eastAsia="宋体" w:cs="宋体"/>
          <w:color w:val="262626" w:themeColor="text1" w:themeTint="D9"/>
          <w:sz w:val="24"/>
          <w:szCs w:val="24"/>
          <w:lang w:val="en-US" w:eastAsia="zh-CN"/>
          <w14:textFill>
            <w14:solidFill>
              <w14:schemeClr w14:val="tx1">
                <w14:lumMod w14:val="85000"/>
                <w14:lumOff w14:val="15000"/>
              </w14:schemeClr>
            </w14:solidFill>
          </w14:textFill>
        </w:rPr>
        <w:t>南通网</w:t>
      </w:r>
      <w:r>
        <w:rPr>
          <w:rFonts w:hint="eastAsia" w:ascii="宋体" w:hAnsi="宋体" w:eastAsia="宋体" w:cs="宋体"/>
          <w:color w:val="262626" w:themeColor="text1" w:themeTint="D9"/>
          <w:sz w:val="24"/>
          <w:szCs w:val="24"/>
          <w:lang w:eastAsia="zh-CN"/>
          <w14:textFill>
            <w14:solidFill>
              <w14:schemeClr w14:val="tx1">
                <w14:lumMod w14:val="85000"/>
                <w14:lumOff w14:val="15000"/>
              </w14:schemeClr>
            </w14:solidFill>
          </w14:textFill>
        </w:rPr>
        <w:t>》</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方式：自行下载</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售价：免费</w:t>
      </w:r>
    </w:p>
    <w:p>
      <w:pPr>
        <w:pageBreakBefore w:val="0"/>
        <w:kinsoku/>
        <w:wordWrap/>
        <w:overflowPunct/>
        <w:topLinePunct w:val="0"/>
        <w:bidi w:val="0"/>
        <w:spacing w:line="400" w:lineRule="exact"/>
        <w:rPr>
          <w:rFonts w:hint="eastAsia" w:ascii="宋体" w:hAnsi="宋体" w:eastAsia="宋体" w:cs="宋体"/>
          <w:b/>
          <w:bCs/>
          <w:color w:val="262626" w:themeColor="text1" w:themeTint="D9"/>
          <w:sz w:val="24"/>
          <w:szCs w:val="24"/>
          <w:lang w:eastAsia="zh-CN"/>
          <w14:textFill>
            <w14:solidFill>
              <w14:schemeClr w14:val="tx1">
                <w14:lumMod w14:val="85000"/>
                <w14:lumOff w14:val="15000"/>
              </w14:schemeClr>
            </w14:solidFill>
          </w14:textFill>
        </w:rPr>
      </w:pPr>
      <w:r>
        <w:rPr>
          <w:rFonts w:hint="eastAsia" w:ascii="宋体" w:hAnsi="宋体" w:eastAsia="宋体" w:cs="宋体"/>
          <w:b/>
          <w:bCs/>
          <w:color w:val="262626" w:themeColor="text1" w:themeTint="D9"/>
          <w:sz w:val="24"/>
          <w:szCs w:val="24"/>
          <w:lang w:val="en-US" w:eastAsia="zh-CN"/>
          <w14:textFill>
            <w14:solidFill>
              <w14:schemeClr w14:val="tx1">
                <w14:lumMod w14:val="85000"/>
                <w14:lumOff w14:val="15000"/>
              </w14:schemeClr>
            </w14:solidFill>
          </w14:textFill>
        </w:rPr>
        <w:t>2、</w:t>
      </w:r>
      <w:r>
        <w:rPr>
          <w:rFonts w:hint="eastAsia" w:ascii="宋体" w:hAnsi="宋体" w:eastAsia="宋体" w:cs="宋体"/>
          <w:b/>
          <w:bCs/>
          <w:color w:val="262626" w:themeColor="text1" w:themeTint="D9"/>
          <w:sz w:val="24"/>
          <w:szCs w:val="24"/>
          <w14:textFill>
            <w14:solidFill>
              <w14:schemeClr w14:val="tx1">
                <w14:lumMod w14:val="85000"/>
                <w14:lumOff w14:val="15000"/>
              </w14:schemeClr>
            </w14:solidFill>
          </w14:textFill>
        </w:rPr>
        <w:t>提交响应文件截止时间、磋商时间和地点</w:t>
      </w:r>
      <w:r>
        <w:rPr>
          <w:rFonts w:hint="eastAsia" w:ascii="宋体" w:hAnsi="宋体" w:eastAsia="宋体" w:cs="宋体"/>
          <w:b/>
          <w:bCs/>
          <w:color w:val="262626" w:themeColor="text1" w:themeTint="D9"/>
          <w:sz w:val="24"/>
          <w:szCs w:val="24"/>
          <w:lang w:eastAsia="zh-CN"/>
          <w14:textFill>
            <w14:solidFill>
              <w14:schemeClr w14:val="tx1">
                <w14:lumMod w14:val="85000"/>
                <w14:lumOff w14:val="15000"/>
              </w14:schemeClr>
            </w14:solidFill>
          </w14:textFill>
        </w:rPr>
        <w:t>：</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lang w:val="en-US" w:eastAsia="zh-CN"/>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202</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3</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年</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2</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月</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2</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日</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14</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点</w:t>
      </w:r>
      <w:r>
        <w:rPr>
          <w:rFonts w:hint="eastAsia" w:ascii="宋体" w:hAnsi="宋体" w:cs="宋体"/>
          <w:color w:val="262626" w:themeColor="text1" w:themeTint="D9"/>
          <w:sz w:val="24"/>
          <w:szCs w:val="24"/>
          <w:lang w:val="en-US" w:eastAsia="zh-CN"/>
          <w14:textFill>
            <w14:solidFill>
              <w14:schemeClr w14:val="tx1">
                <w14:lumMod w14:val="85000"/>
                <w14:lumOff w14:val="15000"/>
              </w14:schemeClr>
            </w14:solidFill>
          </w14:textFill>
        </w:rPr>
        <w:t>30</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分（北京时间）</w:t>
      </w:r>
      <w:r>
        <w:rPr>
          <w:rFonts w:hint="eastAsia" w:ascii="宋体" w:hAnsi="宋体" w:eastAsia="宋体" w:cs="宋体"/>
          <w:color w:val="262626" w:themeColor="text1" w:themeTint="D9"/>
          <w:sz w:val="24"/>
          <w:szCs w:val="24"/>
          <w:lang w:eastAsia="zh-CN"/>
          <w14:textFill>
            <w14:solidFill>
              <w14:schemeClr w14:val="tx1">
                <w14:lumMod w14:val="85000"/>
                <w14:lumOff w14:val="15000"/>
              </w14:schemeClr>
            </w14:solidFill>
          </w14:textFill>
        </w:rPr>
        <w:t>，</w:t>
      </w:r>
      <w: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t>逾时</w:t>
      </w:r>
      <w:r>
        <w:rPr>
          <w:rFonts w:hint="eastAsia" w:ascii="宋体" w:hAnsi="宋体" w:eastAsia="宋体" w:cs="宋体"/>
          <w:color w:val="262626" w:themeColor="text1" w:themeTint="D9"/>
          <w:sz w:val="24"/>
          <w:szCs w:val="24"/>
          <w:lang w:val="en-US" w:eastAsia="zh-CN"/>
          <w14:textFill>
            <w14:solidFill>
              <w14:schemeClr w14:val="tx1">
                <w14:lumMod w14:val="85000"/>
                <w14:lumOff w14:val="15000"/>
              </w14:schemeClr>
            </w14:solidFill>
          </w14:textFill>
        </w:rPr>
        <w:t>现场不接受文件</w:t>
      </w:r>
    </w:p>
    <w:p>
      <w:pPr>
        <w:pStyle w:val="43"/>
        <w:shd w:val="clear" w:color="auto" w:fill="FFFFFF"/>
        <w:spacing w:before="0" w:beforeAutospacing="0" w:after="0" w:afterAutospacing="0" w:line="360" w:lineRule="auto"/>
        <w:jc w:val="both"/>
        <w:rPr>
          <w:rFonts w:hint="eastAsia" w:ascii="宋体" w:hAnsi="宋体" w:eastAsia="宋体" w:cs="宋体"/>
          <w:color w:val="262626" w:themeColor="text1" w:themeTint="D9"/>
          <w:sz w:val="24"/>
          <w:szCs w:val="24"/>
          <w:highlight w:val="none"/>
          <w14:textFill>
            <w14:solidFill>
              <w14:schemeClr w14:val="tx1">
                <w14:lumMod w14:val="85000"/>
                <w14:lumOff w14:val="15000"/>
              </w14:schemeClr>
            </w14:solidFill>
          </w14:textFill>
        </w:rPr>
      </w:pPr>
      <w:r>
        <w:rPr>
          <w:rFonts w:hint="eastAsia" w:ascii="宋体" w:hAnsi="宋体" w:eastAsia="宋体" w:cs="宋体"/>
          <w:color w:val="262626" w:themeColor="text1" w:themeTint="D9"/>
          <w:sz w:val="24"/>
          <w:szCs w:val="24"/>
          <w:highlight w:val="none"/>
          <w14:textFill>
            <w14:solidFill>
              <w14:schemeClr w14:val="tx1">
                <w14:lumMod w14:val="85000"/>
                <w14:lumOff w14:val="15000"/>
              </w14:schemeClr>
            </w14:solidFill>
          </w14:textFill>
        </w:rPr>
        <w:t>地点：南通市崇川区世纪大道8号南通报业新闻传媒中心大厦</w:t>
      </w:r>
      <w:r>
        <w:rPr>
          <w:rFonts w:hint="eastAsia" w:ascii="宋体" w:hAnsi="宋体" w:eastAsia="宋体" w:cs="宋体"/>
          <w:color w:val="262626" w:themeColor="text1" w:themeTint="D9"/>
          <w:sz w:val="24"/>
          <w:szCs w:val="24"/>
          <w:highlight w:val="none"/>
          <w:lang w:val="en-US" w:eastAsia="zh-CN"/>
          <w14:textFill>
            <w14:solidFill>
              <w14:schemeClr w14:val="tx1">
                <w14:lumMod w14:val="85000"/>
                <w14:lumOff w14:val="15000"/>
              </w14:schemeClr>
            </w14:solidFill>
          </w14:textFill>
        </w:rPr>
        <w:t>2012</w:t>
      </w:r>
      <w:r>
        <w:rPr>
          <w:rFonts w:hint="eastAsia" w:ascii="宋体" w:hAnsi="宋体" w:eastAsia="宋体" w:cs="宋体"/>
          <w:color w:val="262626" w:themeColor="text1" w:themeTint="D9"/>
          <w:sz w:val="24"/>
          <w:szCs w:val="24"/>
          <w:highlight w:val="none"/>
          <w14:textFill>
            <w14:solidFill>
              <w14:schemeClr w14:val="tx1">
                <w14:lumMod w14:val="85000"/>
                <w14:lumOff w14:val="15000"/>
              </w14:schemeClr>
            </w14:solidFill>
          </w14:textFill>
        </w:rPr>
        <w:t>会议室。</w:t>
      </w:r>
    </w:p>
    <w:p>
      <w:pPr>
        <w:pageBreakBefore w:val="0"/>
        <w:kinsoku/>
        <w:wordWrap/>
        <w:overflowPunct/>
        <w:topLinePunct w:val="0"/>
        <w:bidi w:val="0"/>
        <w:spacing w:line="400" w:lineRule="exact"/>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p>
      <w:pPr>
        <w:pStyle w:val="2"/>
        <w:pageBreakBefore w:val="0"/>
        <w:kinsoku/>
        <w:wordWrap/>
        <w:overflowPunct/>
        <w:topLinePunct w:val="0"/>
        <w:bidi w:val="0"/>
        <w:spacing w:line="4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3、磋商保证金：</w:t>
      </w:r>
      <w:r>
        <w:rPr>
          <w:rFonts w:hint="eastAsia" w:ascii="宋体" w:hAnsi="宋体" w:eastAsia="宋体" w:cs="宋体"/>
          <w:sz w:val="24"/>
          <w:szCs w:val="24"/>
          <w:lang w:val="en-US" w:eastAsia="zh-CN"/>
        </w:rPr>
        <w:t>本项目不需要提供保证金。</w:t>
      </w:r>
    </w:p>
    <w:p>
      <w:pPr>
        <w:pageBreakBefore w:val="0"/>
        <w:numPr>
          <w:ilvl w:val="0"/>
          <w:numId w:val="0"/>
        </w:numPr>
        <w:kinsoku/>
        <w:wordWrap/>
        <w:overflowPunct/>
        <w:topLinePunct w:val="0"/>
        <w:bidi w:val="0"/>
        <w:spacing w:line="40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、公告期限</w:t>
      </w:r>
    </w:p>
    <w:p>
      <w:pPr>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400" w:lineRule="exact"/>
        <w:rPr>
          <w:rFonts w:hint="eastAsia" w:ascii="宋体" w:hAnsi="宋体" w:eastAsia="宋体" w:cs="宋体"/>
          <w:b/>
          <w:bCs/>
          <w:sz w:val="24"/>
          <w:szCs w:val="24"/>
        </w:rPr>
      </w:pPr>
    </w:p>
    <w:p>
      <w:pPr>
        <w:pageBreakBefore w:val="0"/>
        <w:kinsoku/>
        <w:wordWrap/>
        <w:overflowPunct/>
        <w:topLinePunct w:val="0"/>
        <w:bidi w:val="0"/>
        <w:spacing w:line="400" w:lineRule="exact"/>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如对本项目招标文件有异议的，请于投标截止日前两日将书面意见反馈给采购单位。</w:t>
      </w:r>
    </w:p>
    <w:p>
      <w:pPr>
        <w:pageBreakBefore w:val="0"/>
        <w:kinsoku/>
        <w:wordWrap/>
        <w:overflowPunct/>
        <w:topLinePunct w:val="0"/>
        <w:bidi w:val="0"/>
        <w:spacing w:line="400" w:lineRule="exact"/>
        <w:rPr>
          <w:rFonts w:hint="eastAsia" w:ascii="宋体" w:hAnsi="宋体" w:eastAsia="宋体" w:cs="宋体"/>
          <w:sz w:val="24"/>
          <w:szCs w:val="24"/>
        </w:rPr>
      </w:pPr>
    </w:p>
    <w:p>
      <w:pPr>
        <w:pageBreakBefore w:val="0"/>
        <w:widowControl/>
        <w:kinsoku/>
        <w:wordWrap/>
        <w:overflowPunct/>
        <w:topLinePunct w:val="0"/>
        <w:bidi w:val="0"/>
        <w:spacing w:after="75" w:line="400" w:lineRule="exact"/>
        <w:jc w:val="left"/>
        <w:rPr>
          <w:rFonts w:hint="eastAsia" w:ascii="宋体" w:hAnsi="宋体" w:eastAsia="宋体" w:cs="宋体"/>
          <w:b/>
          <w:color w:val="000000"/>
          <w:kern w:val="0"/>
          <w:sz w:val="24"/>
          <w:szCs w:val="24"/>
        </w:rPr>
      </w:pPr>
      <w:r>
        <w:rPr>
          <w:rFonts w:hint="eastAsia" w:ascii="宋体" w:hAnsi="宋体" w:cs="宋体"/>
          <w:b/>
          <w:color w:val="000000"/>
          <w:kern w:val="0"/>
          <w:sz w:val="24"/>
          <w:szCs w:val="24"/>
          <w:lang w:val="en-US" w:eastAsia="zh-CN"/>
        </w:rPr>
        <w:t>六</w:t>
      </w:r>
      <w:r>
        <w:rPr>
          <w:rFonts w:hint="eastAsia" w:ascii="宋体" w:hAnsi="宋体" w:eastAsia="宋体" w:cs="宋体"/>
          <w:b/>
          <w:color w:val="000000"/>
          <w:kern w:val="0"/>
          <w:sz w:val="24"/>
          <w:szCs w:val="24"/>
        </w:rPr>
        <w:t>、采购方联系人和联系电话</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采购单位：南通日报社（</w:t>
      </w:r>
      <w:r>
        <w:rPr>
          <w:rFonts w:hint="eastAsia" w:ascii="宋体" w:hAnsi="宋体" w:cs="宋体"/>
          <w:color w:val="auto"/>
          <w:kern w:val="0"/>
          <w:sz w:val="24"/>
          <w:szCs w:val="24"/>
          <w:highlight w:val="none"/>
          <w:lang w:eastAsia="zh-CN"/>
        </w:rPr>
        <w:t>集团</w:t>
      </w:r>
      <w:r>
        <w:rPr>
          <w:rFonts w:hint="eastAsia" w:ascii="宋体" w:hAnsi="宋体" w:eastAsia="宋体" w:cs="宋体"/>
          <w:color w:val="auto"/>
          <w:kern w:val="0"/>
          <w:sz w:val="24"/>
          <w:szCs w:val="24"/>
          <w:highlight w:val="none"/>
        </w:rPr>
        <w:t>）</w:t>
      </w:r>
    </w:p>
    <w:p>
      <w:pPr>
        <w:widowControl/>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地址：江苏省南通市崇川区世纪大道8号2406室  邮编：226018</w:t>
      </w:r>
    </w:p>
    <w:p>
      <w:pPr>
        <w:widowControl/>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联系人：</w:t>
      </w:r>
      <w:r>
        <w:rPr>
          <w:rFonts w:hint="eastAsia" w:ascii="宋体" w:hAnsi="宋体" w:eastAsia="宋体" w:cs="宋体"/>
          <w:color w:val="auto"/>
          <w:kern w:val="0"/>
          <w:sz w:val="24"/>
          <w:szCs w:val="24"/>
          <w:highlight w:val="none"/>
          <w:lang w:val="en-US" w:eastAsia="zh-CN"/>
        </w:rPr>
        <w:t>张庆锋</w:t>
      </w:r>
      <w:r>
        <w:rPr>
          <w:rFonts w:hint="eastAsia" w:ascii="宋体" w:hAnsi="宋体" w:eastAsia="宋体" w:cs="宋体"/>
          <w:color w:val="auto"/>
          <w:kern w:val="0"/>
          <w:sz w:val="24"/>
          <w:szCs w:val="24"/>
          <w:highlight w:val="none"/>
          <w:lang w:val="zh-CN"/>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电话：0513-682188</w:t>
      </w:r>
      <w:r>
        <w:rPr>
          <w:rFonts w:hint="eastAsia" w:ascii="宋体" w:hAnsi="宋体" w:eastAsia="宋体" w:cs="宋体"/>
          <w:color w:val="auto"/>
          <w:kern w:val="0"/>
          <w:sz w:val="24"/>
          <w:szCs w:val="24"/>
          <w:highlight w:val="none"/>
          <w:lang w:val="en-US" w:eastAsia="zh-CN"/>
        </w:rPr>
        <w:t xml:space="preserve">29 </w:t>
      </w:r>
    </w:p>
    <w:p>
      <w:pPr>
        <w:widowControl/>
        <w:spacing w:after="75" w:line="360" w:lineRule="auto"/>
        <w:ind w:firstLine="48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pPr>
        <w:pStyle w:val="2"/>
        <w:rPr>
          <w:rFonts w:hint="eastAsia" w:ascii="宋体" w:hAnsi="宋体" w:eastAsia="宋体" w:cs="宋体"/>
          <w:color w:val="auto"/>
          <w:kern w:val="0"/>
          <w:sz w:val="24"/>
          <w:szCs w:val="24"/>
          <w:highlight w:val="none"/>
          <w:lang w:val="en-US" w:eastAsia="zh-CN"/>
        </w:rPr>
      </w:pPr>
    </w:p>
    <w:p>
      <w:pPr>
        <w:pStyle w:val="2"/>
        <w:rPr>
          <w:rFonts w:hint="eastAsia" w:ascii="宋体" w:hAnsi="宋体" w:eastAsia="宋体" w:cs="宋体"/>
          <w:color w:val="auto"/>
          <w:kern w:val="0"/>
          <w:sz w:val="24"/>
          <w:szCs w:val="24"/>
          <w:highlight w:val="none"/>
          <w:lang w:val="en-US" w:eastAsia="zh-CN"/>
        </w:rPr>
      </w:pPr>
    </w:p>
    <w:p>
      <w:pPr>
        <w:pageBreakBefore w:val="0"/>
        <w:widowControl/>
        <w:kinsoku/>
        <w:wordWrap/>
        <w:overflowPunct/>
        <w:topLinePunct w:val="0"/>
        <w:bidi w:val="0"/>
        <w:spacing w:line="400" w:lineRule="exact"/>
        <w:ind w:firstLine="480"/>
        <w:jc w:val="left"/>
        <w:rPr>
          <w:rFonts w:hint="eastAsia" w:ascii="宋体" w:hAnsi="宋体" w:eastAsia="宋体" w:cs="宋体"/>
          <w:color w:val="000000"/>
          <w:kern w:val="0"/>
          <w:sz w:val="24"/>
          <w:szCs w:val="24"/>
        </w:rPr>
      </w:pPr>
    </w:p>
    <w:p>
      <w:pPr>
        <w:pageBreakBefore w:val="0"/>
        <w:widowControl/>
        <w:kinsoku/>
        <w:wordWrap/>
        <w:overflowPunct/>
        <w:topLinePunct w:val="0"/>
        <w:bidi w:val="0"/>
        <w:spacing w:after="75" w:line="400" w:lineRule="exact"/>
        <w:ind w:firstLine="480"/>
        <w:jc w:val="center"/>
        <w:rPr>
          <w:rFonts w:hint="eastAsia" w:ascii="宋体" w:hAnsi="宋体" w:eastAsia="宋体" w:cs="宋体"/>
          <w:color w:val="FF0000"/>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南通日报社（</w:t>
      </w:r>
      <w:r>
        <w:rPr>
          <w:rFonts w:hint="eastAsia" w:ascii="宋体" w:hAnsi="宋体" w:cs="宋体"/>
          <w:kern w:val="0"/>
          <w:sz w:val="24"/>
          <w:szCs w:val="24"/>
          <w:lang w:eastAsia="zh-CN"/>
        </w:rPr>
        <w:t>集团</w:t>
      </w:r>
      <w:r>
        <w:rPr>
          <w:rFonts w:hint="eastAsia" w:ascii="宋体" w:hAnsi="宋体" w:eastAsia="宋体" w:cs="宋体"/>
          <w:kern w:val="0"/>
          <w:sz w:val="24"/>
          <w:szCs w:val="24"/>
        </w:rPr>
        <w:t>）</w:t>
      </w:r>
    </w:p>
    <w:p>
      <w:pPr>
        <w:pageBreakBefore w:val="0"/>
        <w:widowControl/>
        <w:kinsoku/>
        <w:wordWrap/>
        <w:overflowPunct/>
        <w:topLinePunct w:val="0"/>
        <w:bidi w:val="0"/>
        <w:spacing w:after="75" w:line="400" w:lineRule="exact"/>
        <w:ind w:firstLine="480"/>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color w:val="262626" w:themeColor="text1" w:themeTint="D9"/>
          <w:kern w:val="0"/>
          <w:sz w:val="24"/>
          <w:szCs w:val="24"/>
          <w:lang w:val="en-US" w:eastAsia="zh-CN"/>
          <w14:textFill>
            <w14:solidFill>
              <w14:schemeClr w14:val="tx1">
                <w14:lumMod w14:val="85000"/>
                <w14:lumOff w14:val="15000"/>
              </w14:schemeClr>
            </w14:solidFill>
          </w14:textFill>
        </w:rPr>
        <w:t xml:space="preserve"> </w:t>
      </w:r>
      <w:r>
        <w:rPr>
          <w:rFonts w:hint="eastAsia" w:ascii="宋体" w:hAnsi="宋体" w:cs="宋体"/>
          <w:color w:val="262626" w:themeColor="text1" w:themeTint="D9"/>
          <w:kern w:val="0"/>
          <w:sz w:val="24"/>
          <w:szCs w:val="24"/>
          <w:lang w:val="en-US" w:eastAsia="zh-CN"/>
          <w14:textFill>
            <w14:solidFill>
              <w14:schemeClr w14:val="tx1">
                <w14:lumMod w14:val="85000"/>
                <w14:lumOff w14:val="15000"/>
              </w14:schemeClr>
            </w14:solidFill>
          </w14:textFill>
        </w:rPr>
        <w:t xml:space="preserve"> </w:t>
      </w:r>
      <w:r>
        <w:rPr>
          <w:rFonts w:hint="eastAsia" w:ascii="宋体" w:hAnsi="宋体" w:eastAsia="宋体" w:cs="宋体"/>
          <w:color w:val="262626" w:themeColor="text1" w:themeTint="D9"/>
          <w:kern w:val="0"/>
          <w:sz w:val="24"/>
          <w:szCs w:val="24"/>
          <w:lang w:val="en-US" w:eastAsia="zh-CN"/>
          <w14:textFill>
            <w14:solidFill>
              <w14:schemeClr w14:val="tx1">
                <w14:lumMod w14:val="85000"/>
                <w14:lumOff w14:val="15000"/>
              </w14:schemeClr>
            </w14:solidFill>
          </w14:textFill>
        </w:rPr>
        <w:t xml:space="preserve"> </w:t>
      </w:r>
      <w:r>
        <w:rPr>
          <w:rFonts w:hint="eastAsia" w:ascii="宋体" w:hAnsi="宋体" w:eastAsia="宋体" w:cs="宋体"/>
          <w:color w:val="262626" w:themeColor="text1" w:themeTint="D9"/>
          <w:kern w:val="0"/>
          <w:sz w:val="24"/>
          <w:szCs w:val="24"/>
          <w14:textFill>
            <w14:solidFill>
              <w14:schemeClr w14:val="tx1">
                <w14:lumMod w14:val="85000"/>
                <w14:lumOff w14:val="15000"/>
              </w14:schemeClr>
            </w14:solidFill>
          </w14:textFill>
        </w:rPr>
        <w:t>202</w:t>
      </w:r>
      <w:r>
        <w:rPr>
          <w:rFonts w:hint="eastAsia" w:ascii="宋体" w:hAnsi="宋体" w:cs="宋体"/>
          <w:color w:val="262626" w:themeColor="text1" w:themeTint="D9"/>
          <w:kern w:val="0"/>
          <w:sz w:val="24"/>
          <w:szCs w:val="24"/>
          <w:lang w:val="en-US" w:eastAsia="zh-CN"/>
          <w14:textFill>
            <w14:solidFill>
              <w14:schemeClr w14:val="tx1">
                <w14:lumMod w14:val="85000"/>
                <w14:lumOff w14:val="15000"/>
              </w14:schemeClr>
            </w14:solidFill>
          </w14:textFill>
        </w:rPr>
        <w:t>3</w:t>
      </w:r>
      <w:r>
        <w:rPr>
          <w:rFonts w:hint="eastAsia" w:ascii="宋体" w:hAnsi="宋体" w:eastAsia="宋体" w:cs="宋体"/>
          <w:color w:val="262626" w:themeColor="text1" w:themeTint="D9"/>
          <w:kern w:val="0"/>
          <w:sz w:val="24"/>
          <w:szCs w:val="24"/>
          <w14:textFill>
            <w14:solidFill>
              <w14:schemeClr w14:val="tx1">
                <w14:lumMod w14:val="85000"/>
                <w14:lumOff w14:val="15000"/>
              </w14:schemeClr>
            </w14:solidFill>
          </w14:textFill>
        </w:rPr>
        <w:t>年</w:t>
      </w:r>
      <w:r>
        <w:rPr>
          <w:rFonts w:hint="eastAsia" w:ascii="宋体" w:hAnsi="宋体" w:cs="宋体"/>
          <w:color w:val="262626" w:themeColor="text1" w:themeTint="D9"/>
          <w:kern w:val="0"/>
          <w:sz w:val="24"/>
          <w:szCs w:val="24"/>
          <w:lang w:val="en-US" w:eastAsia="zh-CN"/>
          <w14:textFill>
            <w14:solidFill>
              <w14:schemeClr w14:val="tx1">
                <w14:lumMod w14:val="85000"/>
                <w14:lumOff w14:val="15000"/>
              </w14:schemeClr>
            </w14:solidFill>
          </w14:textFill>
        </w:rPr>
        <w:t>1</w:t>
      </w:r>
      <w:r>
        <w:rPr>
          <w:rFonts w:hint="eastAsia" w:ascii="宋体" w:hAnsi="宋体" w:eastAsia="宋体" w:cs="宋体"/>
          <w:color w:val="262626" w:themeColor="text1" w:themeTint="D9"/>
          <w:kern w:val="0"/>
          <w:sz w:val="24"/>
          <w:szCs w:val="24"/>
          <w14:textFill>
            <w14:solidFill>
              <w14:schemeClr w14:val="tx1">
                <w14:lumMod w14:val="85000"/>
                <w14:lumOff w14:val="15000"/>
              </w14:schemeClr>
            </w14:solidFill>
          </w14:textFill>
        </w:rPr>
        <w:t>月</w:t>
      </w:r>
      <w:r>
        <w:rPr>
          <w:rFonts w:hint="eastAsia" w:ascii="宋体" w:hAnsi="宋体" w:cs="宋体"/>
          <w:color w:val="262626" w:themeColor="text1" w:themeTint="D9"/>
          <w:kern w:val="0"/>
          <w:sz w:val="24"/>
          <w:szCs w:val="24"/>
          <w:lang w:val="en-US" w:eastAsia="zh-CN"/>
          <w14:textFill>
            <w14:solidFill>
              <w14:schemeClr w14:val="tx1">
                <w14:lumMod w14:val="85000"/>
                <w14:lumOff w14:val="15000"/>
              </w14:schemeClr>
            </w14:solidFill>
          </w14:textFill>
        </w:rPr>
        <w:t>16</w:t>
      </w:r>
      <w:r>
        <w:rPr>
          <w:rFonts w:hint="eastAsia" w:ascii="宋体" w:hAnsi="宋体" w:eastAsia="宋体" w:cs="宋体"/>
          <w:color w:val="262626" w:themeColor="text1" w:themeTint="D9"/>
          <w:kern w:val="0"/>
          <w:sz w:val="24"/>
          <w:szCs w:val="24"/>
          <w14:textFill>
            <w14:solidFill>
              <w14:schemeClr w14:val="tx1">
                <w14:lumMod w14:val="85000"/>
                <w14:lumOff w14:val="15000"/>
              </w14:schemeClr>
            </w14:solidFill>
          </w14:textFill>
        </w:rPr>
        <w:t>日</w:t>
      </w: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bookmarkStart w:id="3" w:name="_Toc99106003"/>
      <w:bookmarkStart w:id="4" w:name="_Toc99539215"/>
    </w:p>
    <w:p>
      <w:pPr>
        <w:pStyle w:val="5"/>
        <w:pageBreakBefore w:val="0"/>
        <w:kinsoku/>
        <w:wordWrap/>
        <w:overflowPunct/>
        <w:topLinePunct w:val="0"/>
        <w:bidi w:val="0"/>
        <w:spacing w:before="240" w:after="240" w:line="400" w:lineRule="exact"/>
        <w:jc w:val="both"/>
        <w:rPr>
          <w:rFonts w:hint="eastAsia" w:ascii="宋体" w:hAnsi="宋体" w:eastAsia="宋体" w:cs="宋体"/>
          <w:sz w:val="36"/>
          <w:szCs w:val="36"/>
        </w:rPr>
      </w:pP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p>
    <w:p>
      <w:pPr>
        <w:pStyle w:val="5"/>
        <w:pageBreakBefore w:val="0"/>
        <w:kinsoku/>
        <w:wordWrap/>
        <w:overflowPunct/>
        <w:topLinePunct w:val="0"/>
        <w:bidi w:val="0"/>
        <w:spacing w:before="240" w:after="240" w:line="400" w:lineRule="exact"/>
        <w:ind w:firstLine="2891" w:firstLineChars="800"/>
        <w:jc w:val="both"/>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rPr>
      </w:pPr>
    </w:p>
    <w:p>
      <w:pPr>
        <w:pStyle w:val="5"/>
        <w:pageBreakBefore w:val="0"/>
        <w:kinsoku/>
        <w:wordWrap/>
        <w:overflowPunct/>
        <w:topLinePunct w:val="0"/>
        <w:bidi w:val="0"/>
        <w:spacing w:before="240" w:after="240" w:line="240" w:lineRule="auto"/>
        <w:ind w:firstLine="2891" w:firstLineChars="800"/>
        <w:jc w:val="both"/>
        <w:rPr>
          <w:rFonts w:hint="eastAsia" w:ascii="宋体" w:hAnsi="宋体" w:cs="宋体"/>
          <w:sz w:val="36"/>
          <w:szCs w:val="36"/>
          <w:lang w:val="en-US" w:eastAsia="zh-CN"/>
        </w:rPr>
      </w:pPr>
      <w:r>
        <w:rPr>
          <w:rFonts w:hint="eastAsia" w:ascii="宋体" w:hAnsi="宋体" w:eastAsia="宋体" w:cs="宋体"/>
          <w:sz w:val="36"/>
          <w:szCs w:val="36"/>
        </w:rPr>
        <w:t>第二章 供应商须知</w:t>
      </w:r>
      <w:r>
        <w:rPr>
          <w:rFonts w:hint="eastAsia" w:ascii="宋体" w:hAnsi="宋体" w:cs="宋体"/>
          <w:sz w:val="36"/>
          <w:szCs w:val="36"/>
          <w:lang w:val="en-US" w:eastAsia="zh-CN"/>
        </w:rPr>
        <w:t xml:space="preserve"> </w:t>
      </w:r>
    </w:p>
    <w:bookmarkEnd w:id="3"/>
    <w:bookmarkEnd w:id="4"/>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一、招标文件由采购人解释</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供应商应仔细检查招标文件的所有内容，如有资格要求和技术参数含有倾向性或排他性等表述的，应在发布招标公告和招标文件后3日内以书面形式提出询问或疑问，未在规定的3日内提出询问或疑问的，视同供应商理解并接受本招标文件所有内容，并由此引起的投标损失自负。供应商不得在招标结束后针对招标文件所有内容提出质疑事项。</w:t>
      </w:r>
      <w:r>
        <w:rPr>
          <w:rFonts w:hint="eastAsia" w:ascii="宋体" w:hAnsi="宋体" w:eastAsia="宋体" w:cs="宋体"/>
          <w:b/>
          <w:sz w:val="24"/>
          <w:szCs w:val="24"/>
        </w:rPr>
        <w:t>非书面形式的不作为日后质疑提出的依据。</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认真审阅招标文件中所有的事项、格式、条款和规范要求等，如果供应商没有按照招标文件要求提交投标文件，或者投标文件没有对招标文件做出实质性响应，其投标将被拒绝，供应商自行承担责任。</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sz w:val="24"/>
          <w:szCs w:val="24"/>
        </w:rPr>
        <w:t>3、</w:t>
      </w:r>
      <w:r>
        <w:rPr>
          <w:rFonts w:hint="eastAsia" w:ascii="宋体" w:hAnsi="宋体" w:eastAsia="宋体" w:cs="宋体"/>
          <w:color w:val="auto"/>
          <w:kern w:val="0"/>
          <w:sz w:val="24"/>
          <w:szCs w:val="24"/>
          <w:highlight w:val="none"/>
          <w:lang w:val="zh-CN"/>
        </w:rPr>
        <w:t>有效获取磋商文件的供应商不足</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zh-CN"/>
        </w:rPr>
        <w:t>家时，</w:t>
      </w:r>
      <w:r>
        <w:rPr>
          <w:rFonts w:hint="eastAsia" w:ascii="宋体" w:hAnsi="宋体" w:eastAsia="宋体" w:cs="宋体"/>
          <w:color w:val="auto"/>
          <w:kern w:val="0"/>
          <w:sz w:val="24"/>
          <w:szCs w:val="24"/>
          <w:highlight w:val="none"/>
          <w:lang w:val="en-US" w:eastAsia="zh-CN"/>
        </w:rPr>
        <w:t>采购人终止竞争性磋商采购活动，发布项目终止公告并说明原因，重新开展采购活动。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val="0"/>
          <w:sz w:val="24"/>
          <w:szCs w:val="24"/>
        </w:rPr>
      </w:pPr>
      <w:r>
        <w:rPr>
          <w:rFonts w:hint="eastAsia" w:ascii="宋体" w:hAnsi="宋体" w:eastAsia="宋体" w:cs="宋体"/>
          <w:sz w:val="24"/>
          <w:szCs w:val="24"/>
        </w:rPr>
        <w:t>二、招标文件的澄清、修改、答疑</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1、采购人有权对发出的招标文件进行必要的澄清或修改。</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2、采购人可视情取消、延长相关时间，不负责解释。</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3、采购人对招标文件的澄清、修改将构成招标文件的一部分，对供应商具有约束力。</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4、供应商由于对招标文件的任何推论和误解以及采购人对有关问题的口头解释所造成的后果，均由供应商自负。</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5、采购人或采购单位视情组织答疑会。</w:t>
      </w:r>
    </w:p>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三、投标报价</w:t>
      </w:r>
    </w:p>
    <w:p>
      <w:pPr>
        <w:pageBreakBefore w:val="0"/>
        <w:kinsoku/>
        <w:wordWrap/>
        <w:overflowPunct/>
        <w:topLinePunct w:val="0"/>
        <w:bidi w:val="0"/>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供应商的报价不得超过项目预算，否则作为无效标处理。</w:t>
      </w:r>
    </w:p>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四、投标文件的组成</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投标文件由</w:t>
      </w:r>
      <w:r>
        <w:rPr>
          <w:rFonts w:hint="eastAsia" w:ascii="宋体" w:hAnsi="宋体" w:eastAsia="宋体" w:cs="宋体"/>
          <w:b/>
          <w:bCs/>
          <w:sz w:val="24"/>
          <w:szCs w:val="24"/>
        </w:rPr>
        <w:t>资格审查文件</w:t>
      </w:r>
      <w:r>
        <w:rPr>
          <w:rFonts w:hint="eastAsia" w:ascii="宋体" w:hAnsi="宋体" w:eastAsia="宋体" w:cs="宋体"/>
          <w:sz w:val="24"/>
          <w:szCs w:val="24"/>
        </w:rPr>
        <w:t>、</w:t>
      </w:r>
      <w:r>
        <w:rPr>
          <w:rFonts w:hint="eastAsia" w:ascii="宋体" w:hAnsi="宋体" w:eastAsia="宋体" w:cs="宋体"/>
          <w:b/>
          <w:sz w:val="24"/>
          <w:szCs w:val="24"/>
        </w:rPr>
        <w:t>商务技术文件和报价文件</w:t>
      </w:r>
      <w:r>
        <w:rPr>
          <w:rFonts w:hint="eastAsia" w:ascii="宋体" w:hAnsi="宋体" w:eastAsia="宋体" w:cs="宋体"/>
          <w:sz w:val="24"/>
          <w:szCs w:val="24"/>
        </w:rPr>
        <w:t>三部分组成。</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bookmarkStart w:id="5" w:name="_Hlk99101424"/>
      <w:r>
        <w:rPr>
          <w:rFonts w:hint="eastAsia" w:ascii="宋体" w:hAnsi="宋体" w:eastAsia="宋体" w:cs="宋体"/>
          <w:sz w:val="24"/>
          <w:szCs w:val="24"/>
        </w:rPr>
        <w:t>（一）资格审查文件</w:t>
      </w:r>
      <w:r>
        <w:rPr>
          <w:rFonts w:hint="eastAsia" w:ascii="宋体" w:hAnsi="宋体" w:eastAsia="宋体" w:cs="宋体"/>
          <w:b/>
          <w:bCs/>
          <w:sz w:val="24"/>
          <w:szCs w:val="24"/>
        </w:rPr>
        <w:t>（一份正本和二份副本）</w:t>
      </w:r>
    </w:p>
    <w:p>
      <w:pPr>
        <w:pageBreakBefore w:val="0"/>
        <w:widowControl/>
        <w:kinsoku/>
        <w:wordWrap/>
        <w:overflowPunct/>
        <w:topLinePunct w:val="0"/>
        <w:bidi w:val="0"/>
        <w:spacing w:after="75" w:line="400" w:lineRule="exact"/>
        <w:ind w:firstLine="480"/>
        <w:jc w:val="left"/>
        <w:rPr>
          <w:rFonts w:hint="default" w:ascii="宋体" w:hAnsi="宋体" w:eastAsia="宋体" w:cs="宋体"/>
          <w:color w:val="000000"/>
          <w:kern w:val="0"/>
          <w:sz w:val="24"/>
          <w:szCs w:val="24"/>
          <w:lang w:val="en-US" w:eastAsia="zh-CN"/>
        </w:rPr>
      </w:pPr>
      <w:bookmarkStart w:id="6" w:name="_Hlk99101312"/>
      <w:r>
        <w:rPr>
          <w:rFonts w:hint="eastAsia" w:ascii="宋体" w:hAnsi="宋体" w:cs="宋体"/>
          <w:color w:val="000000"/>
          <w:kern w:val="0"/>
          <w:sz w:val="24"/>
          <w:szCs w:val="24"/>
          <w:lang w:val="en-US" w:eastAsia="zh-CN"/>
        </w:rPr>
        <w:t>1、关于资格的声明函</w:t>
      </w:r>
      <w:r>
        <w:rPr>
          <w:rFonts w:hint="eastAsia" w:ascii="宋体" w:hAnsi="宋体" w:eastAsia="宋体" w:cs="宋体"/>
          <w:sz w:val="24"/>
          <w:szCs w:val="24"/>
        </w:rPr>
        <w:t>（见附件）</w:t>
      </w:r>
      <w:r>
        <w:rPr>
          <w:rFonts w:hint="eastAsia" w:ascii="宋体" w:hAnsi="宋体" w:cs="宋体"/>
          <w:color w:val="000000"/>
          <w:kern w:val="0"/>
          <w:sz w:val="24"/>
          <w:szCs w:val="24"/>
          <w:lang w:val="en-US" w:eastAsia="zh-CN"/>
        </w:rPr>
        <w:t>；</w:t>
      </w:r>
    </w:p>
    <w:p>
      <w:pPr>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、法人或者其他组织的营业执照等证明文件</w:t>
      </w:r>
      <w:r>
        <w:rPr>
          <w:rFonts w:hint="eastAsia" w:ascii="宋体" w:hAnsi="宋体" w:eastAsia="宋体" w:cs="宋体"/>
          <w:color w:val="auto"/>
          <w:sz w:val="24"/>
          <w:szCs w:val="24"/>
          <w:highlight w:val="none"/>
        </w:rPr>
        <w:t>（提供复印件并加盖公章）</w:t>
      </w:r>
      <w:r>
        <w:rPr>
          <w:rFonts w:hint="eastAsia" w:ascii="宋体" w:hAnsi="宋体" w:eastAsia="宋体" w:cs="宋体"/>
          <w:color w:val="000000"/>
          <w:kern w:val="0"/>
          <w:sz w:val="24"/>
          <w:szCs w:val="24"/>
        </w:rPr>
        <w:t>；</w:t>
      </w:r>
    </w:p>
    <w:p>
      <w:pPr>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法定代表人身份证明书（提供复印件并加盖公章）</w:t>
      </w:r>
      <w:r>
        <w:rPr>
          <w:rFonts w:hint="eastAsia" w:ascii="宋体" w:hAnsi="宋体" w:eastAsia="宋体" w:cs="宋体"/>
          <w:sz w:val="24"/>
          <w:szCs w:val="24"/>
        </w:rPr>
        <w:t>（见附件）</w:t>
      </w:r>
      <w:r>
        <w:rPr>
          <w:rFonts w:hint="eastAsia" w:ascii="宋体" w:hAnsi="宋体" w:cs="宋体"/>
          <w:sz w:val="24"/>
          <w:szCs w:val="24"/>
          <w:lang w:eastAsia="zh-CN"/>
        </w:rPr>
        <w:t>；</w:t>
      </w:r>
    </w:p>
    <w:p>
      <w:pPr>
        <w:tabs>
          <w:tab w:val="left" w:pos="3375"/>
        </w:tabs>
        <w:autoSpaceDE w:val="0"/>
        <w:autoSpaceDN w:val="0"/>
        <w:adjustRightInd w:val="0"/>
        <w:snapToGrid w:val="0"/>
        <w:spacing w:line="360" w:lineRule="auto"/>
        <w:ind w:left="1" w:firstLine="480" w:firstLineChars="200"/>
        <w:jc w:val="left"/>
        <w:rPr>
          <w:rFonts w:hint="eastAsia" w:ascii="宋体" w:hAnsi="宋体" w:eastAsia="宋体" w:cs="宋体"/>
          <w:color w:val="000000"/>
          <w:kern w:val="0"/>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法定代表人授权委托书原件，投标代表本人身份证复印件（原件随身备查）</w:t>
      </w:r>
      <w:r>
        <w:rPr>
          <w:rFonts w:hint="eastAsia" w:ascii="宋体" w:hAnsi="宋体" w:eastAsia="宋体" w:cs="宋体"/>
          <w:sz w:val="24"/>
          <w:szCs w:val="24"/>
        </w:rPr>
        <w:t>（见附件）</w:t>
      </w:r>
      <w:r>
        <w:rPr>
          <w:rFonts w:hint="eastAsia" w:ascii="宋体" w:hAnsi="宋体" w:eastAsia="宋体" w:cs="宋体"/>
          <w:color w:val="auto"/>
          <w:sz w:val="24"/>
          <w:szCs w:val="24"/>
          <w:highlight w:val="none"/>
          <w:lang w:val="zh-CN"/>
        </w:rPr>
        <w:t>；</w:t>
      </w:r>
    </w:p>
    <w:p>
      <w:pPr>
        <w:pageBreakBefore w:val="0"/>
        <w:widowControl/>
        <w:kinsoku/>
        <w:wordWrap/>
        <w:overflowPunct/>
        <w:topLinePunct w:val="0"/>
        <w:bidi w:val="0"/>
        <w:spacing w:after="75" w:line="360" w:lineRule="auto"/>
        <w:ind w:firstLine="48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、上一年度的财务报告（成立不满一年不需提供）；</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、依法缴纳税收和社会保障资金的相关证明材料；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、具备履行合同所必需的设备和专业技术能力的证明材料；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、参加采购活动前3年内在经营活动中没有重大违法记录的书面声明；</w:t>
      </w:r>
    </w:p>
    <w:bookmarkEnd w:id="6"/>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（二）商务技术文件（不得出现报价）（一份正本和二份副本）</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1、供应商情况一览表；</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2、商务部分正负偏离表（见附件）；</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3、技术部分正负偏离表（见附件）；</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4、技术服务方案、货物（服务）清单。具有项目、数量、品牌、型号、配置性能等。</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5、评标办法中未涉及的事项，供应商认为需要提交的其他资料；</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bCs/>
          <w:sz w:val="24"/>
          <w:szCs w:val="24"/>
        </w:rPr>
        <w:t>报价文件（</w:t>
      </w:r>
      <w:r>
        <w:rPr>
          <w:rFonts w:hint="eastAsia" w:ascii="宋体" w:hAnsi="宋体" w:eastAsia="宋体" w:cs="宋体"/>
          <w:b/>
          <w:bCs/>
          <w:sz w:val="24"/>
          <w:szCs w:val="24"/>
        </w:rPr>
        <w:t>不得出现在资格审查文件和商务技术文件中）</w:t>
      </w:r>
      <w:r>
        <w:rPr>
          <w:rFonts w:hint="eastAsia" w:ascii="宋体" w:hAnsi="宋体" w:eastAsia="宋体" w:cs="宋体"/>
          <w:sz w:val="24"/>
          <w:szCs w:val="24"/>
        </w:rPr>
        <w:t>（一份正本和二份副本）</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1、投标报价总表（见附件）；</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2、投标报价明细表（格式自拟）；</w:t>
      </w:r>
    </w:p>
    <w:bookmarkEnd w:id="5"/>
    <w:p>
      <w:pPr>
        <w:pStyle w:val="6"/>
        <w:pageBreakBefore w:val="0"/>
        <w:kinsoku/>
        <w:wordWrap/>
        <w:overflowPunct/>
        <w:topLinePunct w:val="0"/>
        <w:autoSpaceDE/>
        <w:autoSpaceDN/>
        <w:bidi w:val="0"/>
        <w:adjustRightInd/>
        <w:spacing w:line="480" w:lineRule="exact"/>
        <w:textAlignment w:val="auto"/>
        <w:rPr>
          <w:rFonts w:hint="eastAsia" w:ascii="宋体" w:hAnsi="宋体" w:eastAsia="宋体" w:cs="宋体"/>
          <w:b w:val="0"/>
          <w:sz w:val="24"/>
          <w:szCs w:val="24"/>
        </w:rPr>
      </w:pPr>
      <w:r>
        <w:rPr>
          <w:rFonts w:hint="eastAsia" w:ascii="宋体" w:hAnsi="宋体" w:eastAsia="宋体" w:cs="宋体"/>
          <w:sz w:val="24"/>
          <w:szCs w:val="24"/>
        </w:rPr>
        <w:t>五、投标文件的编写、份数和签署</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2、供应商应准备叁份完整的纸质投标文件（其中正本壹份，副本贰份，并标明“正本”或“副本”字样），投标文件正、副本若有差异，概以“正本”为准。</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3、纸质投标文件正本（须用不能擦去的墨水书写或打印）须由法定代表人或被授权人签字或盖章，并加盖单位印章。副本可复印，但须加盖单位印章。</w:t>
      </w:r>
    </w:p>
    <w:p>
      <w:pPr>
        <w:pStyle w:val="6"/>
        <w:pageBreakBefore w:val="0"/>
        <w:kinsoku/>
        <w:wordWrap/>
        <w:overflowPunct/>
        <w:topLinePunct w:val="0"/>
        <w:autoSpaceDE/>
        <w:autoSpaceDN/>
        <w:bidi w:val="0"/>
        <w:adjustRightInd/>
        <w:spacing w:line="480" w:lineRule="exact"/>
        <w:textAlignment w:val="auto"/>
        <w:rPr>
          <w:rFonts w:hint="eastAsia" w:ascii="宋体" w:hAnsi="宋体" w:eastAsia="宋体" w:cs="宋体"/>
          <w:b w:val="0"/>
          <w:sz w:val="24"/>
          <w:szCs w:val="24"/>
        </w:rPr>
      </w:pPr>
      <w:r>
        <w:rPr>
          <w:rFonts w:hint="eastAsia" w:ascii="宋体" w:hAnsi="宋体" w:eastAsia="宋体" w:cs="宋体"/>
          <w:sz w:val="24"/>
          <w:szCs w:val="24"/>
        </w:rPr>
        <w:t>六、投标文件的密封及标记</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1、投标文件要求密封。</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2、供应商可将投标文件正副本统一密封或分别密封，如正本和副本分别密封的，应在封袋上标明正、副本字样。</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3、密封后封袋上应标明项目名称、供应商名称、边缝处加盖单位骑缝章和法定代表人或者授权代理人骑缝签字。</w:t>
      </w:r>
    </w:p>
    <w:p>
      <w:pPr>
        <w:pStyle w:val="6"/>
        <w:pageBreakBefore w:val="0"/>
        <w:kinsoku/>
        <w:wordWrap/>
        <w:overflowPunct/>
        <w:topLinePunct w:val="0"/>
        <w:autoSpaceDE/>
        <w:autoSpaceDN/>
        <w:bidi w:val="0"/>
        <w:adjustRightInd/>
        <w:spacing w:line="480" w:lineRule="exact"/>
        <w:textAlignment w:val="auto"/>
        <w:rPr>
          <w:rFonts w:hint="eastAsia" w:ascii="宋体" w:hAnsi="宋体" w:eastAsia="宋体" w:cs="宋体"/>
          <w:b w:val="0"/>
          <w:sz w:val="24"/>
          <w:szCs w:val="24"/>
        </w:rPr>
      </w:pPr>
      <w:r>
        <w:rPr>
          <w:rFonts w:hint="eastAsia" w:ascii="宋体" w:hAnsi="宋体" w:eastAsia="宋体" w:cs="宋体"/>
          <w:sz w:val="24"/>
          <w:szCs w:val="24"/>
        </w:rPr>
        <w:t>七、投标文件的递交时间</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供应商必须在规定的投标文件接收截止时间前送达采购人。采购人将拒绝接收在投标截止时间后递交的投标文件。</w:t>
      </w:r>
    </w:p>
    <w:p>
      <w:pPr>
        <w:pStyle w:val="6"/>
        <w:pageBreakBefore w:val="0"/>
        <w:kinsoku/>
        <w:wordWrap/>
        <w:overflowPunct/>
        <w:topLinePunct w:val="0"/>
        <w:autoSpaceDE/>
        <w:autoSpaceDN/>
        <w:bidi w:val="0"/>
        <w:adjustRightIn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八、投标保证金</w:t>
      </w:r>
    </w:p>
    <w:p>
      <w:pPr>
        <w:pageBreakBefore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本项目不涉及</w:t>
      </w:r>
    </w:p>
    <w:p>
      <w:pPr>
        <w:pStyle w:val="6"/>
        <w:pageBreakBefore w:val="0"/>
        <w:kinsoku/>
        <w:wordWrap/>
        <w:overflowPunct/>
        <w:topLinePunct w:val="0"/>
        <w:autoSpaceDE/>
        <w:autoSpaceDN/>
        <w:bidi w:val="0"/>
        <w:adjustRightInd/>
        <w:spacing w:line="480" w:lineRule="exact"/>
        <w:textAlignment w:val="auto"/>
        <w:rPr>
          <w:rFonts w:hint="eastAsia" w:ascii="宋体" w:hAnsi="宋体" w:eastAsia="宋体" w:cs="宋体"/>
          <w:b w:val="0"/>
          <w:sz w:val="24"/>
          <w:szCs w:val="24"/>
        </w:rPr>
      </w:pPr>
      <w:r>
        <w:rPr>
          <w:rFonts w:hint="eastAsia" w:ascii="宋体" w:hAnsi="宋体" w:eastAsia="宋体" w:cs="宋体"/>
          <w:sz w:val="24"/>
          <w:szCs w:val="24"/>
        </w:rPr>
        <w:t>九、投标费用</w:t>
      </w:r>
    </w:p>
    <w:p>
      <w:pPr>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b/>
          <w:bCs/>
          <w:kern w:val="44"/>
          <w:sz w:val="24"/>
          <w:szCs w:val="24"/>
        </w:rPr>
      </w:pPr>
      <w:r>
        <w:rPr>
          <w:rFonts w:hint="eastAsia" w:ascii="宋体" w:hAnsi="宋体" w:eastAsia="宋体" w:cs="宋体"/>
          <w:sz w:val="24"/>
          <w:szCs w:val="24"/>
        </w:rPr>
        <w:t>供应商承担参与投标可能发生的全部费用，采购人在任何情况下均无义务和责任承担这些费用。</w:t>
      </w:r>
      <w:r>
        <w:rPr>
          <w:rFonts w:hint="eastAsia" w:ascii="宋体" w:hAnsi="宋体" w:eastAsia="宋体" w:cs="宋体"/>
          <w:sz w:val="24"/>
          <w:szCs w:val="24"/>
        </w:rPr>
        <w:br w:type="page"/>
      </w:r>
    </w:p>
    <w:p>
      <w:pPr>
        <w:pStyle w:val="5"/>
        <w:pageBreakBefore w:val="0"/>
        <w:kinsoku/>
        <w:wordWrap/>
        <w:overflowPunct/>
        <w:topLinePunct w:val="0"/>
        <w:bidi w:val="0"/>
        <w:spacing w:before="240" w:after="240" w:line="400" w:lineRule="exact"/>
        <w:jc w:val="center"/>
        <w:rPr>
          <w:rFonts w:hint="eastAsia" w:ascii="宋体" w:hAnsi="宋体" w:eastAsia="宋体" w:cs="宋体"/>
          <w:sz w:val="36"/>
          <w:szCs w:val="36"/>
        </w:rPr>
      </w:pPr>
      <w:bookmarkStart w:id="7" w:name="_Toc99539216"/>
      <w:bookmarkStart w:id="8" w:name="_Hlk99542129"/>
      <w:r>
        <w:rPr>
          <w:rFonts w:hint="eastAsia" w:ascii="宋体" w:hAnsi="宋体" w:eastAsia="宋体" w:cs="宋体"/>
          <w:sz w:val="36"/>
          <w:szCs w:val="36"/>
        </w:rPr>
        <w:t>第三章 采购需求</w:t>
      </w:r>
      <w:bookmarkEnd w:id="7"/>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为落实《网络安全法》第二十一条第三款“网络运营者应当按照网络安全等级保护制度的要求”，南通日报社（</w:t>
      </w:r>
      <w:r>
        <w:rPr>
          <w:rFonts w:hint="eastAsia" w:ascii="宋体" w:hAnsi="宋体" w:cs="宋体"/>
          <w:kern w:val="0"/>
          <w:sz w:val="24"/>
          <w:szCs w:val="24"/>
          <w:lang w:eastAsia="zh-CN"/>
        </w:rPr>
        <w:t>集团</w:t>
      </w:r>
      <w:r>
        <w:rPr>
          <w:rFonts w:hint="eastAsia" w:ascii="宋体" w:hAnsi="宋体" w:eastAsia="宋体" w:cs="宋体"/>
          <w:kern w:val="0"/>
          <w:sz w:val="24"/>
          <w:szCs w:val="24"/>
        </w:rPr>
        <w:t>）</w:t>
      </w:r>
      <w:r>
        <w:rPr>
          <w:rFonts w:hint="eastAsia" w:ascii="宋体" w:hAnsi="宋体" w:eastAsia="宋体" w:cs="宋体"/>
          <w:sz w:val="24"/>
          <w:szCs w:val="24"/>
        </w:rPr>
        <w:t>决定对单位信息系统进行网络安全等级保护测评</w:t>
      </w:r>
      <w:r>
        <w:rPr>
          <w:rFonts w:hint="eastAsia" w:ascii="宋体" w:hAnsi="宋体" w:eastAsia="宋体" w:cs="宋体"/>
          <w:kern w:val="0"/>
          <w:sz w:val="24"/>
          <w:szCs w:val="24"/>
        </w:rPr>
        <w:t>，以明确信息系统现状，发现系统内部存在的安全隐患和不足，明确整改方向，降低系统被攻击的风险。</w:t>
      </w:r>
    </w:p>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一、本项目测评范围</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4446"/>
        <w:gridCol w:w="1307"/>
        <w:gridCol w:w="171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2"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23"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系统名称</w:t>
            </w:r>
          </w:p>
        </w:tc>
        <w:tc>
          <w:tcPr>
            <w:tcW w:w="683"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系统数量</w:t>
            </w:r>
          </w:p>
        </w:tc>
        <w:tc>
          <w:tcPr>
            <w:tcW w:w="898"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备案情况</w:t>
            </w:r>
          </w:p>
        </w:tc>
        <w:tc>
          <w:tcPr>
            <w:tcW w:w="615"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2" w:type="pct"/>
            <w:vAlign w:val="center"/>
          </w:tcPr>
          <w:p>
            <w:pPr>
              <w:pStyle w:val="45"/>
              <w:pageBreakBefore w:val="0"/>
              <w:numPr>
                <w:ilvl w:val="0"/>
                <w:numId w:val="2"/>
              </w:numPr>
              <w:kinsoku/>
              <w:wordWrap/>
              <w:overflowPunct/>
              <w:topLinePunct w:val="0"/>
              <w:bidi w:val="0"/>
              <w:spacing w:line="400" w:lineRule="exact"/>
              <w:ind w:firstLineChars="0"/>
              <w:jc w:val="center"/>
              <w:rPr>
                <w:rFonts w:hint="eastAsia" w:ascii="宋体" w:hAnsi="宋体" w:eastAsia="宋体" w:cs="宋体"/>
                <w:sz w:val="24"/>
                <w:szCs w:val="24"/>
              </w:rPr>
            </w:pPr>
          </w:p>
        </w:tc>
        <w:tc>
          <w:tcPr>
            <w:tcW w:w="2323" w:type="pct"/>
            <w:vAlign w:val="center"/>
          </w:tcPr>
          <w:p>
            <w:pPr>
              <w:pageBreakBefore w:val="0"/>
              <w:kinsoku/>
              <w:wordWrap/>
              <w:overflowPunct/>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南通网网站系统</w:t>
            </w:r>
          </w:p>
        </w:tc>
        <w:tc>
          <w:tcPr>
            <w:tcW w:w="683"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1个</w:t>
            </w:r>
          </w:p>
        </w:tc>
        <w:tc>
          <w:tcPr>
            <w:tcW w:w="898"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三级</w:t>
            </w:r>
          </w:p>
        </w:tc>
        <w:tc>
          <w:tcPr>
            <w:tcW w:w="615" w:type="pct"/>
            <w:vAlign w:val="center"/>
          </w:tcPr>
          <w:p>
            <w:pPr>
              <w:pageBreakBefore w:val="0"/>
              <w:kinsoku/>
              <w:wordWrap/>
              <w:overflowPunct/>
              <w:topLinePunct w:val="0"/>
              <w:bidi w:val="0"/>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2" w:type="pct"/>
            <w:vAlign w:val="center"/>
          </w:tcPr>
          <w:p>
            <w:pPr>
              <w:pStyle w:val="45"/>
              <w:pageBreakBefore w:val="0"/>
              <w:numPr>
                <w:ilvl w:val="0"/>
                <w:numId w:val="2"/>
              </w:numPr>
              <w:kinsoku/>
              <w:wordWrap/>
              <w:overflowPunct/>
              <w:topLinePunct w:val="0"/>
              <w:bidi w:val="0"/>
              <w:spacing w:line="400" w:lineRule="exact"/>
              <w:ind w:firstLineChars="0"/>
              <w:jc w:val="center"/>
              <w:rPr>
                <w:rFonts w:hint="eastAsia" w:ascii="宋体" w:hAnsi="宋体" w:eastAsia="宋体" w:cs="宋体"/>
                <w:sz w:val="24"/>
                <w:szCs w:val="24"/>
              </w:rPr>
            </w:pPr>
          </w:p>
        </w:tc>
        <w:tc>
          <w:tcPr>
            <w:tcW w:w="2323" w:type="pct"/>
            <w:vAlign w:val="center"/>
          </w:tcPr>
          <w:p>
            <w:pPr>
              <w:pageBreakBefore w:val="0"/>
              <w:kinsoku/>
              <w:wordWrap/>
              <w:overflowPunct/>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南通报业集团采编系统</w:t>
            </w:r>
          </w:p>
        </w:tc>
        <w:tc>
          <w:tcPr>
            <w:tcW w:w="683" w:type="pct"/>
            <w:vAlign w:val="center"/>
          </w:tcPr>
          <w:p>
            <w:pPr>
              <w:pageBreakBefore w:val="0"/>
              <w:kinsoku/>
              <w:wordWrap/>
              <w:overflowPunct/>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1个</w:t>
            </w:r>
          </w:p>
        </w:tc>
        <w:tc>
          <w:tcPr>
            <w:tcW w:w="898" w:type="pct"/>
            <w:vAlign w:val="center"/>
          </w:tcPr>
          <w:p>
            <w:pPr>
              <w:pageBreakBefore w:val="0"/>
              <w:kinsoku/>
              <w:wordWrap/>
              <w:overflowPunct/>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sz w:val="24"/>
                <w:szCs w:val="24"/>
              </w:rPr>
              <w:t>三级</w:t>
            </w:r>
          </w:p>
        </w:tc>
        <w:tc>
          <w:tcPr>
            <w:tcW w:w="615" w:type="pct"/>
            <w:vAlign w:val="center"/>
          </w:tcPr>
          <w:p>
            <w:pPr>
              <w:pageBreakBefore w:val="0"/>
              <w:kinsoku/>
              <w:wordWrap/>
              <w:overflowPunct/>
              <w:topLinePunct w:val="0"/>
              <w:bidi w:val="0"/>
              <w:spacing w:line="400" w:lineRule="exact"/>
              <w:rPr>
                <w:rFonts w:hint="eastAsia" w:ascii="宋体" w:hAnsi="宋体" w:eastAsia="宋体" w:cs="宋体"/>
                <w:sz w:val="24"/>
                <w:szCs w:val="24"/>
              </w:rPr>
            </w:pPr>
          </w:p>
        </w:tc>
      </w:tr>
    </w:tbl>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二、测评单位要求</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潜在供应商需具有有效期内的《网络安全等级测评与检测评估机构服务认证证书》，提供证书复印件（加盖公章）。</w:t>
      </w:r>
    </w:p>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三、测评内容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1、总体要求：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A．完成上述系统安全等级测评工作，测评后经用户方确认，出具符合</w:t>
      </w:r>
      <w:r>
        <w:rPr>
          <w:rStyle w:val="40"/>
          <w:rFonts w:hint="eastAsia" w:ascii="宋体" w:hAnsi="宋体" w:eastAsia="宋体" w:cs="宋体"/>
          <w:b w:val="0"/>
          <w:sz w:val="24"/>
          <w:szCs w:val="24"/>
        </w:rPr>
        <w:t>网络安全等级保护</w:t>
      </w:r>
      <w:r>
        <w:rPr>
          <w:rFonts w:hint="eastAsia" w:ascii="宋体" w:hAnsi="宋体" w:eastAsia="宋体" w:cs="宋体"/>
          <w:sz w:val="24"/>
          <w:szCs w:val="24"/>
        </w:rPr>
        <w:t>测评要求的测评报告；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B．对上述系统不符合</w:t>
      </w:r>
      <w:r>
        <w:rPr>
          <w:rStyle w:val="40"/>
          <w:rFonts w:hint="eastAsia" w:ascii="宋体" w:hAnsi="宋体" w:eastAsia="宋体" w:cs="宋体"/>
          <w:b w:val="0"/>
          <w:sz w:val="24"/>
          <w:szCs w:val="24"/>
        </w:rPr>
        <w:t>网络安全等级保护</w:t>
      </w:r>
      <w:r>
        <w:rPr>
          <w:rFonts w:hint="eastAsia" w:ascii="宋体" w:hAnsi="宋体" w:eastAsia="宋体" w:cs="宋体"/>
          <w:sz w:val="24"/>
          <w:szCs w:val="24"/>
        </w:rPr>
        <w:t>有关管理规范和技术标准的，提出可行性整改方案，提供相应的安全整改建议书。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A．等级测评及服务原则：符合性原则、标准性原则、规范性原则、可控性原则、整体性原则。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Style w:val="40"/>
          <w:rFonts w:hint="eastAsia" w:ascii="宋体" w:hAnsi="宋体" w:eastAsia="宋体" w:cs="宋体"/>
          <w:b w:val="0"/>
          <w:sz w:val="24"/>
          <w:szCs w:val="24"/>
        </w:rPr>
        <w:t>网络安全等级保护</w:t>
      </w:r>
      <w:r>
        <w:rPr>
          <w:rFonts w:hint="eastAsia" w:ascii="宋体" w:hAnsi="宋体" w:eastAsia="宋体" w:cs="宋体"/>
          <w:sz w:val="24"/>
          <w:szCs w:val="24"/>
        </w:rPr>
        <w:t>定级及测评服务依据：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《中华人民共和国网络安全法》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40"/>
          <w:rFonts w:hint="eastAsia" w:ascii="宋体" w:hAnsi="宋体" w:eastAsia="宋体" w:cs="宋体"/>
          <w:b w:val="0"/>
          <w:sz w:val="24"/>
          <w:szCs w:val="24"/>
        </w:rPr>
      </w:pPr>
      <w:r>
        <w:rPr>
          <w:rStyle w:val="40"/>
          <w:rFonts w:hint="eastAsia" w:ascii="宋体" w:hAnsi="宋体" w:eastAsia="宋体" w:cs="宋体"/>
          <w:b w:val="0"/>
          <w:sz w:val="24"/>
          <w:szCs w:val="24"/>
        </w:rPr>
        <w:t>《GB/T22239-2019信息安全技术 网络安全等级保护基本要求》，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40"/>
          <w:rFonts w:hint="eastAsia" w:ascii="宋体" w:hAnsi="宋体" w:eastAsia="宋体" w:cs="宋体"/>
          <w:b w:val="0"/>
          <w:sz w:val="24"/>
          <w:szCs w:val="24"/>
        </w:rPr>
      </w:pPr>
      <w:r>
        <w:rPr>
          <w:rStyle w:val="40"/>
          <w:rFonts w:hint="eastAsia" w:ascii="宋体" w:hAnsi="宋体" w:eastAsia="宋体" w:cs="宋体"/>
          <w:b w:val="0"/>
          <w:sz w:val="24"/>
          <w:szCs w:val="24"/>
        </w:rPr>
        <w:t>《GB/T28448-2019 信息安全技术 网络安全等级保护测评要求》，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40"/>
          <w:rFonts w:hint="eastAsia" w:ascii="宋体" w:hAnsi="宋体" w:eastAsia="宋体" w:cs="宋体"/>
          <w:b w:val="0"/>
          <w:sz w:val="24"/>
          <w:szCs w:val="24"/>
        </w:rPr>
      </w:pPr>
      <w:r>
        <w:rPr>
          <w:rStyle w:val="40"/>
          <w:rFonts w:hint="eastAsia" w:ascii="宋体" w:hAnsi="宋体" w:eastAsia="宋体" w:cs="宋体"/>
          <w:b w:val="0"/>
          <w:sz w:val="24"/>
          <w:szCs w:val="24"/>
        </w:rPr>
        <w:t>《GB/T 28449-2018 信息安全技术 网络安全等级保护测评过程指南》，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40"/>
          <w:rFonts w:hint="eastAsia" w:ascii="宋体" w:hAnsi="宋体" w:eastAsia="宋体" w:cs="宋体"/>
          <w:b w:val="0"/>
          <w:sz w:val="24"/>
          <w:szCs w:val="24"/>
        </w:rPr>
      </w:pPr>
      <w:r>
        <w:rPr>
          <w:rStyle w:val="40"/>
          <w:rFonts w:hint="eastAsia" w:ascii="宋体" w:hAnsi="宋体" w:eastAsia="宋体" w:cs="宋体"/>
          <w:b w:val="0"/>
          <w:sz w:val="24"/>
          <w:szCs w:val="24"/>
        </w:rPr>
        <w:t>《GB/T 25058-2019 信息安全技术 网络安全等级保护实施指南》。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3、网络安全等级保护测评内容：</w:t>
      </w:r>
    </w:p>
    <w:p>
      <w:pPr>
        <w:pageBreakBefore w:val="0"/>
        <w:kinsoku/>
        <w:wordWrap/>
        <w:overflowPunct/>
        <w:topLinePunct w:val="0"/>
        <w:bidi w:val="0"/>
        <w:spacing w:beforeLines="50" w:afterLines="5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A．安全技术测评：包括安全物理环境、安全区域边界、安全通信网络、安全计算环境和安全管理中心五个方面的安全测评；</w:t>
      </w:r>
    </w:p>
    <w:p>
      <w:pPr>
        <w:pageBreakBefore w:val="0"/>
        <w:kinsoku/>
        <w:wordWrap/>
        <w:overflowPunct/>
        <w:topLinePunct w:val="0"/>
        <w:bidi w:val="0"/>
        <w:spacing w:beforeLines="50" w:afterLines="5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B．安全管理测评：安全管理机构、安全管理制度、安全管理人员、安全建设管理和安全运维管理五个方面的安全控制测评</w:t>
      </w:r>
    </w:p>
    <w:p>
      <w:pPr>
        <w:pageBreakBefore w:val="0"/>
        <w:kinsoku/>
        <w:wordWrap/>
        <w:overflowPunct/>
        <w:topLinePunct w:val="0"/>
        <w:bidi w:val="0"/>
        <w:spacing w:beforeLines="50" w:afterLines="5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4、提供整改咨询服务，根据所测系统的最终测评报告，对系统现状提出安全整改建议并协助整改工作，以期达到整改目的。</w:t>
      </w:r>
    </w:p>
    <w:p>
      <w:pPr>
        <w:pStyle w:val="6"/>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sz w:val="24"/>
          <w:szCs w:val="24"/>
        </w:rPr>
      </w:pPr>
      <w:r>
        <w:rPr>
          <w:rFonts w:hint="eastAsia" w:ascii="宋体" w:hAnsi="宋体" w:eastAsia="宋体" w:cs="宋体"/>
          <w:sz w:val="24"/>
          <w:szCs w:val="24"/>
        </w:rPr>
        <w:t>四、测评原则：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1、客观性和公正性原则：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测评人员应当没有偏见，在最小主观判断情形下，按照评估双方相互认可的评估方案，基于明确定义的测评方式和解释，实施评估活动。</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2、可重复性和可再现性原则：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3、连续性原则：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4、扩展性原则：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在评估过程结束后，信息安全测评过程要保持扩展性，从扩展的属性上进一步加强测评结束后采购方的安全管理有效性和可用性。</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5、保密原则：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在测评过程中，需严格遵循保密原则，双方签订保密协议，对服务过程中涉及到的任何用户信息未经允许不向其他任何第三方泄漏，以及不得利用这些信息损害采购方利益。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6、互动原则：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在整个测评过程中，强调采购方的互动参与，每个阶段都能够及时根据采购方的要求和实际情况对测评的内容、方式做出相关调整，进而更好的进行风险评估工作。</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7、最小影响原则：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测评工作应该尽可能小地影响系统和网络的正常运行，不能对业务的正常运行产生明显的影响（包括系统性能明显下降、网络阻塞、服务中断等），如无法避免，则应做出说明。</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8、规范性原则：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网络安全等级保护测评服务的实施必须由专业的测评服务人员依照规范的操作流程进行，对操作过程和结果要有相应的记录，并提供完整的服务报告。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9、质量保障原则：</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在整个测评过程中，须特别重视项目质量管理。项目的实施将严格按照项目实施方案和流程进行，并由项目协调小组从中监督，控制项目的进度和质量。</w:t>
      </w:r>
    </w:p>
    <w:p>
      <w:pPr>
        <w:pStyle w:val="6"/>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sz w:val="24"/>
          <w:szCs w:val="24"/>
        </w:rPr>
      </w:pPr>
      <w:r>
        <w:rPr>
          <w:rFonts w:hint="eastAsia" w:ascii="宋体" w:hAnsi="宋体" w:eastAsia="宋体" w:cs="宋体"/>
          <w:sz w:val="24"/>
          <w:szCs w:val="24"/>
        </w:rPr>
        <w:t>五、测评人员和时限要求：</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2、测评时间要求：按照被测单位要求，合同签订完毕一周内启动测评工作。</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3、测评期限要求：签订合同后60天内完成网络安全等级保护测评并出具盖章报告，并完成备案。</w:t>
      </w:r>
    </w:p>
    <w:p>
      <w:pPr>
        <w:pStyle w:val="6"/>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0"/>
          <w:sz w:val="24"/>
          <w:szCs w:val="24"/>
        </w:rPr>
      </w:pPr>
      <w:r>
        <w:rPr>
          <w:rFonts w:hint="eastAsia" w:ascii="宋体" w:hAnsi="宋体" w:eastAsia="宋体" w:cs="宋体"/>
          <w:kern w:val="0"/>
          <w:sz w:val="24"/>
          <w:szCs w:val="24"/>
        </w:rPr>
        <w:t>六、服务地点</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kern w:val="0"/>
          <w:sz w:val="24"/>
          <w:szCs w:val="24"/>
        </w:rPr>
        <w:t>采购方</w:t>
      </w:r>
      <w:r>
        <w:rPr>
          <w:rFonts w:hint="eastAsia" w:ascii="宋体" w:hAnsi="宋体" w:eastAsia="宋体" w:cs="宋体"/>
          <w:kern w:val="0"/>
          <w:sz w:val="24"/>
          <w:szCs w:val="24"/>
        </w:rPr>
        <w:t>指定地点。</w:t>
      </w:r>
    </w:p>
    <w:p>
      <w:pPr>
        <w:pStyle w:val="6"/>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0"/>
          <w:sz w:val="24"/>
          <w:szCs w:val="24"/>
        </w:rPr>
      </w:pPr>
      <w:r>
        <w:rPr>
          <w:rFonts w:hint="eastAsia" w:ascii="宋体" w:hAnsi="宋体" w:eastAsia="宋体" w:cs="宋体"/>
          <w:kern w:val="0"/>
          <w:sz w:val="24"/>
          <w:szCs w:val="24"/>
        </w:rPr>
        <w:t>七、付款时间和条件</w:t>
      </w:r>
    </w:p>
    <w:p>
      <w:pPr>
        <w:pStyle w:val="3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提交测评报告后,采购人于10个工作日内一次性支付合同金额</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款项由采购人按相关财务支付规定办理支付手续。不得故意拖延支付时间。</w:t>
      </w:r>
    </w:p>
    <w:bookmarkEnd w:id="8"/>
    <w:p>
      <w:pPr>
        <w:pStyle w:val="5"/>
        <w:pageBreakBefore w:val="0"/>
        <w:kinsoku/>
        <w:wordWrap/>
        <w:overflowPunct/>
        <w:topLinePunct w:val="0"/>
        <w:bidi w:val="0"/>
        <w:spacing w:before="240" w:after="240" w:line="400" w:lineRule="exact"/>
        <w:jc w:val="center"/>
        <w:rPr>
          <w:rFonts w:hint="eastAsia" w:ascii="宋体" w:hAnsi="宋体" w:eastAsia="宋体" w:cs="宋体"/>
          <w:sz w:val="36"/>
          <w:szCs w:val="36"/>
        </w:rPr>
      </w:pPr>
      <w:bookmarkStart w:id="9" w:name="_Toc99539217"/>
      <w:bookmarkStart w:id="10" w:name="_Toc99106005"/>
      <w:bookmarkStart w:id="11" w:name="_Hlk99542165"/>
      <w:r>
        <w:rPr>
          <w:rFonts w:hint="eastAsia" w:ascii="宋体" w:hAnsi="宋体" w:eastAsia="宋体" w:cs="宋体"/>
          <w:sz w:val="36"/>
          <w:szCs w:val="36"/>
        </w:rPr>
        <w:t>第四章 开标和评标</w:t>
      </w:r>
      <w:bookmarkEnd w:id="9"/>
      <w:bookmarkEnd w:id="10"/>
    </w:p>
    <w:p>
      <w:pPr>
        <w:pStyle w:val="6"/>
        <w:pageBreakBefore w:val="0"/>
        <w:kinsoku/>
        <w:wordWrap/>
        <w:overflowPunct/>
        <w:topLinePunct w:val="0"/>
        <w:bidi w:val="0"/>
        <w:spacing w:line="400" w:lineRule="exact"/>
        <w:rPr>
          <w:rFonts w:hint="eastAsia" w:ascii="宋体" w:hAnsi="宋体" w:eastAsia="宋体" w:cs="宋体"/>
          <w:b w:val="0"/>
          <w:sz w:val="24"/>
          <w:szCs w:val="24"/>
        </w:rPr>
      </w:pPr>
      <w:r>
        <w:rPr>
          <w:rFonts w:hint="eastAsia" w:ascii="宋体" w:hAnsi="宋体" w:eastAsia="宋体" w:cs="宋体"/>
          <w:sz w:val="24"/>
          <w:szCs w:val="24"/>
        </w:rPr>
        <w:t>一、采购人组织开标</w:t>
      </w:r>
    </w:p>
    <w:p>
      <w:pPr>
        <w:pageBreakBefore w:val="0"/>
        <w:kinsoku/>
        <w:wordWrap/>
        <w:overflowPunct/>
        <w:topLinePunct w:val="0"/>
        <w:bidi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供应商的法定代表人或授权人须持有效身份证参加开标会。</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二、评委会的组成</w:t>
      </w:r>
    </w:p>
    <w:p>
      <w:pPr>
        <w:pageBreakBefore w:val="0"/>
        <w:kinsoku/>
        <w:wordWrap/>
        <w:overflowPunct/>
        <w:topLinePunct w:val="0"/>
        <w:bidi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评委会由采购人代表和委托的专家共3人以上单数组成，对投标文件进行审查、质疑、评估、比较。评委会按照公平、公正、择优的原则进行独立评标。</w:t>
      </w:r>
    </w:p>
    <w:p>
      <w:pPr>
        <w:pageBreakBefore w:val="0"/>
        <w:kinsoku/>
        <w:wordWrap/>
        <w:overflowPunct/>
        <w:topLinePunct w:val="0"/>
        <w:bidi w:val="0"/>
        <w:snapToGrid w:val="0"/>
        <w:spacing w:line="40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（一）评审内容</w:t>
      </w:r>
    </w:p>
    <w:p>
      <w:pPr>
        <w:pageBreakBefore w:val="0"/>
        <w:kinsoku/>
        <w:wordWrap/>
        <w:overflowPunct/>
        <w:topLinePunct w:val="0"/>
        <w:bidi w:val="0"/>
        <w:snapToGrid w:val="0"/>
        <w:spacing w:line="400" w:lineRule="exact"/>
        <w:ind w:firstLine="470" w:firstLineChars="196"/>
        <w:jc w:val="left"/>
        <w:rPr>
          <w:rFonts w:hint="eastAsia" w:ascii="宋体" w:hAnsi="宋体" w:eastAsia="宋体" w:cs="宋体"/>
          <w:sz w:val="24"/>
          <w:szCs w:val="24"/>
        </w:rPr>
      </w:pPr>
      <w:r>
        <w:rPr>
          <w:rFonts w:hint="eastAsia" w:ascii="宋体" w:hAnsi="宋体" w:eastAsia="宋体" w:cs="宋体"/>
          <w:sz w:val="24"/>
          <w:szCs w:val="24"/>
        </w:rPr>
        <w:t>1、供应商投标资格；</w:t>
      </w:r>
    </w:p>
    <w:p>
      <w:pPr>
        <w:pageBreakBefore w:val="0"/>
        <w:kinsoku/>
        <w:wordWrap/>
        <w:overflowPunct/>
        <w:topLinePunct w:val="0"/>
        <w:bidi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2、要求的保证金是否已提供；</w:t>
      </w:r>
    </w:p>
    <w:p>
      <w:pPr>
        <w:pageBreakBefore w:val="0"/>
        <w:kinsoku/>
        <w:wordWrap/>
        <w:overflowPunct/>
        <w:topLinePunct w:val="0"/>
        <w:bidi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3、投标文件是否完整；</w:t>
      </w:r>
    </w:p>
    <w:p>
      <w:pPr>
        <w:pageBreakBefore w:val="0"/>
        <w:kinsoku/>
        <w:wordWrap/>
        <w:overflowPunct/>
        <w:topLinePunct w:val="0"/>
        <w:bidi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4、投标文件是否恰当地签署；</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5、是否作出实质性响应（</w:t>
      </w:r>
      <w:r>
        <w:rPr>
          <w:rFonts w:hint="eastAsia" w:ascii="宋体" w:hAnsi="宋体" w:eastAsia="宋体" w:cs="宋体"/>
          <w:b/>
          <w:sz w:val="24"/>
          <w:szCs w:val="24"/>
        </w:rPr>
        <w:t>是否有实质性响应，只根据投标文件本身，而不寻求外部证据）；</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6、是否有计算错误。</w:t>
      </w:r>
    </w:p>
    <w:p>
      <w:pPr>
        <w:pageBreakBefore w:val="0"/>
        <w:kinsoku/>
        <w:wordWrap/>
        <w:overflowPunct/>
        <w:topLinePunct w:val="0"/>
        <w:bidi w:val="0"/>
        <w:snapToGrid w:val="0"/>
        <w:spacing w:line="40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（二）相应的规定</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如果单价汇总金额与总价金额有出入，以单价金额计算结果为准；</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2、单价金额小数点有明显错位的，应以总价为准；</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3、正本与副本有矛盾的，以正本为准；</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4、若文件大写表示的数据与数字表示的有差别，以大写表示的数据为准。</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三、陈述、演示、答疑、澄清</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b/>
          <w:sz w:val="24"/>
          <w:szCs w:val="24"/>
        </w:rPr>
      </w:pPr>
      <w:r>
        <w:rPr>
          <w:rFonts w:hint="eastAsia" w:ascii="宋体" w:hAnsi="宋体" w:eastAsia="宋体" w:cs="宋体"/>
          <w:sz w:val="24"/>
          <w:szCs w:val="24"/>
          <w:shd w:val="clear" w:color="auto" w:fill="FFFFFF"/>
        </w:rPr>
        <w:t>如评委会认为有必要，供应商按评委会的要求作陈述、演示、</w:t>
      </w:r>
      <w:r>
        <w:rPr>
          <w:rFonts w:hint="eastAsia" w:ascii="宋体" w:hAnsi="宋体" w:eastAsia="宋体" w:cs="宋体"/>
          <w:sz w:val="24"/>
          <w:szCs w:val="24"/>
        </w:rPr>
        <w:t>答疑及澄清其投标内容。时间由</w:t>
      </w:r>
      <w:r>
        <w:rPr>
          <w:rFonts w:hint="eastAsia" w:ascii="宋体" w:hAnsi="宋体" w:eastAsia="宋体" w:cs="宋体"/>
          <w:sz w:val="24"/>
          <w:szCs w:val="24"/>
          <w:shd w:val="clear" w:color="auto" w:fill="FFFFFF"/>
        </w:rPr>
        <w:t>评委会</w:t>
      </w:r>
      <w:r>
        <w:rPr>
          <w:rFonts w:hint="eastAsia" w:ascii="宋体" w:hAnsi="宋体" w:eastAsia="宋体" w:cs="宋体"/>
          <w:sz w:val="24"/>
          <w:szCs w:val="24"/>
        </w:rPr>
        <w:t>掌握。</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重要澄清答复应是书面的，但不得对投标内容进行实质性修改。</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四、出现下列情形之一的，作无效投标处理</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1、未按照招标文件规定要求装订、标记、密封、签署、盖章的；</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2、不具备招标文件中规定的技术规格参数要求的；</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3、不符合法律、法规和招标文件中规定的其他实质性要求的。</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五、出现下列情形之一的，作废标处理</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1、出现影响采购公正的违法违规行为的；</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2、供应商的报价均超过了采购预算，采购人不能支付的；</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3、因重大变故，采购任务取消的。</w:t>
      </w:r>
    </w:p>
    <w:p>
      <w:pPr>
        <w:pageBreakBefore w:val="0"/>
        <w:kinsoku/>
        <w:wordWrap/>
        <w:overflowPunct/>
        <w:topLinePunct w:val="0"/>
        <w:bidi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上述均保留</w:t>
      </w:r>
      <w:r>
        <w:rPr>
          <w:rFonts w:hint="eastAsia" w:ascii="宋体" w:hAnsi="宋体" w:eastAsia="宋体" w:cs="宋体"/>
          <w:sz w:val="24"/>
          <w:szCs w:val="24"/>
          <w:shd w:val="clear" w:color="auto" w:fill="FFFFFF"/>
        </w:rPr>
        <w:t>评委会</w:t>
      </w:r>
      <w:r>
        <w:rPr>
          <w:rFonts w:hint="eastAsia" w:ascii="宋体" w:hAnsi="宋体" w:eastAsia="宋体" w:cs="宋体"/>
          <w:sz w:val="24"/>
          <w:szCs w:val="24"/>
        </w:rPr>
        <w:t>认定可以确定为无效投标或废标的其他情况。</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六、变更为其他方式采购的情形</w:t>
      </w:r>
    </w:p>
    <w:p>
      <w:pPr>
        <w:pageBreakBefore w:val="0"/>
        <w:kinsoku/>
        <w:wordWrap/>
        <w:overflowPunct/>
        <w:topLinePunct w:val="0"/>
        <w:autoSpaceDE w:val="0"/>
        <w:autoSpaceDN w:val="0"/>
        <w:bidi w:val="0"/>
        <w:snapToGrid w:val="0"/>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投标截止时间出现如下情形的，参加投标的供应商不足3家的，及评标中出现符合专业条件的供应商或对招标文件作实质响应的供应商不足3家的，采购人有权视情采取其他方式采购。</w:t>
      </w:r>
      <w:r>
        <w:rPr>
          <w:rFonts w:hint="eastAsia" w:ascii="宋体" w:hAnsi="宋体" w:eastAsia="宋体" w:cs="宋体"/>
          <w:sz w:val="24"/>
          <w:szCs w:val="24"/>
          <w:lang w:val="zh-CN"/>
        </w:rPr>
        <w:t>本次招标文件中对供应商资格、技术等要求，将作为</w:t>
      </w:r>
      <w:r>
        <w:rPr>
          <w:rFonts w:hint="eastAsia" w:ascii="宋体" w:hAnsi="宋体" w:eastAsia="宋体" w:cs="宋体"/>
          <w:sz w:val="24"/>
          <w:szCs w:val="24"/>
        </w:rPr>
        <w:t>其他</w:t>
      </w:r>
      <w:r>
        <w:rPr>
          <w:rFonts w:hint="eastAsia" w:ascii="宋体" w:hAnsi="宋体" w:eastAsia="宋体" w:cs="宋体"/>
          <w:sz w:val="24"/>
          <w:szCs w:val="24"/>
          <w:lang w:val="zh-CN"/>
        </w:rPr>
        <w:t>方式采购的基本要求和依据。原已经参加投标并符合要求的供应商，根据自愿原则，参加</w:t>
      </w:r>
      <w:r>
        <w:rPr>
          <w:rFonts w:hint="eastAsia" w:ascii="宋体" w:hAnsi="宋体" w:eastAsia="宋体" w:cs="宋体"/>
          <w:sz w:val="24"/>
          <w:szCs w:val="24"/>
        </w:rPr>
        <w:t>其他</w:t>
      </w:r>
      <w:r>
        <w:rPr>
          <w:rFonts w:hint="eastAsia" w:ascii="宋体" w:hAnsi="宋体" w:eastAsia="宋体" w:cs="宋体"/>
          <w:sz w:val="24"/>
          <w:szCs w:val="24"/>
          <w:lang w:val="zh-CN"/>
        </w:rPr>
        <w:t>方式采购。</w:t>
      </w:r>
    </w:p>
    <w:p>
      <w:pPr>
        <w:pStyle w:val="6"/>
        <w:pageBreakBefore w:val="0"/>
        <w:kinsoku/>
        <w:wordWrap/>
        <w:overflowPunct/>
        <w:topLinePunct w:val="0"/>
        <w:bidi w:val="0"/>
        <w:spacing w:line="400" w:lineRule="exact"/>
        <w:rPr>
          <w:rFonts w:hint="eastAsia" w:ascii="宋体" w:hAnsi="宋体" w:eastAsia="宋体" w:cs="宋体"/>
          <w:b w:val="0"/>
          <w:bCs w:val="0"/>
          <w:sz w:val="24"/>
          <w:szCs w:val="24"/>
        </w:rPr>
      </w:pPr>
      <w:r>
        <w:rPr>
          <w:rFonts w:hint="eastAsia" w:ascii="宋体" w:hAnsi="宋体" w:eastAsia="宋体" w:cs="宋体"/>
          <w:sz w:val="24"/>
          <w:szCs w:val="24"/>
        </w:rPr>
        <w:t>七、评分标准</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技术部分评审结束后，再开启最后商务报价计算分值。总分值为100分，加分和减分因素除外。</w:t>
      </w:r>
    </w:p>
    <w:p>
      <w:pPr>
        <w:pageBreakBefore w:val="0"/>
        <w:numPr>
          <w:ilvl w:val="0"/>
          <w:numId w:val="0"/>
        </w:numPr>
        <w:kinsoku/>
        <w:wordWrap/>
        <w:overflowPunct/>
        <w:topLinePunct w:val="0"/>
        <w:autoSpaceDE w:val="0"/>
        <w:autoSpaceDN w:val="0"/>
        <w:bidi w:val="0"/>
        <w:adjustRightInd w:val="0"/>
        <w:snapToGrid w:val="0"/>
        <w:spacing w:line="400" w:lineRule="exact"/>
        <w:ind w:firstLine="281" w:firstLineChars="100"/>
        <w:rPr>
          <w:rFonts w:hint="eastAsia"/>
          <w:b/>
          <w:bCs/>
          <w:sz w:val="28"/>
          <w:szCs w:val="28"/>
        </w:rPr>
      </w:pPr>
      <w:r>
        <w:rPr>
          <w:rFonts w:hint="eastAsia" w:ascii="宋体" w:hAnsi="宋体" w:cs="宋体"/>
          <w:b/>
          <w:bCs/>
          <w:sz w:val="28"/>
          <w:szCs w:val="28"/>
          <w:lang w:val="en-US" w:eastAsia="zh-CN"/>
        </w:rPr>
        <w:t>1、</w:t>
      </w:r>
      <w:r>
        <w:rPr>
          <w:rFonts w:hint="eastAsia" w:ascii="宋体" w:hAnsi="宋体" w:eastAsia="宋体" w:cs="宋体"/>
          <w:b/>
          <w:bCs/>
          <w:sz w:val="28"/>
          <w:szCs w:val="28"/>
          <w:lang w:val="zh-CN"/>
        </w:rPr>
        <w:t>技术分</w:t>
      </w:r>
      <w:r>
        <w:rPr>
          <w:rFonts w:hint="eastAsia" w:ascii="宋体" w:hAnsi="宋体" w:eastAsia="宋体" w:cs="宋体"/>
          <w:b/>
          <w:bCs/>
          <w:sz w:val="28"/>
          <w:szCs w:val="28"/>
        </w:rPr>
        <w:t>：60</w:t>
      </w:r>
      <w:r>
        <w:rPr>
          <w:rFonts w:hint="eastAsia" w:ascii="宋体" w:hAnsi="宋体" w:eastAsia="宋体" w:cs="宋体"/>
          <w:b/>
          <w:bCs/>
          <w:sz w:val="28"/>
          <w:szCs w:val="28"/>
          <w:lang w:val="zh-CN"/>
        </w:rPr>
        <w:t>分</w:t>
      </w:r>
    </w:p>
    <w:bookmarkEnd w:id="11"/>
    <w:tbl>
      <w:tblPr>
        <w:tblStyle w:val="17"/>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63" w:type="dxa"/>
            <w:noWrap/>
            <w:vAlign w:val="center"/>
          </w:tcPr>
          <w:p>
            <w:pPr>
              <w:pageBreakBefore w:val="0"/>
              <w:kinsoku/>
              <w:wordWrap/>
              <w:overflowPunct/>
              <w:topLinePunct w:val="0"/>
              <w:bidi w:val="0"/>
              <w:snapToGrid w:val="0"/>
              <w:spacing w:line="400" w:lineRule="exact"/>
              <w:jc w:val="center"/>
              <w:textAlignment w:val="baseline"/>
              <w:rPr>
                <w:rFonts w:hint="eastAsia" w:ascii="宋体" w:hAnsi="宋体" w:eastAsia="宋体" w:cs="宋体"/>
                <w:b/>
                <w:bCs/>
                <w:sz w:val="24"/>
                <w:szCs w:val="24"/>
              </w:rPr>
            </w:pPr>
            <w:bookmarkStart w:id="12" w:name="_Hlk99542376"/>
            <w:r>
              <w:rPr>
                <w:rFonts w:hint="eastAsia" w:ascii="宋体" w:hAnsi="宋体" w:eastAsia="宋体" w:cs="宋体"/>
                <w:b/>
                <w:bCs/>
                <w:sz w:val="24"/>
                <w:szCs w:val="24"/>
              </w:rPr>
              <w:t>评分因素</w:t>
            </w:r>
          </w:p>
        </w:tc>
        <w:tc>
          <w:tcPr>
            <w:tcW w:w="7130" w:type="dxa"/>
            <w:noWrap/>
            <w:vAlign w:val="center"/>
          </w:tcPr>
          <w:p>
            <w:pPr>
              <w:pageBreakBefore w:val="0"/>
              <w:kinsoku/>
              <w:wordWrap/>
              <w:overflowPunct/>
              <w:topLinePunct w:val="0"/>
              <w:bidi w:val="0"/>
              <w:snapToGrid w:val="0"/>
              <w:spacing w:line="40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3"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企业资质、企业能力及荣誉（20分）</w:t>
            </w:r>
          </w:p>
        </w:tc>
        <w:tc>
          <w:tcPr>
            <w:tcW w:w="7130" w:type="dxa"/>
            <w:noWrap/>
            <w:vAlign w:val="center"/>
          </w:tcPr>
          <w:p>
            <w:pPr>
              <w:pageBreakBefore w:val="0"/>
              <w:kinsoku/>
              <w:wordWrap/>
              <w:overflowPunct/>
              <w:topLinePunct w:val="0"/>
              <w:bidi w:val="0"/>
              <w:spacing w:line="40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1、具有中国网络安全审查技术与认证中心（CCRC）颁发的信息安全风险评估服务资质、具有ISO27001网络安全管理体系认证证书、</w:t>
            </w:r>
          </w:p>
          <w:p>
            <w:pPr>
              <w:pageBreakBefore w:val="0"/>
              <w:kinsoku/>
              <w:wordWrap/>
              <w:overflowPunct/>
              <w:topLinePunct w:val="0"/>
              <w:bidi w:val="0"/>
              <w:spacing w:line="40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具有ISO9001质量管理体系认证证书、具有ISO/IEC20000-1信息技术服务管理体系认证证书的各得2分，最高8分。（有一个得2分，有两个得4分），没有不得分。</w:t>
            </w:r>
          </w:p>
          <w:p>
            <w:pPr>
              <w:pageBreakBefore w:val="0"/>
              <w:kinsoku/>
              <w:wordWrap/>
              <w:overflowPunct/>
              <w:topLinePunct w:val="0"/>
              <w:bidi w:val="0"/>
              <w:spacing w:line="40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2、供应商近三年在国家网络安全等级保护工作协调小组办公室网站（www.djbh.net）上无任何违规处罚、通报、责令整改等信息得4分，其余不得分。（</w:t>
            </w:r>
            <w:r>
              <w:rPr>
                <w:rFonts w:hint="eastAsia" w:ascii="宋体" w:hAnsi="宋体" w:eastAsia="宋体" w:cs="宋体"/>
                <w:bCs/>
                <w:sz w:val="24"/>
                <w:szCs w:val="24"/>
                <w:lang w:val="en-US" w:eastAsia="zh-CN"/>
              </w:rPr>
              <w:t>以采购方现场查询为准</w:t>
            </w:r>
            <w:r>
              <w:rPr>
                <w:rFonts w:hint="eastAsia" w:ascii="宋体" w:hAnsi="宋体" w:eastAsia="宋体" w:cs="宋体"/>
                <w:bCs/>
                <w:sz w:val="24"/>
                <w:szCs w:val="24"/>
              </w:rPr>
              <w:t>）</w:t>
            </w:r>
          </w:p>
          <w:p>
            <w:pPr>
              <w:pageBreakBefore w:val="0"/>
              <w:kinsoku/>
              <w:wordWrap/>
              <w:overflowPunct/>
              <w:topLinePunct w:val="0"/>
              <w:bidi w:val="0"/>
              <w:spacing w:line="400" w:lineRule="exact"/>
              <w:textAlignment w:val="baseline"/>
              <w:rPr>
                <w:rFonts w:hint="eastAsia" w:ascii="宋体" w:hAnsi="宋体" w:eastAsia="宋体" w:cs="宋体"/>
                <w:sz w:val="24"/>
                <w:szCs w:val="24"/>
              </w:rPr>
            </w:pPr>
            <w:r>
              <w:rPr>
                <w:rFonts w:hint="eastAsia" w:ascii="宋体" w:hAnsi="宋体" w:eastAsia="宋体" w:cs="宋体"/>
                <w:bCs/>
                <w:sz w:val="24"/>
                <w:szCs w:val="24"/>
              </w:rPr>
              <w:t>3、响应供应商与信息安全等级保护关键技术国家工程实验室或分实验室有合作的得4分，没有不得分。（提供证明材料复印件并加盖供应商公章）</w:t>
            </w:r>
          </w:p>
          <w:p>
            <w:pPr>
              <w:pageBreakBefore w:val="0"/>
              <w:kinsoku/>
              <w:wordWrap/>
              <w:overflowPunct/>
              <w:topLinePunct w:val="0"/>
              <w:bidi w:val="0"/>
              <w:spacing w:line="400" w:lineRule="exact"/>
              <w:textAlignment w:val="baseline"/>
              <w:rPr>
                <w:rFonts w:hint="eastAsia" w:ascii="宋体" w:hAnsi="宋体" w:eastAsia="宋体" w:cs="宋体"/>
                <w:sz w:val="24"/>
                <w:szCs w:val="24"/>
              </w:rPr>
            </w:pPr>
            <w:r>
              <w:rPr>
                <w:rFonts w:hint="eastAsia" w:ascii="宋体" w:hAnsi="宋体" w:eastAsia="宋体" w:cs="宋体"/>
                <w:bCs/>
                <w:sz w:val="24"/>
                <w:szCs w:val="24"/>
              </w:rPr>
              <w:t>4、供应商在近10年CNAS测评能力验证得分为100分的得4分，90分-99分得3分，60分-89分得1分，其余不得分。（提供证明材料复印件并加盖供应商公章）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63"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测评案例（12分）</w:t>
            </w:r>
          </w:p>
        </w:tc>
        <w:tc>
          <w:tcPr>
            <w:tcW w:w="7130"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提供近三年等保测评案例合同4个，每个案例得3分，最高得12分。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3"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技术方案（15分）</w:t>
            </w:r>
          </w:p>
        </w:tc>
        <w:tc>
          <w:tcPr>
            <w:tcW w:w="7130"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sz w:val="24"/>
                <w:szCs w:val="24"/>
              </w:rPr>
              <w:t>供应商根据招标需求进行等保测评的方案设计，</w:t>
            </w:r>
            <w:r>
              <w:rPr>
                <w:rFonts w:hint="eastAsia" w:ascii="宋体" w:hAnsi="宋体" w:eastAsia="宋体" w:cs="宋体"/>
                <w:bCs/>
                <w:sz w:val="24"/>
                <w:szCs w:val="24"/>
              </w:rPr>
              <w:t>供应商能够详细描述信息系统现状，</w:t>
            </w:r>
            <w:r>
              <w:rPr>
                <w:rFonts w:hint="eastAsia" w:ascii="宋体" w:hAnsi="宋体" w:eastAsia="宋体" w:cs="宋体"/>
                <w:sz w:val="24"/>
                <w:szCs w:val="24"/>
              </w:rPr>
              <w:t>制定的方案科学、合理、全面、可行性高的得11-15分；方案粗糙、过程不够全面、可行性一般的得6-10分；方案简单，可行性差的得0-5分</w:t>
            </w: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63"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人员资质</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（13分）</w:t>
            </w:r>
          </w:p>
        </w:tc>
        <w:tc>
          <w:tcPr>
            <w:tcW w:w="7130" w:type="dxa"/>
            <w:noWrap/>
            <w:vAlign w:val="center"/>
          </w:tcPr>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承担本次项目的项目团队人员具备：</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1、本项目拟派团队的项目经理为高级测评师得2分，项目经理有CISP认证的得2分，有CISSP认证的得2分，有重要信息系统安全等级保护培训证书（CIIP-T）的得2分；本项最高8分。</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2、除项目经理外，本项目拟派团队中持有高级测评师证书的得2分，有重要信息系统安全等级保护培训证书（CIIP-T）证书的得2分，有中华人民共和国人力资源和社会保障部、工业和信息化部批准颁发的“信息安全工程师”证书得1分；本项最高5分。</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 xml:space="preserve">证明材料： </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1、提供拟派人员名单以及以上相关证明材料复印件并加盖供应商公章；</w:t>
            </w:r>
          </w:p>
          <w:p>
            <w:pPr>
              <w:pageBreakBefore w:val="0"/>
              <w:kinsoku/>
              <w:wordWrap/>
              <w:overflowPunct/>
              <w:topLinePunct w:val="0"/>
              <w:bidi w:val="0"/>
              <w:snapToGrid w:val="0"/>
              <w:spacing w:line="40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2、拟派人员为本单位正式员工，提供近期社保部门出具的供应商为其缴纳养老保险缴纳证明材料并加盖单位公章。</w:t>
            </w:r>
          </w:p>
        </w:tc>
      </w:tr>
    </w:tbl>
    <w:p>
      <w:pPr>
        <w:pageBreakBefore w:val="0"/>
        <w:kinsoku/>
        <w:wordWrap/>
        <w:overflowPunct/>
        <w:topLinePunct w:val="0"/>
        <w:autoSpaceDE w:val="0"/>
        <w:autoSpaceDN w:val="0"/>
        <w:bidi w:val="0"/>
        <w:adjustRightInd w:val="0"/>
        <w:snapToGrid w:val="0"/>
        <w:spacing w:line="400" w:lineRule="exact"/>
        <w:ind w:firstLine="560"/>
        <w:rPr>
          <w:rFonts w:hint="eastAsia" w:ascii="宋体" w:hAnsi="宋体" w:eastAsia="宋体" w:cs="宋体"/>
          <w:b/>
          <w:bCs/>
          <w:sz w:val="28"/>
          <w:szCs w:val="28"/>
        </w:rPr>
      </w:pPr>
      <w:r>
        <w:rPr>
          <w:rFonts w:hint="eastAsia" w:ascii="宋体" w:hAnsi="宋体" w:eastAsia="宋体" w:cs="宋体"/>
          <w:b/>
          <w:bCs/>
          <w:sz w:val="28"/>
          <w:szCs w:val="28"/>
        </w:rPr>
        <w:t>2、价格分：40分</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综合评分法中的价格分统一采用低价优先法计算，即满足磋商文件要求且最后报价最低的供应商的价格为磋商基准价，其价格分为满分。其他供应商的价格分统一按照下列公式计算：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磋商报价得分=（磋商基准价/最后磋商报价）×40</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项目评审过程中，不得去掉最后报价中的最高报价和最低报价。</w:t>
      </w:r>
    </w:p>
    <w:p>
      <w:pPr>
        <w:pStyle w:val="6"/>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八、中标人的确定</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pPr>
        <w:pStyle w:val="6"/>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九、其他注意事项</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1、在投标、开标时间，供应商不得向评委询问情况，不得进行旨在影响评标结果的活动。</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2、评委会不得向供应商解释落标原因。</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3、在投标、评标过程中，如果供应商联合故意抬高报价或出现其他不正当行为，采购人有权中止投标或评标。</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4、凡在投标、开标过程中，采购人已提示是否存在异议的事项，供应商当时没有提出异议的，事后供应商不得针对上述事项提出质疑。</w:t>
      </w:r>
    </w:p>
    <w:p>
      <w:pPr>
        <w:pStyle w:val="6"/>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十、中标通知</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中标结果在</w:t>
      </w:r>
      <w:r>
        <w:rPr>
          <w:rFonts w:hint="eastAsia" w:ascii="宋体" w:hAnsi="宋体" w:eastAsia="宋体" w:cs="宋体"/>
          <w:sz w:val="24"/>
          <w:szCs w:val="24"/>
          <w:lang w:eastAsia="zh-CN"/>
        </w:rPr>
        <w:t>《</w:t>
      </w:r>
      <w:r>
        <w:rPr>
          <w:rFonts w:hint="eastAsia" w:ascii="宋体" w:hAnsi="宋体" w:eastAsia="宋体" w:cs="宋体"/>
          <w:sz w:val="24"/>
          <w:szCs w:val="24"/>
        </w:rPr>
        <w:t>南通市公共资源交易网</w:t>
      </w:r>
      <w:r>
        <w:rPr>
          <w:rFonts w:hint="eastAsia" w:ascii="宋体" w:hAnsi="宋体" w:eastAsia="宋体" w:cs="宋体"/>
          <w:sz w:val="24"/>
          <w:szCs w:val="24"/>
          <w:lang w:eastAsia="zh-CN"/>
        </w:rPr>
        <w:t>》</w:t>
      </w:r>
      <w:r>
        <w:rPr>
          <w:rFonts w:hint="eastAsia" w:ascii="宋体" w:hAnsi="宋体" w:cs="宋体"/>
          <w:sz w:val="24"/>
          <w:szCs w:val="24"/>
          <w:lang w:val="en-US" w:eastAsia="zh-CN"/>
        </w:rPr>
        <w:t>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南通网</w:t>
      </w:r>
      <w:r>
        <w:rPr>
          <w:rFonts w:hint="eastAsia" w:ascii="宋体" w:hAnsi="宋体" w:eastAsia="宋体" w:cs="宋体"/>
          <w:sz w:val="24"/>
          <w:szCs w:val="24"/>
          <w:lang w:eastAsia="zh-CN"/>
        </w:rPr>
        <w:t>》</w:t>
      </w:r>
      <w:r>
        <w:rPr>
          <w:rFonts w:hint="eastAsia" w:ascii="宋体" w:hAnsi="宋体" w:eastAsia="宋体" w:cs="宋体"/>
          <w:sz w:val="24"/>
          <w:szCs w:val="24"/>
        </w:rPr>
        <w:t>上公示1个工作日。《中标通知书》一经发出，如采购单位改变中标结果，或者中标供应商放弃中标的，各自承担相应的法律责任。《中标通知书》是采购合同的组成部分。</w:t>
      </w:r>
    </w:p>
    <w:p>
      <w:pPr>
        <w:pStyle w:val="30"/>
        <w:pageBreakBefore w:val="0"/>
        <w:kinsoku/>
        <w:wordWrap/>
        <w:overflowPunct/>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br w:type="page"/>
      </w:r>
    </w:p>
    <w:p>
      <w:pPr>
        <w:pStyle w:val="5"/>
        <w:pageBreakBefore w:val="0"/>
        <w:kinsoku/>
        <w:wordWrap/>
        <w:overflowPunct/>
        <w:topLinePunct w:val="0"/>
        <w:bidi w:val="0"/>
        <w:spacing w:before="240" w:after="240" w:line="400" w:lineRule="exact"/>
        <w:jc w:val="center"/>
        <w:rPr>
          <w:rFonts w:hint="eastAsia" w:ascii="宋体" w:hAnsi="宋体" w:eastAsia="宋体" w:cs="宋体"/>
          <w:sz w:val="36"/>
          <w:szCs w:val="36"/>
        </w:rPr>
      </w:pPr>
      <w:bookmarkStart w:id="13" w:name="_Toc99106006"/>
      <w:bookmarkStart w:id="14" w:name="_Toc99539218"/>
      <w:r>
        <w:rPr>
          <w:rFonts w:hint="eastAsia" w:ascii="宋体" w:hAnsi="宋体" w:eastAsia="宋体" w:cs="宋体"/>
          <w:sz w:val="36"/>
          <w:szCs w:val="36"/>
        </w:rPr>
        <w:t>第五章  合同签订与验收付款</w:t>
      </w:r>
      <w:bookmarkEnd w:id="13"/>
      <w:bookmarkEnd w:id="14"/>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中标供应商在接到《中标通知书》后5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bookmarkStart w:id="15" w:name="OLE_LINK2"/>
      <w:bookmarkStart w:id="16" w:name="OLE_LINK1"/>
      <w:r>
        <w:rPr>
          <w:rFonts w:hint="eastAsia" w:ascii="宋体" w:hAnsi="宋体" w:eastAsia="宋体" w:cs="宋体"/>
          <w:sz w:val="24"/>
          <w:szCs w:val="24"/>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供应商出现违约情形，应当及时纠正或补偿；造成损失的，按合同约定追究违约责任；发现有假冒、伪劣、走私产品、商业贿赂等违法情形的，应由采购单位移交工商、质监、公安等行政执法部门依法查处。</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五、不响应付款方式的，视同无效投标处理。</w:t>
      </w:r>
    </w:p>
    <w:p>
      <w:pPr>
        <w:pStyle w:val="3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付款方式：提交测评报告后,采购人于10个工作日内一次性支付合同金额</w:t>
      </w:r>
      <w:r>
        <w:rPr>
          <w:rFonts w:hint="eastAsia" w:ascii="宋体" w:hAnsi="宋体" w:eastAsia="宋体" w:cs="宋体"/>
          <w:kern w:val="0"/>
          <w:sz w:val="24"/>
          <w:szCs w:val="24"/>
        </w:rPr>
        <w:t>。</w:t>
      </w:r>
      <w:r>
        <w:rPr>
          <w:rFonts w:hint="eastAsia" w:ascii="宋体" w:hAnsi="宋体" w:eastAsia="宋体" w:cs="宋体"/>
          <w:sz w:val="24"/>
          <w:szCs w:val="24"/>
        </w:rPr>
        <w:t>款项由采购人按相关财务支付规定办理支付手续。不得故意拖延支付时间。</w:t>
      </w:r>
      <w:bookmarkEnd w:id="15"/>
      <w:bookmarkEnd w:id="16"/>
    </w:p>
    <w:p>
      <w:pPr>
        <w:pStyle w:val="5"/>
        <w:pageBreakBefore w:val="0"/>
        <w:kinsoku/>
        <w:wordWrap/>
        <w:overflowPunct/>
        <w:topLinePunct w:val="0"/>
        <w:autoSpaceDE/>
        <w:autoSpaceDN/>
        <w:bidi w:val="0"/>
        <w:adjustRightInd/>
        <w:snapToGrid/>
        <w:spacing w:before="240" w:after="240" w:line="480" w:lineRule="exact"/>
        <w:jc w:val="center"/>
        <w:textAlignment w:val="auto"/>
        <w:rPr>
          <w:rFonts w:hint="eastAsia" w:ascii="宋体" w:hAnsi="宋体" w:eastAsia="宋体" w:cs="宋体"/>
          <w:sz w:val="36"/>
          <w:szCs w:val="36"/>
        </w:rPr>
      </w:pPr>
      <w:bookmarkStart w:id="17" w:name="_Toc99106007"/>
      <w:bookmarkStart w:id="18" w:name="_Toc99539219"/>
    </w:p>
    <w:p>
      <w:pPr>
        <w:pStyle w:val="5"/>
        <w:pageBreakBefore w:val="0"/>
        <w:kinsoku/>
        <w:wordWrap/>
        <w:overflowPunct/>
        <w:topLinePunct w:val="0"/>
        <w:autoSpaceDE/>
        <w:autoSpaceDN/>
        <w:bidi w:val="0"/>
        <w:adjustRightInd/>
        <w:snapToGrid/>
        <w:spacing w:before="240" w:after="240" w:line="480" w:lineRule="exact"/>
        <w:jc w:val="both"/>
        <w:textAlignment w:val="auto"/>
        <w:rPr>
          <w:rFonts w:hint="eastAsia" w:ascii="宋体" w:hAnsi="宋体" w:eastAsia="宋体" w:cs="宋体"/>
          <w:sz w:val="36"/>
          <w:szCs w:val="36"/>
        </w:rPr>
      </w:pPr>
    </w:p>
    <w:p>
      <w:pPr>
        <w:pStyle w:val="5"/>
        <w:pageBreakBefore w:val="0"/>
        <w:kinsoku/>
        <w:wordWrap/>
        <w:overflowPunct/>
        <w:topLinePunct w:val="0"/>
        <w:autoSpaceDE/>
        <w:autoSpaceDN/>
        <w:bidi w:val="0"/>
        <w:adjustRightInd/>
        <w:snapToGrid/>
        <w:spacing w:before="240" w:after="240" w:line="480" w:lineRule="exact"/>
        <w:jc w:val="center"/>
        <w:textAlignment w:val="auto"/>
        <w:rPr>
          <w:rFonts w:hint="eastAsia" w:ascii="宋体" w:hAnsi="宋体" w:eastAsia="宋体" w:cs="宋体"/>
          <w:sz w:val="36"/>
          <w:szCs w:val="36"/>
        </w:rPr>
      </w:pPr>
    </w:p>
    <w:p>
      <w:pPr>
        <w:pStyle w:val="5"/>
        <w:pageBreakBefore w:val="0"/>
        <w:kinsoku/>
        <w:wordWrap/>
        <w:overflowPunct/>
        <w:topLinePunct w:val="0"/>
        <w:autoSpaceDE/>
        <w:autoSpaceDN/>
        <w:bidi w:val="0"/>
        <w:adjustRightInd/>
        <w:snapToGrid/>
        <w:spacing w:before="240" w:after="240" w:line="480" w:lineRule="exact"/>
        <w:jc w:val="center"/>
        <w:textAlignment w:val="auto"/>
        <w:rPr>
          <w:rFonts w:hint="eastAsia" w:ascii="宋体" w:hAnsi="宋体" w:eastAsia="宋体" w:cs="宋体"/>
          <w:sz w:val="36"/>
          <w:szCs w:val="36"/>
        </w:rPr>
      </w:pPr>
    </w:p>
    <w:p>
      <w:pPr>
        <w:rPr>
          <w:rFonts w:hint="eastAsia"/>
        </w:rPr>
      </w:pPr>
    </w:p>
    <w:p>
      <w:pPr>
        <w:pStyle w:val="5"/>
        <w:pageBreakBefore w:val="0"/>
        <w:kinsoku/>
        <w:wordWrap/>
        <w:overflowPunct/>
        <w:topLinePunct w:val="0"/>
        <w:autoSpaceDE/>
        <w:autoSpaceDN/>
        <w:bidi w:val="0"/>
        <w:adjustRightInd/>
        <w:snapToGrid/>
        <w:spacing w:before="240" w:after="240" w:line="480" w:lineRule="exact"/>
        <w:jc w:val="center"/>
        <w:textAlignment w:val="auto"/>
        <w:rPr>
          <w:rFonts w:hint="eastAsia" w:ascii="宋体" w:hAnsi="宋体" w:eastAsia="宋体" w:cs="宋体"/>
          <w:sz w:val="36"/>
          <w:szCs w:val="36"/>
        </w:rPr>
      </w:pPr>
      <w:r>
        <w:rPr>
          <w:rFonts w:hint="eastAsia" w:ascii="宋体" w:hAnsi="宋体" w:eastAsia="宋体" w:cs="宋体"/>
          <w:sz w:val="36"/>
          <w:szCs w:val="36"/>
        </w:rPr>
        <w:t>第六章  质疑提出和处理</w:t>
      </w:r>
      <w:bookmarkEnd w:id="17"/>
      <w:bookmarkEnd w:id="18"/>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一、质疑的提出</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1、质疑人必须是直接参加本次招标活动的当事人。</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对不能提供相关佐证材料的、涉及商业秘密的、非书面形式的、非送达的、匿名的《质疑函》将不予受理。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相关佐证材料要具备客观性、关联性、合法性，无法查实的（如宣传册、媒体报道、猜测、推理等）不能作为佐证材料。</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采购人、采购单位不负责搜集相关佐证材料等工作。</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二、《质疑函》的受理和回复</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1、《质疑函》须由质疑人的法定代表人或参加本次招标授权人送达采购单位和采购人。</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3、对不符合提出质疑要求的，出具《质疑退回通知书》并提出相关补充材料要求，质疑人未在规定的时间内提供补充佐证材料的，视同放弃质疑。</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4、采购单位、采购人负责将质疑人提出的质疑相关材料提供给相关专家或评委审核，并将审核意见回复质疑人。</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5、因质疑情况复杂，组织论证或审查时间较长的，采购单位、采购人以书面形式通知质疑人，可适当延长质疑回复处理时间。</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三、质疑处理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1、质疑成立的处理。采购人终止采购，并建议有关部门给相关当事人予以处理。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2、质疑不成立的处理。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1）质疑人书面《申请撤回质疑函》的，不作违约处理。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2）质疑人在规定的时间内不配合进行质疑调查处理的，按自动撤回《质疑函》处理。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3）质疑人不按《质疑函》格式就提出质疑的，作违约处理。采购人有权收取其保证金的10%作为违约金；同时，视情列入不良供应商名单。</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质疑人虽提供了相关佐证材料，但不能证明其质疑成立的，采购人请质疑人补充相关佐证材料，仍不能证明其质疑成立的，作违约处理。采购人有权收取其保证金的50%作为违约金；同时，列入不良供应商名单。</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5）质疑人不能提供相关佐证材料的，采购人已指出，质疑人仍然坚持提出质疑的，作违约处理。采购人有权收取其保证金的100%作为违约金；取消相应会员资格6个月，同时，列入不良供应商名单。</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7）质疑人承担使用虚假材料或恶意方式质疑的法律责任。</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六、《质疑函》、《质疑回复函》，质疑、举报、投诉不成立的等相关情况，视情在南通市公共资源交易网及省、国家级等相关媒体予以披露。并建议相关政府采购机构对该供应商同步实施1至3年内禁入。</w:t>
      </w:r>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pPr>
        <w:ind w:firstLine="1606" w:firstLineChars="500"/>
        <w:rPr>
          <w:rFonts w:hint="eastAsia" w:ascii="宋体" w:hAnsi="宋体" w:eastAsia="宋体" w:cs="宋体"/>
          <w:b/>
          <w:color w:val="auto"/>
          <w:sz w:val="24"/>
          <w:szCs w:val="24"/>
          <w:highlight w:val="none"/>
          <w:lang w:eastAsia="zh-CN"/>
        </w:rPr>
      </w:pPr>
      <w:bookmarkStart w:id="19" w:name="_Toc99539221"/>
      <w:bookmarkStart w:id="20" w:name="_Toc99106009"/>
      <w:r>
        <w:rPr>
          <w:rFonts w:hint="eastAsia" w:ascii="宋体" w:hAnsi="宋体" w:eastAsia="宋体" w:cs="宋体"/>
          <w:b/>
          <w:color w:val="auto"/>
          <w:sz w:val="32"/>
          <w:szCs w:val="32"/>
          <w:highlight w:val="none"/>
        </w:rPr>
        <w:t>第七部分    响应文件组成及编制要求</w:t>
      </w:r>
    </w:p>
    <w:p>
      <w:pPr>
        <w:pStyle w:val="53"/>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pPr>
        <w:pStyle w:val="53"/>
        <w:snapToGrid w:val="0"/>
        <w:spacing w:line="480" w:lineRule="auto"/>
        <w:ind w:firstLine="579"/>
        <w:contextualSpacing/>
        <w:jc w:val="left"/>
        <w:rPr>
          <w:rFonts w:hint="eastAsia" w:ascii="宋体" w:hAnsi="宋体" w:eastAsia="宋体" w:cs="宋体"/>
          <w:b/>
          <w:color w:val="auto"/>
          <w:sz w:val="24"/>
          <w:szCs w:val="24"/>
          <w:highlight w:val="none"/>
        </w:rPr>
      </w:pPr>
    </w:p>
    <w:p>
      <w:pPr>
        <w:pStyle w:val="53"/>
        <w:snapToGrid w:val="0"/>
        <w:spacing w:line="480" w:lineRule="auto"/>
        <w:ind w:firstLine="579"/>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请按照竞争性磋商采购公告及采购文件供应商资格要求提交响应供应商资格审查证明材料组成内容编制目录，单独密封包装。</w:t>
      </w:r>
    </w:p>
    <w:p>
      <w:pPr>
        <w:pStyle w:val="53"/>
        <w:snapToGrid w:val="0"/>
        <w:spacing w:line="480" w:lineRule="auto"/>
        <w:ind w:firstLine="579"/>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例如格式，仅供参考：</w:t>
      </w:r>
    </w:p>
    <w:p>
      <w:pPr>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1.关于资格的声明函；</w:t>
      </w:r>
    </w:p>
    <w:p>
      <w:pPr>
        <w:pStyle w:val="53"/>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2.法定代表人身份证明书（提供复印件并加盖公章）;</w:t>
      </w:r>
    </w:p>
    <w:p>
      <w:pPr>
        <w:tabs>
          <w:tab w:val="left" w:pos="3375"/>
        </w:tabs>
        <w:autoSpaceDE w:val="0"/>
        <w:autoSpaceDN w:val="0"/>
        <w:adjustRightInd w:val="0"/>
        <w:snapToGrid w:val="0"/>
        <w:spacing w:line="480" w:lineRule="auto"/>
        <w:ind w:left="1"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3.法定代表人授权委托书原件，投标代表本人身份证复印件（原件随身备查）；</w:t>
      </w:r>
    </w:p>
    <w:p>
      <w:pPr>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依法缴纳税收和社会保障资金的良好记录；</w:t>
      </w:r>
    </w:p>
    <w:p>
      <w:pPr>
        <w:snapToGrid w:val="0"/>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具备履行合同所必需的设备和专业技术能力的证明材料；</w:t>
      </w:r>
    </w:p>
    <w:p>
      <w:pPr>
        <w:pageBreakBefore w:val="0"/>
        <w:widowControl/>
        <w:kinsoku/>
        <w:wordWrap/>
        <w:overflowPunct/>
        <w:topLinePunct w:val="0"/>
        <w:bidi w:val="0"/>
        <w:spacing w:after="75" w:line="400" w:lineRule="exact"/>
        <w:ind w:firstLine="480"/>
        <w:jc w:val="left"/>
        <w:rPr>
          <w:rFonts w:hint="eastAsia" w:ascii="宋体" w:hAnsi="宋体" w:eastAsia="宋体" w:cs="宋体"/>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参加采购活动前3年内在经营活动中没有重大违法记录的书面声明；</w:t>
      </w:r>
    </w:p>
    <w:p>
      <w:pPr>
        <w:pStyle w:val="5"/>
        <w:pageBreakBefore w:val="0"/>
        <w:kinsoku/>
        <w:wordWrap/>
        <w:overflowPunct/>
        <w:topLinePunct w:val="0"/>
        <w:bidi w:val="0"/>
        <w:spacing w:before="240" w:after="240" w:line="400" w:lineRule="exact"/>
        <w:jc w:val="left"/>
        <w:rPr>
          <w:rFonts w:hint="eastAsia" w:ascii="宋体" w:hAnsi="宋体" w:eastAsia="宋体" w:cs="宋体"/>
          <w:sz w:val="24"/>
          <w:szCs w:val="24"/>
        </w:rPr>
      </w:pPr>
    </w:p>
    <w:p>
      <w:pPr>
        <w:pStyle w:val="5"/>
        <w:pageBreakBefore w:val="0"/>
        <w:kinsoku/>
        <w:wordWrap/>
        <w:overflowPunct/>
        <w:topLinePunct w:val="0"/>
        <w:bidi w:val="0"/>
        <w:spacing w:before="240" w:after="240" w:line="400" w:lineRule="exact"/>
        <w:jc w:val="left"/>
        <w:rPr>
          <w:rFonts w:hint="eastAsia" w:ascii="宋体" w:hAnsi="宋体" w:eastAsia="宋体" w:cs="宋体"/>
          <w:sz w:val="24"/>
          <w:szCs w:val="24"/>
        </w:rPr>
      </w:pPr>
    </w:p>
    <w:p>
      <w:pPr>
        <w:rPr>
          <w:rFonts w:hint="eastAsia"/>
        </w:rPr>
      </w:pPr>
    </w:p>
    <w:p>
      <w:pPr>
        <w:pStyle w:val="2"/>
        <w:rPr>
          <w:rFonts w:hint="eastAsia"/>
        </w:rPr>
      </w:pPr>
    </w:p>
    <w:p>
      <w:pPr>
        <w:pStyle w:val="2"/>
        <w:rPr>
          <w:rFonts w:hint="eastAsia"/>
        </w:rPr>
      </w:pPr>
    </w:p>
    <w:p>
      <w:pPr>
        <w:pStyle w:val="5"/>
        <w:pageBreakBefore w:val="0"/>
        <w:kinsoku/>
        <w:wordWrap/>
        <w:overflowPunct/>
        <w:topLinePunct w:val="0"/>
        <w:bidi w:val="0"/>
        <w:spacing w:before="240" w:after="240" w:line="400" w:lineRule="exact"/>
        <w:jc w:val="left"/>
        <w:rPr>
          <w:rFonts w:hint="eastAsia" w:ascii="宋体" w:hAnsi="宋体" w:cs="宋体"/>
          <w:sz w:val="32"/>
          <w:szCs w:val="32"/>
          <w:lang w:val="en-US" w:eastAsia="zh-CN"/>
        </w:rPr>
      </w:pPr>
      <w:r>
        <w:rPr>
          <w:rFonts w:hint="eastAsia" w:ascii="宋体" w:hAnsi="宋体" w:cs="宋体"/>
          <w:sz w:val="32"/>
          <w:szCs w:val="32"/>
          <w:lang w:val="en-US" w:eastAsia="zh-CN"/>
        </w:rPr>
        <w:t xml:space="preserve"> </w:t>
      </w:r>
    </w:p>
    <w:p>
      <w:pPr>
        <w:rPr>
          <w:rFonts w:hint="eastAsia"/>
          <w:lang w:val="en-US" w:eastAsia="zh-CN"/>
        </w:rPr>
      </w:pPr>
    </w:p>
    <w:p>
      <w:pPr>
        <w:pStyle w:val="5"/>
        <w:pageBreakBefore w:val="0"/>
        <w:kinsoku/>
        <w:wordWrap/>
        <w:overflowPunct/>
        <w:topLinePunct w:val="0"/>
        <w:bidi w:val="0"/>
        <w:spacing w:before="240" w:after="240" w:line="400" w:lineRule="exact"/>
        <w:jc w:val="left"/>
        <w:rPr>
          <w:rFonts w:hint="eastAsia" w:ascii="宋体" w:hAnsi="宋体" w:eastAsia="宋体" w:cs="宋体"/>
          <w:sz w:val="32"/>
          <w:szCs w:val="32"/>
        </w:rPr>
      </w:pPr>
    </w:p>
    <w:p>
      <w:pPr>
        <w:rPr>
          <w:rFonts w:hint="eastAsia"/>
        </w:rPr>
      </w:pPr>
    </w:p>
    <w:p>
      <w:pPr>
        <w:pStyle w:val="5"/>
        <w:pageBreakBefore w:val="0"/>
        <w:kinsoku/>
        <w:wordWrap/>
        <w:overflowPunct/>
        <w:topLinePunct w:val="0"/>
        <w:bidi w:val="0"/>
        <w:spacing w:before="240" w:after="240" w:line="400" w:lineRule="exact"/>
        <w:jc w:val="left"/>
        <w:rPr>
          <w:rFonts w:hint="eastAsia" w:ascii="宋体" w:hAnsi="宋体" w:eastAsia="宋体" w:cs="宋体"/>
          <w:sz w:val="32"/>
          <w:szCs w:val="32"/>
        </w:rPr>
      </w:pPr>
      <w:r>
        <w:rPr>
          <w:rFonts w:hint="eastAsia" w:ascii="宋体" w:hAnsi="宋体" w:eastAsia="宋体" w:cs="宋体"/>
          <w:sz w:val="32"/>
          <w:szCs w:val="32"/>
        </w:rPr>
        <w:t>附件</w:t>
      </w:r>
      <w:bookmarkEnd w:id="19"/>
      <w:bookmarkEnd w:id="20"/>
    </w:p>
    <w:p>
      <w:pPr>
        <w:pStyle w:val="53"/>
        <w:snapToGrid w:val="0"/>
        <w:spacing w:line="300" w:lineRule="auto"/>
        <w:ind w:firstLine="0" w:firstLineChars="0"/>
        <w:contextualSpacing/>
        <w:rPr>
          <w:rFonts w:hint="eastAsia" w:ascii="宋体" w:hAnsi="宋体" w:eastAsia="宋体" w:cs="宋体"/>
          <w:color w:val="auto"/>
          <w:sz w:val="32"/>
          <w:szCs w:val="32"/>
          <w:highlight w:val="none"/>
        </w:rPr>
      </w:pPr>
    </w:p>
    <w:p>
      <w:pPr>
        <w:pStyle w:val="53"/>
        <w:snapToGrid w:val="0"/>
        <w:spacing w:line="300" w:lineRule="auto"/>
        <w:ind w:firstLine="0" w:firstLineChars="0"/>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法定代表人身份证明书</w:t>
      </w:r>
    </w:p>
    <w:p>
      <w:pPr>
        <w:snapToGrid w:val="0"/>
        <w:spacing w:line="300" w:lineRule="auto"/>
        <w:ind w:firstLine="480" w:firstLineChars="200"/>
        <w:contextualSpacing/>
        <w:rPr>
          <w:rFonts w:hint="eastAsia" w:ascii="宋体" w:hAnsi="宋体" w:eastAsia="宋体" w:cs="宋体"/>
          <w:color w:val="auto"/>
          <w:sz w:val="24"/>
          <w:szCs w:val="24"/>
          <w:highlight w:val="none"/>
        </w:rPr>
      </w:pPr>
    </w:p>
    <w:p>
      <w:pPr>
        <w:snapToGrid w:val="0"/>
        <w:spacing w:line="300" w:lineRule="auto"/>
        <w:ind w:firstLine="480" w:firstLineChars="200"/>
        <w:contextualSpacing/>
        <w:rPr>
          <w:rFonts w:hint="eastAsia" w:ascii="宋体" w:hAnsi="宋体" w:eastAsia="宋体" w:cs="宋体"/>
          <w:color w:val="auto"/>
          <w:sz w:val="24"/>
          <w:szCs w:val="24"/>
          <w:highlight w:val="none"/>
        </w:rPr>
      </w:pP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先生／女士：现任我单位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职务，为法定代表人，特此证明。</w:t>
      </w:r>
    </w:p>
    <w:p>
      <w:pPr>
        <w:snapToGrid w:val="0"/>
        <w:spacing w:line="500" w:lineRule="exact"/>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napToGrid w:val="0"/>
        <w:spacing w:line="500" w:lineRule="exact"/>
        <w:contextualSpacing/>
        <w:rPr>
          <w:rFonts w:hint="eastAsia" w:ascii="宋体" w:hAnsi="宋体" w:eastAsia="宋体" w:cs="宋体"/>
          <w:b/>
          <w:color w:val="auto"/>
          <w:sz w:val="24"/>
          <w:szCs w:val="24"/>
          <w:highlight w:val="none"/>
        </w:rPr>
      </w:pPr>
    </w:p>
    <w:p>
      <w:pPr>
        <w:snapToGrid w:val="0"/>
        <w:spacing w:line="500" w:lineRule="exact"/>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注：提供法定代表人的身份证复印件盖公章</w:t>
      </w:r>
    </w:p>
    <w:p>
      <w:pPr>
        <w:snapToGrid w:val="0"/>
        <w:spacing w:line="500" w:lineRule="exact"/>
        <w:ind w:firstLine="590" w:firstLineChars="245"/>
        <w:contextualSpacing/>
        <w:jc w:val="center"/>
        <w:rPr>
          <w:rFonts w:hint="eastAsia" w:ascii="宋体" w:hAnsi="宋体" w:eastAsia="宋体" w:cs="宋体"/>
          <w:b/>
          <w:bCs/>
          <w:color w:val="auto"/>
          <w:sz w:val="24"/>
          <w:szCs w:val="24"/>
          <w:highlight w:val="none"/>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30"/>
        <w:pageBreakBefore w:val="0"/>
        <w:kinsoku/>
        <w:wordWrap/>
        <w:overflowPunct/>
        <w:topLinePunct w:val="0"/>
        <w:bidi w:val="0"/>
        <w:spacing w:line="400" w:lineRule="exact"/>
        <w:ind w:firstLine="0"/>
        <w:rPr>
          <w:rFonts w:hint="eastAsia" w:ascii="宋体" w:hAnsi="宋体" w:eastAsia="宋体" w:cs="宋体"/>
          <w:sz w:val="24"/>
          <w:szCs w:val="24"/>
        </w:rPr>
      </w:pPr>
    </w:p>
    <w:p>
      <w:pPr>
        <w:pStyle w:val="53"/>
        <w:snapToGrid w:val="0"/>
        <w:spacing w:line="300" w:lineRule="auto"/>
        <w:ind w:firstLine="0" w:firstLineChars="0"/>
        <w:contextualSpacing/>
        <w:jc w:val="both"/>
        <w:rPr>
          <w:rFonts w:hint="eastAsia" w:ascii="宋体" w:hAnsi="宋体" w:eastAsia="宋体" w:cs="宋体"/>
          <w:b/>
          <w:color w:val="auto"/>
          <w:sz w:val="32"/>
          <w:szCs w:val="32"/>
          <w:highlight w:val="none"/>
        </w:rPr>
      </w:pPr>
    </w:p>
    <w:p>
      <w:pPr>
        <w:pStyle w:val="53"/>
        <w:snapToGrid w:val="0"/>
        <w:spacing w:line="300" w:lineRule="auto"/>
        <w:ind w:firstLine="0" w:firstLineChars="0"/>
        <w:contextualSpacing/>
        <w:jc w:val="both"/>
        <w:rPr>
          <w:rFonts w:hint="eastAsia" w:ascii="宋体" w:hAnsi="宋体" w:eastAsia="宋体" w:cs="宋体"/>
          <w:b/>
          <w:color w:val="auto"/>
          <w:sz w:val="32"/>
          <w:szCs w:val="32"/>
          <w:highlight w:val="none"/>
        </w:rPr>
      </w:pPr>
    </w:p>
    <w:p>
      <w:pPr>
        <w:pStyle w:val="53"/>
        <w:snapToGrid w:val="0"/>
        <w:spacing w:line="300" w:lineRule="auto"/>
        <w:ind w:firstLine="0" w:firstLineChars="0"/>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pPr>
        <w:snapToGrid w:val="0"/>
        <w:spacing w:line="300" w:lineRule="auto"/>
        <w:ind w:firstLine="590" w:firstLineChars="245"/>
        <w:contextualSpacing/>
        <w:jc w:val="center"/>
        <w:rPr>
          <w:rFonts w:hint="eastAsia" w:ascii="宋体" w:hAnsi="宋体" w:eastAsia="宋体" w:cs="宋体"/>
          <w:b/>
          <w:bCs/>
          <w:color w:val="auto"/>
          <w:sz w:val="24"/>
          <w:szCs w:val="24"/>
          <w:highlight w:val="none"/>
        </w:rPr>
      </w:pPr>
    </w:p>
    <w:p>
      <w:pPr>
        <w:snapToGrid w:val="0"/>
        <w:spacing w:line="500" w:lineRule="exact"/>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南通日报社（</w:t>
      </w:r>
      <w:r>
        <w:rPr>
          <w:rFonts w:hint="eastAsia" w:ascii="宋体" w:hAnsi="宋体" w:cs="宋体"/>
          <w:b/>
          <w:color w:val="auto"/>
          <w:sz w:val="24"/>
          <w:szCs w:val="24"/>
          <w:highlight w:val="none"/>
          <w:lang w:eastAsia="zh-CN"/>
        </w:rPr>
        <w:t>集团</w:t>
      </w:r>
      <w:r>
        <w:rPr>
          <w:rFonts w:hint="eastAsia" w:ascii="宋体" w:hAnsi="宋体" w:eastAsia="宋体" w:cs="宋体"/>
          <w:b/>
          <w:color w:val="auto"/>
          <w:sz w:val="24"/>
          <w:szCs w:val="24"/>
          <w:highlight w:val="none"/>
        </w:rPr>
        <w:t>）：</w:t>
      </w:r>
    </w:p>
    <w:p>
      <w:pPr>
        <w:pStyle w:val="10"/>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8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本授权委托书声明：我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（响应人名称）的法定代表人，现授权委托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姓名）为我公司代理人，以本公司的名义参加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南通日报社（</w:t>
      </w:r>
      <w:r>
        <w:rPr>
          <w:rFonts w:hint="eastAsia" w:ascii="宋体" w:hAnsi="宋体" w:cs="宋体"/>
          <w:color w:val="auto"/>
          <w:sz w:val="24"/>
          <w:szCs w:val="24"/>
          <w:highlight w:val="none"/>
          <w:u w:val="single"/>
          <w:lang w:eastAsia="zh-CN"/>
        </w:rPr>
        <w:t>集团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的响应活动。代理人在响应、开标、评审、磋商谈判过程中所签署的一切文件和处理与之有关的一切事务，我均予以承认。</w:t>
      </w:r>
    </w:p>
    <w:p>
      <w:pPr>
        <w:pStyle w:val="10"/>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被委托授权人无转委权。特此委托。</w:t>
      </w:r>
    </w:p>
    <w:p>
      <w:pPr>
        <w:pStyle w:val="10"/>
        <w:snapToGrid w:val="0"/>
        <w:spacing w:line="500" w:lineRule="exact"/>
        <w:ind w:firstLine="420"/>
        <w:contextualSpacing/>
        <w:rPr>
          <w:rFonts w:hint="eastAsia" w:ascii="宋体" w:hAnsi="宋体" w:eastAsia="宋体" w:cs="宋体"/>
          <w:color w:val="auto"/>
          <w:sz w:val="24"/>
          <w:szCs w:val="24"/>
          <w:highlight w:val="none"/>
        </w:rPr>
      </w:pPr>
    </w:p>
    <w:p>
      <w:pPr>
        <w:pStyle w:val="10"/>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被委托授权人身份证号：</w:t>
      </w:r>
    </w:p>
    <w:p>
      <w:pPr>
        <w:snapToGrid w:val="0"/>
        <w:spacing w:line="500" w:lineRule="exact"/>
        <w:ind w:firstLine="360" w:firstLineChars="150"/>
        <w:contextualSpacing/>
        <w:rPr>
          <w:rFonts w:hint="eastAsia" w:ascii="宋体" w:hAnsi="宋体" w:eastAsia="宋体" w:cs="宋体"/>
          <w:color w:val="auto"/>
          <w:sz w:val="24"/>
          <w:szCs w:val="24"/>
          <w:highlight w:val="none"/>
        </w:rPr>
      </w:pPr>
    </w:p>
    <w:p>
      <w:pPr>
        <w:pStyle w:val="2"/>
        <w:rPr>
          <w:rFonts w:hint="eastAsia"/>
        </w:rPr>
      </w:pPr>
    </w:p>
    <w:p>
      <w:pPr>
        <w:snapToGrid w:val="0"/>
        <w:spacing w:line="500" w:lineRule="exact"/>
        <w:ind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snapToGrid w:val="0"/>
        <w:spacing w:line="500" w:lineRule="exact"/>
        <w:ind w:firstLine="360" w:firstLineChars="150"/>
        <w:contextualSpacing/>
        <w:rPr>
          <w:rFonts w:hint="eastAsia" w:ascii="宋体" w:hAnsi="宋体" w:eastAsia="宋体" w:cs="宋体"/>
          <w:color w:val="auto"/>
          <w:sz w:val="24"/>
          <w:szCs w:val="24"/>
          <w:highlight w:val="none"/>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ageBreakBefore w:val="0"/>
        <w:widowControl/>
        <w:kinsoku/>
        <w:wordWrap/>
        <w:overflowPunct/>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br w:type="page"/>
      </w:r>
    </w:p>
    <w:p>
      <w:pPr>
        <w:pStyle w:val="53"/>
        <w:snapToGrid w:val="0"/>
        <w:spacing w:line="300" w:lineRule="auto"/>
        <w:ind w:firstLine="0" w:firstLineChars="0"/>
        <w:contextualSpacing/>
        <w:rPr>
          <w:rFonts w:hint="eastAsia" w:ascii="宋体" w:hAnsi="宋体" w:eastAsia="宋体" w:cs="宋体"/>
          <w:color w:val="auto"/>
          <w:sz w:val="30"/>
          <w:szCs w:val="30"/>
          <w:highlight w:val="none"/>
        </w:rPr>
      </w:pPr>
    </w:p>
    <w:p>
      <w:pPr>
        <w:pStyle w:val="53"/>
        <w:snapToGrid w:val="0"/>
        <w:spacing w:line="300" w:lineRule="auto"/>
        <w:ind w:firstLine="0" w:firstLineChars="0"/>
        <w:contextualSpacing/>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关于资格的声明函</w:t>
      </w:r>
    </w:p>
    <w:p>
      <w:pPr>
        <w:snapToGrid w:val="0"/>
        <w:spacing w:line="300" w:lineRule="auto"/>
        <w:contextualSpacing/>
        <w:rPr>
          <w:rFonts w:hint="eastAsia" w:ascii="宋体" w:hAnsi="宋体" w:eastAsia="宋体" w:cs="宋体"/>
          <w:b/>
          <w:color w:val="auto"/>
          <w:sz w:val="24"/>
          <w:szCs w:val="24"/>
          <w:highlight w:val="none"/>
        </w:rPr>
      </w:pPr>
    </w:p>
    <w:p>
      <w:pPr>
        <w:snapToGrid w:val="0"/>
        <w:spacing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南通日报社（</w:t>
      </w:r>
      <w:r>
        <w:rPr>
          <w:rFonts w:hint="eastAsia" w:ascii="宋体" w:hAnsi="宋体" w:cs="宋体"/>
          <w:b/>
          <w:color w:val="auto"/>
          <w:sz w:val="24"/>
          <w:szCs w:val="24"/>
          <w:highlight w:val="none"/>
          <w:lang w:eastAsia="zh-CN"/>
        </w:rPr>
        <w:t>集团</w:t>
      </w:r>
      <w:r>
        <w:rPr>
          <w:rFonts w:hint="eastAsia" w:ascii="宋体" w:hAnsi="宋体" w:eastAsia="宋体" w:cs="宋体"/>
          <w:b/>
          <w:color w:val="auto"/>
          <w:sz w:val="24"/>
          <w:szCs w:val="24"/>
          <w:highlight w:val="none"/>
        </w:rPr>
        <w:t>）：</w:t>
      </w: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我公司认真对照竞争性磋商采购公告及文件，符合贵方提出的资格要求，自愿报名参加响应，并保证提供的资料文件是准确的和真实的。提供虚假材料的愿意承担相应的法律责任。</w:t>
      </w:r>
    </w:p>
    <w:p>
      <w:pPr>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附：公司响应之前3年内有无受各级管理部门的处分或处罚（含其授权服务的子公司、分公司等），和企业被列入“不良信誉黑名单”。</w:t>
      </w:r>
    </w:p>
    <w:p>
      <w:pPr>
        <w:pStyle w:val="10"/>
        <w:snapToGrid w:val="0"/>
        <w:spacing w:line="5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如果不主动填报而被事后发现的，将取消其响应资格，并按有关规定从重处理；没有受处罚的响应人，要填写“没有受到任何处罚”，此表不能空白。</w:t>
      </w:r>
    </w:p>
    <w:p>
      <w:pPr>
        <w:pStyle w:val="10"/>
        <w:snapToGrid w:val="0"/>
        <w:spacing w:line="300" w:lineRule="auto"/>
        <w:ind w:firstLine="240" w:firstLineChars="100"/>
        <w:contextualSpacing/>
        <w:jc w:val="left"/>
        <w:rPr>
          <w:rFonts w:hint="eastAsia" w:ascii="宋体" w:hAnsi="宋体" w:eastAsia="宋体" w:cs="宋体"/>
          <w:color w:val="auto"/>
          <w:sz w:val="24"/>
          <w:szCs w:val="24"/>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3363"/>
        <w:gridCol w:w="3363"/>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33" w:type="pct"/>
            <w:noWrap w:val="0"/>
            <w:vAlign w:val="center"/>
          </w:tcPr>
          <w:p>
            <w:pPr>
              <w:pStyle w:val="7"/>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时 间</w:t>
            </w:r>
          </w:p>
        </w:tc>
        <w:tc>
          <w:tcPr>
            <w:tcW w:w="1757" w:type="pct"/>
            <w:noWrap w:val="0"/>
            <w:vAlign w:val="center"/>
          </w:tcPr>
          <w:p>
            <w:pPr>
              <w:pStyle w:val="7"/>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受处理的原因</w:t>
            </w:r>
          </w:p>
          <w:p>
            <w:pPr>
              <w:pStyle w:val="7"/>
              <w:snapToGrid w:val="0"/>
              <w:spacing w:line="300" w:lineRule="auto"/>
              <w:ind w:firstLine="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（参加政府采购活动前3年内在经营活动中有重大违法记录和企业被列入“不良信誉黑名单”受处理的，注明采购项目</w:t>
            </w:r>
          </w:p>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名称及处理原因）</w:t>
            </w:r>
          </w:p>
        </w:tc>
        <w:tc>
          <w:tcPr>
            <w:tcW w:w="1757" w:type="pct"/>
            <w:noWrap w:val="0"/>
            <w:vAlign w:val="center"/>
          </w:tcPr>
          <w:p>
            <w:pPr>
              <w:pStyle w:val="7"/>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处理的内容</w:t>
            </w:r>
          </w:p>
          <w:p>
            <w:pPr>
              <w:pStyle w:val="7"/>
              <w:snapToGrid w:val="0"/>
              <w:spacing w:line="300" w:lineRule="auto"/>
              <w:ind w:firstLine="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（如受到禁止一段时期参加某种项目的政府采购活动的，要说明解禁时</w:t>
            </w:r>
          </w:p>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间）</w:t>
            </w:r>
          </w:p>
        </w:tc>
        <w:tc>
          <w:tcPr>
            <w:tcW w:w="753" w:type="pct"/>
            <w:noWrap w:val="0"/>
            <w:vAlign w:val="center"/>
          </w:tcPr>
          <w:p>
            <w:pPr>
              <w:pStyle w:val="7"/>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33" w:type="pct"/>
            <w:noWrap w:val="0"/>
            <w:vAlign w:val="top"/>
          </w:tcPr>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1757" w:type="pct"/>
            <w:noWrap w:val="0"/>
            <w:vAlign w:val="top"/>
          </w:tcPr>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1757" w:type="pct"/>
            <w:noWrap w:val="0"/>
            <w:vAlign w:val="top"/>
          </w:tcPr>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753" w:type="pct"/>
            <w:noWrap w:val="0"/>
            <w:vAlign w:val="top"/>
          </w:tcPr>
          <w:p>
            <w:pPr>
              <w:pStyle w:val="7"/>
              <w:snapToGrid w:val="0"/>
              <w:spacing w:line="300" w:lineRule="auto"/>
              <w:ind w:firstLine="0"/>
              <w:contextualSpacing/>
              <w:rPr>
                <w:rFonts w:hint="eastAsia" w:ascii="宋体" w:hAnsi="宋体" w:eastAsia="宋体" w:cs="宋体"/>
                <w:color w:val="auto"/>
                <w:sz w:val="24"/>
                <w:szCs w:val="24"/>
                <w:highlight w:val="none"/>
                <w:lang w:val="en-US" w:eastAsia="zh-CN"/>
              </w:rPr>
            </w:pPr>
          </w:p>
        </w:tc>
      </w:tr>
    </w:tbl>
    <w:p>
      <w:pPr>
        <w:pageBreakBefore w:val="0"/>
        <w:widowControl/>
        <w:kinsoku/>
        <w:wordWrap/>
        <w:overflowPunct/>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br w:type="page"/>
      </w:r>
    </w:p>
    <w:p>
      <w:pPr>
        <w:pStyle w:val="6"/>
        <w:pageBreakBefore w:val="0"/>
        <w:kinsoku/>
        <w:wordWrap/>
        <w:overflowPunct/>
        <w:topLinePunct w:val="0"/>
        <w:bidi w:val="0"/>
        <w:spacing w:line="400" w:lineRule="exact"/>
        <w:jc w:val="center"/>
        <w:rPr>
          <w:rFonts w:hint="eastAsia" w:ascii="宋体" w:hAnsi="宋体" w:eastAsia="宋体" w:cs="宋体"/>
          <w:b w:val="0"/>
          <w:sz w:val="32"/>
          <w:szCs w:val="32"/>
        </w:rPr>
      </w:pPr>
      <w:r>
        <w:rPr>
          <w:rFonts w:hint="eastAsia" w:ascii="宋体" w:hAnsi="宋体" w:eastAsia="宋体" w:cs="宋体"/>
          <w:sz w:val="32"/>
          <w:szCs w:val="32"/>
        </w:rPr>
        <w:t>四、投标承诺书</w:t>
      </w: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招标方名称：</w:t>
      </w:r>
    </w:p>
    <w:p>
      <w:pPr>
        <w:pageBreakBefore w:val="0"/>
        <w:kinsoku/>
        <w:wordWrap/>
        <w:overflowPunct/>
        <w:topLinePunct w:val="0"/>
        <w:bidi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（投标单位全称）授权（姓  名）（职  务）为全权代表，参加</w:t>
      </w:r>
      <w:r>
        <w:rPr>
          <w:rFonts w:hint="eastAsia" w:ascii="宋体" w:hAnsi="宋体" w:eastAsia="宋体" w:cs="宋体"/>
          <w:color w:val="FF0000"/>
          <w:sz w:val="24"/>
          <w:szCs w:val="24"/>
        </w:rPr>
        <w:t>（项目名称）</w:t>
      </w:r>
      <w:r>
        <w:rPr>
          <w:rFonts w:hint="eastAsia" w:ascii="宋体" w:hAnsi="宋体" w:eastAsia="宋体" w:cs="宋体"/>
          <w:sz w:val="24"/>
          <w:szCs w:val="24"/>
        </w:rPr>
        <w:t>招标的有关活动，并宣布同意如下：</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1．我方愿意按照招标文件的全部要求进行投标（投标内容及价格以投标文件为准）。</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2．我方完全理解并同意放弃对招标文件有不明及误解的权利。</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3．我方将按招标文件的规定履行合同责任和义务。</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4．如果我方在投标有效期内撤回投标，投标保证金将被贵方没收。</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5．我方同意提供按照贵方可能要求的与其投标有关的一切数据或资料。</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6．我方的投标书自开标后60天内有效</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7．与本投标有关的一切往来通讯请寄：</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　　　　　　　　　　　　　传真：</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授权委托人签字：　　　　　　　　职务：</w:t>
      </w:r>
    </w:p>
    <w:p>
      <w:pPr>
        <w:pageBreakBefore w:val="0"/>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投标单位：（加盖单位公章）</w:t>
      </w:r>
    </w:p>
    <w:p>
      <w:pPr>
        <w:pageBreakBefore w:val="0"/>
        <w:kinsoku/>
        <w:wordWrap/>
        <w:overflowPunct/>
        <w:topLinePunct w:val="0"/>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日期：        年     月      日　　</w:t>
      </w:r>
    </w:p>
    <w:p>
      <w:pPr>
        <w:pStyle w:val="30"/>
        <w:pageBreakBefore w:val="0"/>
        <w:kinsoku/>
        <w:wordWrap/>
        <w:overflowPunct/>
        <w:topLinePunct w:val="0"/>
        <w:bidi w:val="0"/>
        <w:spacing w:line="480" w:lineRule="auto"/>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30"/>
        <w:pageBreakBefore w:val="0"/>
        <w:kinsoku/>
        <w:wordWrap/>
        <w:overflowPunct/>
        <w:topLinePunct w:val="0"/>
        <w:bidi w:val="0"/>
        <w:spacing w:line="400" w:lineRule="exact"/>
        <w:rPr>
          <w:rFonts w:hint="eastAsia" w:ascii="宋体" w:hAnsi="宋体" w:eastAsia="宋体" w:cs="宋体"/>
          <w:sz w:val="24"/>
          <w:szCs w:val="24"/>
        </w:rPr>
      </w:pPr>
    </w:p>
    <w:p>
      <w:pPr>
        <w:pStyle w:val="6"/>
        <w:pageBreakBefore w:val="0"/>
        <w:kinsoku/>
        <w:wordWrap/>
        <w:overflowPunct/>
        <w:topLinePunct w:val="0"/>
        <w:bidi w:val="0"/>
        <w:spacing w:line="400" w:lineRule="exact"/>
        <w:jc w:val="center"/>
        <w:rPr>
          <w:rFonts w:hint="eastAsia" w:ascii="宋体" w:hAnsi="宋体" w:eastAsia="宋体" w:cs="宋体"/>
          <w:b w:val="0"/>
          <w:sz w:val="24"/>
          <w:szCs w:val="24"/>
        </w:rPr>
      </w:pPr>
      <w:r>
        <w:rPr>
          <w:rFonts w:hint="eastAsia" w:ascii="宋体" w:hAnsi="宋体" w:eastAsia="宋体" w:cs="宋体"/>
          <w:sz w:val="24"/>
          <w:szCs w:val="24"/>
        </w:rPr>
        <w:t>五、正负偏离表</w:t>
      </w:r>
    </w:p>
    <w:p>
      <w:pPr>
        <w:pageBreakBefore w:val="0"/>
        <w:kinsoku/>
        <w:wordWrap/>
        <w:overflowPunct/>
        <w:topLinePunct w:val="0"/>
        <w:bidi w:val="0"/>
        <w:spacing w:beforeLines="50" w:afterLines="50" w:line="400" w:lineRule="exact"/>
        <w:rPr>
          <w:rFonts w:hint="eastAsia" w:ascii="宋体" w:hAnsi="宋体" w:eastAsia="宋体" w:cs="宋体"/>
          <w:b/>
          <w:sz w:val="24"/>
          <w:szCs w:val="24"/>
        </w:rPr>
      </w:pPr>
    </w:p>
    <w:p>
      <w:pPr>
        <w:pageBreakBefore w:val="0"/>
        <w:kinsoku/>
        <w:wordWrap/>
        <w:overflowPunct/>
        <w:topLinePunct w:val="0"/>
        <w:bidi w:val="0"/>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商务部分正负偏离表</w:t>
      </w:r>
    </w:p>
    <w:tbl>
      <w:tblPr>
        <w:tblStyle w:val="17"/>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3048" w:type="dxa"/>
            <w:gridSpan w:val="2"/>
            <w:tcBorders>
              <w:bottom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招标文件</w:t>
            </w:r>
          </w:p>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bl>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说明：此表行数不够填写，请自行增加。</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供应商名称:（盖章）</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法定代表人或授权委托人：（签字）</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日期：</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填制正负偏离表，完全响应的，请以空白表列示。不完全响应的，必须在偏离表中列示；列示不全的，视同故意隐瞒。</w:t>
      </w:r>
    </w:p>
    <w:p>
      <w:pPr>
        <w:pageBreakBefore w:val="0"/>
        <w:kinsoku/>
        <w:wordWrap/>
        <w:overflowPunct/>
        <w:topLinePunct w:val="0"/>
        <w:bidi w:val="0"/>
        <w:spacing w:beforeLines="50" w:afterLines="50" w:line="480" w:lineRule="auto"/>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pageBreakBefore w:val="0"/>
        <w:kinsoku/>
        <w:wordWrap/>
        <w:overflowPunct/>
        <w:topLinePunct w:val="0"/>
        <w:bidi w:val="0"/>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技术部分正负偏离表</w:t>
      </w:r>
    </w:p>
    <w:p>
      <w:pPr>
        <w:pageBreakBefore w:val="0"/>
        <w:kinsoku/>
        <w:wordWrap/>
        <w:overflowPunct/>
        <w:topLinePunct w:val="0"/>
        <w:bidi w:val="0"/>
        <w:spacing w:beforeLines="50" w:afterLines="50" w:line="400" w:lineRule="exact"/>
        <w:rPr>
          <w:rFonts w:hint="eastAsia" w:ascii="宋体" w:hAnsi="宋体" w:eastAsia="宋体" w:cs="宋体"/>
          <w:sz w:val="24"/>
          <w:szCs w:val="24"/>
          <w:lang w:val="zh-CN"/>
        </w:rPr>
      </w:pPr>
    </w:p>
    <w:tbl>
      <w:tblPr>
        <w:tblStyle w:val="17"/>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3048" w:type="dxa"/>
            <w:gridSpan w:val="2"/>
            <w:tcBorders>
              <w:bottom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招标文件</w:t>
            </w:r>
          </w:p>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sz w:val="24"/>
                <w:szCs w:val="24"/>
                <w:lang w:val="zh-CN"/>
              </w:rPr>
            </w:pPr>
          </w:p>
        </w:tc>
      </w:tr>
    </w:tbl>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说明：此表行数不够填写，请自行增加。</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供应商名称:（盖章）</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法定代表人或授权委托人：（签字）</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日期：</w:t>
      </w:r>
    </w:p>
    <w:p>
      <w:pPr>
        <w:pageBreakBefore w:val="0"/>
        <w:kinsoku/>
        <w:wordWrap/>
        <w:overflowPunct/>
        <w:topLinePunct w:val="0"/>
        <w:bidi w:val="0"/>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填制正负偏离表，完全响应的，请以空白表列示。不完全响应的，必须在偏离表中列示；列示不全的，视同故意隐瞒。</w:t>
      </w:r>
    </w:p>
    <w:p>
      <w:pPr>
        <w:pageBreakBefore w:val="0"/>
        <w:kinsoku/>
        <w:wordWrap/>
        <w:overflowPunct/>
        <w:topLinePunct w:val="0"/>
        <w:bidi w:val="0"/>
        <w:spacing w:beforeLines="50" w:afterLines="50" w:line="480" w:lineRule="auto"/>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pStyle w:val="6"/>
        <w:pageBreakBefore w:val="0"/>
        <w:kinsoku/>
        <w:wordWrap/>
        <w:overflowPunct/>
        <w:topLinePunct w:val="0"/>
        <w:bidi w:val="0"/>
        <w:spacing w:line="400" w:lineRule="exact"/>
        <w:jc w:val="center"/>
        <w:rPr>
          <w:rFonts w:hint="eastAsia" w:ascii="宋体" w:hAnsi="宋体" w:eastAsia="宋体" w:cs="宋体"/>
          <w:b w:val="0"/>
          <w:sz w:val="24"/>
          <w:szCs w:val="24"/>
        </w:rPr>
      </w:pPr>
      <w:r>
        <w:rPr>
          <w:rFonts w:hint="eastAsia" w:ascii="宋体" w:hAnsi="宋体" w:eastAsia="宋体" w:cs="宋体"/>
          <w:sz w:val="24"/>
          <w:szCs w:val="24"/>
        </w:rPr>
        <w:t>六、投标报价总表</w:t>
      </w:r>
    </w:p>
    <w:p>
      <w:pPr>
        <w:pageBreakBefore w:val="0"/>
        <w:kinsoku/>
        <w:wordWrap/>
        <w:overflowPunct/>
        <w:topLinePunct w:val="0"/>
        <w:bidi w:val="0"/>
        <w:spacing w:line="400" w:lineRule="exact"/>
        <w:jc w:val="center"/>
        <w:rPr>
          <w:rFonts w:hint="eastAsia" w:ascii="宋体" w:hAnsi="宋体" w:eastAsia="宋体" w:cs="宋体"/>
          <w:b/>
          <w:sz w:val="24"/>
          <w:szCs w:val="24"/>
        </w:rPr>
      </w:pPr>
    </w:p>
    <w:tbl>
      <w:tblPr>
        <w:tblStyle w:val="1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vMerge w:val="restart"/>
            <w:vAlign w:val="center"/>
          </w:tcPr>
          <w:p>
            <w:pPr>
              <w:pageBreakBefore w:val="0"/>
              <w:kinsoku/>
              <w:wordWrap/>
              <w:overflowPunct/>
              <w:topLinePunct w:val="0"/>
              <w:bidi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投标报价总计</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%专用增值税税率</w:t>
            </w:r>
          </w:p>
        </w:tc>
        <w:tc>
          <w:tcPr>
            <w:tcW w:w="7087" w:type="dxa"/>
            <w:vAlign w:val="center"/>
          </w:tcPr>
          <w:p>
            <w:pPr>
              <w:pageBreakBefore w:val="0"/>
              <w:kinsoku/>
              <w:wordWrap/>
              <w:overflowPunct/>
              <w:topLinePunct w:val="0"/>
              <w:bidi w:val="0"/>
              <w:spacing w:line="400" w:lineRule="exact"/>
              <w:rPr>
                <w:rFonts w:hint="eastAsia" w:ascii="宋体" w:hAnsi="宋体" w:eastAsia="宋体" w:cs="宋体"/>
                <w:b/>
                <w:bCs/>
                <w:sz w:val="24"/>
                <w:szCs w:val="24"/>
                <w:u w:val="single"/>
              </w:rPr>
            </w:pPr>
            <w:r>
              <w:rPr>
                <w:rFonts w:hint="eastAsia" w:ascii="宋体" w:hAnsi="宋体" w:eastAsia="宋体" w:cs="宋体"/>
                <w:b/>
                <w:bCs/>
                <w:sz w:val="24"/>
                <w:szCs w:val="24"/>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vMerge w:val="continue"/>
            <w:vAlign w:val="center"/>
          </w:tcPr>
          <w:p>
            <w:pPr>
              <w:pageBreakBefore w:val="0"/>
              <w:kinsoku/>
              <w:wordWrap/>
              <w:overflowPunct/>
              <w:topLinePunct w:val="0"/>
              <w:bidi w:val="0"/>
              <w:spacing w:line="400" w:lineRule="exact"/>
              <w:rPr>
                <w:rFonts w:hint="eastAsia" w:ascii="宋体" w:hAnsi="宋体" w:eastAsia="宋体" w:cs="宋体"/>
                <w:b/>
                <w:bCs/>
                <w:sz w:val="24"/>
                <w:szCs w:val="24"/>
              </w:rPr>
            </w:pPr>
          </w:p>
        </w:tc>
        <w:tc>
          <w:tcPr>
            <w:tcW w:w="7087" w:type="dxa"/>
            <w:vAlign w:val="center"/>
          </w:tcPr>
          <w:p>
            <w:pPr>
              <w:pageBreakBefore w:val="0"/>
              <w:kinsoku/>
              <w:wordWrap/>
              <w:overflowPunct/>
              <w:topLinePunct w:val="0"/>
              <w:bidi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（小写）￥：</w:t>
            </w:r>
          </w:p>
        </w:tc>
      </w:tr>
    </w:tbl>
    <w:p>
      <w:pPr>
        <w:pageBreakBefore w:val="0"/>
        <w:kinsoku/>
        <w:wordWrap/>
        <w:overflowPunct/>
        <w:topLinePunct w:val="0"/>
        <w:bidi w:val="0"/>
        <w:spacing w:line="480" w:lineRule="auto"/>
        <w:rPr>
          <w:rFonts w:hint="eastAsia" w:ascii="宋体" w:hAnsi="宋体" w:eastAsia="宋体" w:cs="宋体"/>
          <w:sz w:val="24"/>
          <w:szCs w:val="24"/>
        </w:rPr>
      </w:pP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法定代表人或被授权人（签字）：</w:t>
      </w: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参加投标供应商（盖章）：</w:t>
      </w: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日期：</w:t>
      </w:r>
    </w:p>
    <w:p>
      <w:pPr>
        <w:pageBreakBefore w:val="0"/>
        <w:kinsoku/>
        <w:wordWrap/>
        <w:overflowPunct/>
        <w:topLinePunct w:val="0"/>
        <w:bidi w:val="0"/>
        <w:spacing w:line="480" w:lineRule="auto"/>
        <w:rPr>
          <w:rFonts w:hint="eastAsia" w:ascii="宋体" w:hAnsi="宋体" w:eastAsia="宋体" w:cs="宋体"/>
          <w:b/>
          <w:sz w:val="24"/>
          <w:szCs w:val="24"/>
        </w:rPr>
      </w:pPr>
      <w:r>
        <w:rPr>
          <w:rFonts w:hint="eastAsia" w:ascii="宋体" w:hAnsi="宋体" w:eastAsia="宋体" w:cs="宋体"/>
          <w:b/>
          <w:sz w:val="24"/>
          <w:szCs w:val="24"/>
        </w:rPr>
        <w:t>特别说明：</w:t>
      </w: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1、上述表格格式不得自行修改，根据实际内容填写。</w:t>
      </w:r>
    </w:p>
    <w:p>
      <w:pPr>
        <w:pageBreakBefore w:val="0"/>
        <w:kinsoku/>
        <w:wordWrap/>
        <w:overflowPunct/>
        <w:topLinePunct w:val="0"/>
        <w:bidi w:val="0"/>
        <w:spacing w:line="480" w:lineRule="auto"/>
        <w:rPr>
          <w:rFonts w:hint="eastAsia" w:ascii="宋体" w:hAnsi="宋体" w:eastAsia="宋体" w:cs="宋体"/>
          <w:sz w:val="24"/>
          <w:szCs w:val="24"/>
        </w:rPr>
      </w:pPr>
      <w:r>
        <w:rPr>
          <w:rFonts w:hint="eastAsia" w:ascii="宋体" w:hAnsi="宋体" w:eastAsia="宋体" w:cs="宋体"/>
          <w:sz w:val="24"/>
          <w:szCs w:val="24"/>
        </w:rPr>
        <w:t>2、供应商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bookmarkEnd w:id="12"/>
    <w:p>
      <w:pPr>
        <w:pageBreakBefore w:val="0"/>
        <w:kinsoku/>
        <w:wordWrap/>
        <w:overflowPunct/>
        <w:topLinePunct w:val="0"/>
        <w:bidi w:val="0"/>
        <w:spacing w:beforeLines="50" w:afterLines="50" w:line="480" w:lineRule="auto"/>
        <w:rPr>
          <w:rFonts w:hint="eastAsia" w:ascii="宋体" w:hAnsi="宋体" w:eastAsia="宋体" w:cs="宋体"/>
          <w:sz w:val="24"/>
          <w:szCs w:val="24"/>
        </w:rPr>
      </w:pPr>
    </w:p>
    <w:sectPr>
      <w:footerReference r:id="rId6" w:type="default"/>
      <w:pgSz w:w="11906" w:h="16838"/>
      <w:pgMar w:top="1418" w:right="1134" w:bottom="1418" w:left="141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p>
    <w:pPr>
      <w:pStyle w:val="12"/>
      <w:jc w:val="center"/>
      <w:rPr>
        <w:rFonts w:asci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9AE46"/>
    <w:multiLevelType w:val="singleLevel"/>
    <w:tmpl w:val="F669AE46"/>
    <w:lvl w:ilvl="0" w:tentative="0">
      <w:start w:val="5"/>
      <w:numFmt w:val="chineseCounting"/>
      <w:suff w:val="nothing"/>
      <w:lvlText w:val="%1、"/>
      <w:lvlJc w:val="left"/>
      <w:rPr>
        <w:rFonts w:hint="eastAsia"/>
      </w:rPr>
    </w:lvl>
  </w:abstractNum>
  <w:abstractNum w:abstractNumId="1">
    <w:nsid w:val="135E3747"/>
    <w:multiLevelType w:val="multilevel"/>
    <w:tmpl w:val="135E37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kMjJiMGYzMzE5M2M1YTUxZTBhYjY2NzVkZjM0MmYifQ=="/>
  </w:docVars>
  <w:rsids>
    <w:rsidRoot w:val="00F0780E"/>
    <w:rsid w:val="00003B0B"/>
    <w:rsid w:val="0001347B"/>
    <w:rsid w:val="00013CE2"/>
    <w:rsid w:val="000255B7"/>
    <w:rsid w:val="00040F96"/>
    <w:rsid w:val="0004158E"/>
    <w:rsid w:val="00053D96"/>
    <w:rsid w:val="00092E9B"/>
    <w:rsid w:val="000969A2"/>
    <w:rsid w:val="000A59FC"/>
    <w:rsid w:val="000B3C63"/>
    <w:rsid w:val="000C21AE"/>
    <w:rsid w:val="000D2EC9"/>
    <w:rsid w:val="000D669E"/>
    <w:rsid w:val="000D7DC1"/>
    <w:rsid w:val="000F2052"/>
    <w:rsid w:val="000F2EA0"/>
    <w:rsid w:val="00101289"/>
    <w:rsid w:val="001246D5"/>
    <w:rsid w:val="0012786D"/>
    <w:rsid w:val="00135F55"/>
    <w:rsid w:val="00137B18"/>
    <w:rsid w:val="00143B3C"/>
    <w:rsid w:val="00150D65"/>
    <w:rsid w:val="00156822"/>
    <w:rsid w:val="00156F0D"/>
    <w:rsid w:val="00174BF2"/>
    <w:rsid w:val="00180C78"/>
    <w:rsid w:val="00184205"/>
    <w:rsid w:val="00190C1B"/>
    <w:rsid w:val="001C129C"/>
    <w:rsid w:val="001C3706"/>
    <w:rsid w:val="001E5472"/>
    <w:rsid w:val="001F55DF"/>
    <w:rsid w:val="001F5CC7"/>
    <w:rsid w:val="001F74FE"/>
    <w:rsid w:val="00204E1F"/>
    <w:rsid w:val="002166D9"/>
    <w:rsid w:val="00217952"/>
    <w:rsid w:val="002217ED"/>
    <w:rsid w:val="00223E53"/>
    <w:rsid w:val="00225561"/>
    <w:rsid w:val="002278D7"/>
    <w:rsid w:val="0023160F"/>
    <w:rsid w:val="00231D22"/>
    <w:rsid w:val="00235C32"/>
    <w:rsid w:val="00257C8A"/>
    <w:rsid w:val="00260248"/>
    <w:rsid w:val="00261FC4"/>
    <w:rsid w:val="0026582B"/>
    <w:rsid w:val="0027053D"/>
    <w:rsid w:val="00275158"/>
    <w:rsid w:val="00283B90"/>
    <w:rsid w:val="002A7059"/>
    <w:rsid w:val="002B7B16"/>
    <w:rsid w:val="002C3A61"/>
    <w:rsid w:val="002C484C"/>
    <w:rsid w:val="002D3C87"/>
    <w:rsid w:val="002E0306"/>
    <w:rsid w:val="002E2738"/>
    <w:rsid w:val="002E65E7"/>
    <w:rsid w:val="002E7B9F"/>
    <w:rsid w:val="002F6586"/>
    <w:rsid w:val="003063F3"/>
    <w:rsid w:val="00317880"/>
    <w:rsid w:val="0034197F"/>
    <w:rsid w:val="00345A86"/>
    <w:rsid w:val="0034785C"/>
    <w:rsid w:val="0035274D"/>
    <w:rsid w:val="003612B5"/>
    <w:rsid w:val="00361811"/>
    <w:rsid w:val="00366F82"/>
    <w:rsid w:val="00371B0E"/>
    <w:rsid w:val="00372046"/>
    <w:rsid w:val="00380107"/>
    <w:rsid w:val="00383DEA"/>
    <w:rsid w:val="00393B73"/>
    <w:rsid w:val="00394F49"/>
    <w:rsid w:val="003B1175"/>
    <w:rsid w:val="003C2A22"/>
    <w:rsid w:val="003D79F5"/>
    <w:rsid w:val="003E6266"/>
    <w:rsid w:val="003F38BF"/>
    <w:rsid w:val="003F4AB5"/>
    <w:rsid w:val="00406F22"/>
    <w:rsid w:val="00444C59"/>
    <w:rsid w:val="00457ED7"/>
    <w:rsid w:val="00465646"/>
    <w:rsid w:val="004670C7"/>
    <w:rsid w:val="004672F8"/>
    <w:rsid w:val="00472BC7"/>
    <w:rsid w:val="00485BDD"/>
    <w:rsid w:val="004C37BB"/>
    <w:rsid w:val="004C4077"/>
    <w:rsid w:val="004C7A76"/>
    <w:rsid w:val="004D231E"/>
    <w:rsid w:val="004E4900"/>
    <w:rsid w:val="004E60A3"/>
    <w:rsid w:val="004E77EB"/>
    <w:rsid w:val="004F1653"/>
    <w:rsid w:val="004F5E1F"/>
    <w:rsid w:val="00516C89"/>
    <w:rsid w:val="00520011"/>
    <w:rsid w:val="005202DB"/>
    <w:rsid w:val="00542BD4"/>
    <w:rsid w:val="005438AB"/>
    <w:rsid w:val="00544C6C"/>
    <w:rsid w:val="00553040"/>
    <w:rsid w:val="00564215"/>
    <w:rsid w:val="00574C55"/>
    <w:rsid w:val="00575553"/>
    <w:rsid w:val="005760D4"/>
    <w:rsid w:val="00576B55"/>
    <w:rsid w:val="0058450F"/>
    <w:rsid w:val="0059267B"/>
    <w:rsid w:val="005A0EED"/>
    <w:rsid w:val="005A3382"/>
    <w:rsid w:val="005B4E54"/>
    <w:rsid w:val="005D3F9F"/>
    <w:rsid w:val="005D63B9"/>
    <w:rsid w:val="005E06FF"/>
    <w:rsid w:val="005F106A"/>
    <w:rsid w:val="005F32C8"/>
    <w:rsid w:val="005F3F70"/>
    <w:rsid w:val="005F6143"/>
    <w:rsid w:val="00600754"/>
    <w:rsid w:val="00600BEB"/>
    <w:rsid w:val="00610528"/>
    <w:rsid w:val="00611887"/>
    <w:rsid w:val="00621DEB"/>
    <w:rsid w:val="0062356C"/>
    <w:rsid w:val="00623E27"/>
    <w:rsid w:val="0063072C"/>
    <w:rsid w:val="00645E14"/>
    <w:rsid w:val="00647ADA"/>
    <w:rsid w:val="00647E00"/>
    <w:rsid w:val="00647F0B"/>
    <w:rsid w:val="00656F65"/>
    <w:rsid w:val="00661FA7"/>
    <w:rsid w:val="00696E5B"/>
    <w:rsid w:val="006A5424"/>
    <w:rsid w:val="006B08B2"/>
    <w:rsid w:val="006B1C24"/>
    <w:rsid w:val="006B4DBA"/>
    <w:rsid w:val="006E0F95"/>
    <w:rsid w:val="006E4241"/>
    <w:rsid w:val="006F3C22"/>
    <w:rsid w:val="00702DB9"/>
    <w:rsid w:val="00703929"/>
    <w:rsid w:val="00710FCD"/>
    <w:rsid w:val="0073101D"/>
    <w:rsid w:val="007516AF"/>
    <w:rsid w:val="00754236"/>
    <w:rsid w:val="0075453B"/>
    <w:rsid w:val="007618D0"/>
    <w:rsid w:val="00762781"/>
    <w:rsid w:val="007647E5"/>
    <w:rsid w:val="00767236"/>
    <w:rsid w:val="00792449"/>
    <w:rsid w:val="00794219"/>
    <w:rsid w:val="0079765C"/>
    <w:rsid w:val="007A1A16"/>
    <w:rsid w:val="007B3EBC"/>
    <w:rsid w:val="007B4088"/>
    <w:rsid w:val="007B7533"/>
    <w:rsid w:val="007C3704"/>
    <w:rsid w:val="007D4D85"/>
    <w:rsid w:val="007E06C8"/>
    <w:rsid w:val="007E1998"/>
    <w:rsid w:val="007E41D4"/>
    <w:rsid w:val="007F0B15"/>
    <w:rsid w:val="0080455E"/>
    <w:rsid w:val="00807C1D"/>
    <w:rsid w:val="00813851"/>
    <w:rsid w:val="00833D93"/>
    <w:rsid w:val="00842099"/>
    <w:rsid w:val="008503D1"/>
    <w:rsid w:val="00851E2E"/>
    <w:rsid w:val="008539BE"/>
    <w:rsid w:val="00854006"/>
    <w:rsid w:val="00857740"/>
    <w:rsid w:val="00865564"/>
    <w:rsid w:val="00867160"/>
    <w:rsid w:val="0087235B"/>
    <w:rsid w:val="008729FD"/>
    <w:rsid w:val="0088612A"/>
    <w:rsid w:val="008922E0"/>
    <w:rsid w:val="008953F6"/>
    <w:rsid w:val="00895CAB"/>
    <w:rsid w:val="008A4399"/>
    <w:rsid w:val="008D0CEE"/>
    <w:rsid w:val="008D46ED"/>
    <w:rsid w:val="008D474B"/>
    <w:rsid w:val="008D4816"/>
    <w:rsid w:val="008D68F4"/>
    <w:rsid w:val="008E065F"/>
    <w:rsid w:val="008E576C"/>
    <w:rsid w:val="008F6F42"/>
    <w:rsid w:val="008F74D4"/>
    <w:rsid w:val="009002AD"/>
    <w:rsid w:val="009225B5"/>
    <w:rsid w:val="0092658E"/>
    <w:rsid w:val="00944C68"/>
    <w:rsid w:val="009508A9"/>
    <w:rsid w:val="009A3E35"/>
    <w:rsid w:val="009A780A"/>
    <w:rsid w:val="009B0A82"/>
    <w:rsid w:val="009B2882"/>
    <w:rsid w:val="009C457F"/>
    <w:rsid w:val="00A02E78"/>
    <w:rsid w:val="00A05DF7"/>
    <w:rsid w:val="00A17956"/>
    <w:rsid w:val="00A17A6F"/>
    <w:rsid w:val="00A23F3B"/>
    <w:rsid w:val="00A4620B"/>
    <w:rsid w:val="00A520B4"/>
    <w:rsid w:val="00A53496"/>
    <w:rsid w:val="00A559D7"/>
    <w:rsid w:val="00A56DA8"/>
    <w:rsid w:val="00A575EE"/>
    <w:rsid w:val="00A65E6B"/>
    <w:rsid w:val="00A81EB3"/>
    <w:rsid w:val="00A82236"/>
    <w:rsid w:val="00A86B34"/>
    <w:rsid w:val="00A87EA1"/>
    <w:rsid w:val="00A946FD"/>
    <w:rsid w:val="00AC6309"/>
    <w:rsid w:val="00AD6888"/>
    <w:rsid w:val="00AE2032"/>
    <w:rsid w:val="00AE21FF"/>
    <w:rsid w:val="00AE5DAF"/>
    <w:rsid w:val="00B0347E"/>
    <w:rsid w:val="00B1562A"/>
    <w:rsid w:val="00B21B1A"/>
    <w:rsid w:val="00B248F1"/>
    <w:rsid w:val="00B254B5"/>
    <w:rsid w:val="00B27F6A"/>
    <w:rsid w:val="00B46A18"/>
    <w:rsid w:val="00B61D36"/>
    <w:rsid w:val="00B66F4E"/>
    <w:rsid w:val="00B75A3D"/>
    <w:rsid w:val="00B83207"/>
    <w:rsid w:val="00B84CEA"/>
    <w:rsid w:val="00B86750"/>
    <w:rsid w:val="00BB07AB"/>
    <w:rsid w:val="00BB2E76"/>
    <w:rsid w:val="00BC341E"/>
    <w:rsid w:val="00BC3BE2"/>
    <w:rsid w:val="00BD52C9"/>
    <w:rsid w:val="00BF17C3"/>
    <w:rsid w:val="00BF3EC0"/>
    <w:rsid w:val="00C02D6E"/>
    <w:rsid w:val="00C22FDD"/>
    <w:rsid w:val="00C267F6"/>
    <w:rsid w:val="00C270AA"/>
    <w:rsid w:val="00C31C8A"/>
    <w:rsid w:val="00C32319"/>
    <w:rsid w:val="00C5413F"/>
    <w:rsid w:val="00C6372E"/>
    <w:rsid w:val="00C672CE"/>
    <w:rsid w:val="00C73AF9"/>
    <w:rsid w:val="00C74D22"/>
    <w:rsid w:val="00C80D0E"/>
    <w:rsid w:val="00C95786"/>
    <w:rsid w:val="00CA4447"/>
    <w:rsid w:val="00CA47E8"/>
    <w:rsid w:val="00CB6B9B"/>
    <w:rsid w:val="00CB6F9A"/>
    <w:rsid w:val="00CB7958"/>
    <w:rsid w:val="00CC3140"/>
    <w:rsid w:val="00CC459D"/>
    <w:rsid w:val="00CD2965"/>
    <w:rsid w:val="00CE5B63"/>
    <w:rsid w:val="00CE6909"/>
    <w:rsid w:val="00CF3F15"/>
    <w:rsid w:val="00D01C88"/>
    <w:rsid w:val="00D03FA3"/>
    <w:rsid w:val="00D14C0C"/>
    <w:rsid w:val="00D22CC1"/>
    <w:rsid w:val="00D23FC5"/>
    <w:rsid w:val="00D57A06"/>
    <w:rsid w:val="00D75FBD"/>
    <w:rsid w:val="00D7683B"/>
    <w:rsid w:val="00DB1FEE"/>
    <w:rsid w:val="00DB2BF2"/>
    <w:rsid w:val="00DB448E"/>
    <w:rsid w:val="00DB62B0"/>
    <w:rsid w:val="00DC17E1"/>
    <w:rsid w:val="00DC4C02"/>
    <w:rsid w:val="00DC6ACE"/>
    <w:rsid w:val="00DD0E11"/>
    <w:rsid w:val="00DE0422"/>
    <w:rsid w:val="00DE3F24"/>
    <w:rsid w:val="00DE5C8C"/>
    <w:rsid w:val="00DF08A2"/>
    <w:rsid w:val="00DF2C75"/>
    <w:rsid w:val="00DF755D"/>
    <w:rsid w:val="00E04BD4"/>
    <w:rsid w:val="00E17134"/>
    <w:rsid w:val="00E43399"/>
    <w:rsid w:val="00E502FE"/>
    <w:rsid w:val="00E55157"/>
    <w:rsid w:val="00E56BF8"/>
    <w:rsid w:val="00E62945"/>
    <w:rsid w:val="00E965C9"/>
    <w:rsid w:val="00EA303E"/>
    <w:rsid w:val="00EA69B8"/>
    <w:rsid w:val="00EB0F7D"/>
    <w:rsid w:val="00EB4453"/>
    <w:rsid w:val="00ED417E"/>
    <w:rsid w:val="00EE6E21"/>
    <w:rsid w:val="00EF08E6"/>
    <w:rsid w:val="00EF539C"/>
    <w:rsid w:val="00EF7551"/>
    <w:rsid w:val="00F0780E"/>
    <w:rsid w:val="00F16C9A"/>
    <w:rsid w:val="00F20F7E"/>
    <w:rsid w:val="00F3334F"/>
    <w:rsid w:val="00F3356D"/>
    <w:rsid w:val="00F33B0E"/>
    <w:rsid w:val="00F3469A"/>
    <w:rsid w:val="00F441D6"/>
    <w:rsid w:val="00F52389"/>
    <w:rsid w:val="00F55BEB"/>
    <w:rsid w:val="00F56207"/>
    <w:rsid w:val="00F57C81"/>
    <w:rsid w:val="00F6280E"/>
    <w:rsid w:val="00F6752B"/>
    <w:rsid w:val="00F7096D"/>
    <w:rsid w:val="00F81312"/>
    <w:rsid w:val="00F8244E"/>
    <w:rsid w:val="00F87A04"/>
    <w:rsid w:val="00FA512B"/>
    <w:rsid w:val="00FB0214"/>
    <w:rsid w:val="00FB5B49"/>
    <w:rsid w:val="00FD6319"/>
    <w:rsid w:val="00FE47CA"/>
    <w:rsid w:val="00FE6A5C"/>
    <w:rsid w:val="00FE6BE4"/>
    <w:rsid w:val="00FF60A4"/>
    <w:rsid w:val="01E4185B"/>
    <w:rsid w:val="05FD688A"/>
    <w:rsid w:val="078C7974"/>
    <w:rsid w:val="095834D3"/>
    <w:rsid w:val="09B36F96"/>
    <w:rsid w:val="0D261C8E"/>
    <w:rsid w:val="0EE41612"/>
    <w:rsid w:val="126D648D"/>
    <w:rsid w:val="13A520F1"/>
    <w:rsid w:val="13FA0F31"/>
    <w:rsid w:val="14395DBF"/>
    <w:rsid w:val="15A4195B"/>
    <w:rsid w:val="163F0FA6"/>
    <w:rsid w:val="17CEDD32"/>
    <w:rsid w:val="1B051104"/>
    <w:rsid w:val="20F32A48"/>
    <w:rsid w:val="22032980"/>
    <w:rsid w:val="228F7BEB"/>
    <w:rsid w:val="2A7D3AEC"/>
    <w:rsid w:val="2C7360C4"/>
    <w:rsid w:val="2ED23278"/>
    <w:rsid w:val="2FFB560D"/>
    <w:rsid w:val="300601A2"/>
    <w:rsid w:val="33743B62"/>
    <w:rsid w:val="34E331FA"/>
    <w:rsid w:val="35A6157F"/>
    <w:rsid w:val="39796A43"/>
    <w:rsid w:val="39956632"/>
    <w:rsid w:val="44FC7F3F"/>
    <w:rsid w:val="48AB2C3D"/>
    <w:rsid w:val="4922180E"/>
    <w:rsid w:val="4D5F0464"/>
    <w:rsid w:val="4F9C3DCC"/>
    <w:rsid w:val="50EA09FA"/>
    <w:rsid w:val="55EF1B95"/>
    <w:rsid w:val="56F744A4"/>
    <w:rsid w:val="57295295"/>
    <w:rsid w:val="5D082352"/>
    <w:rsid w:val="61BF0BAE"/>
    <w:rsid w:val="6279149E"/>
    <w:rsid w:val="6A0B4BC4"/>
    <w:rsid w:val="6AF61F16"/>
    <w:rsid w:val="6B340F05"/>
    <w:rsid w:val="6CF92406"/>
    <w:rsid w:val="6D3300AE"/>
    <w:rsid w:val="70EE7DA8"/>
    <w:rsid w:val="71B7790F"/>
    <w:rsid w:val="7347064A"/>
    <w:rsid w:val="74E9656F"/>
    <w:rsid w:val="782D11B6"/>
    <w:rsid w:val="7B0A0CD9"/>
    <w:rsid w:val="7E434DA8"/>
    <w:rsid w:val="7FDBADA9"/>
    <w:rsid w:val="AFBFFD2D"/>
    <w:rsid w:val="BAF74F6D"/>
    <w:rsid w:val="DDBC71BF"/>
    <w:rsid w:val="EA7E91D3"/>
    <w:rsid w:val="F5C7932B"/>
    <w:rsid w:val="FC3EE50D"/>
    <w:rsid w:val="FD7165BA"/>
    <w:rsid w:val="FDBFCA10"/>
    <w:rsid w:val="FDF74369"/>
    <w:rsid w:val="FEFF4E61"/>
    <w:rsid w:val="FF9EFEAB"/>
    <w:rsid w:val="FFFFDF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46"/>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qFormat/>
    <w:uiPriority w:val="99"/>
    <w:pPr>
      <w:ind w:firstLine="420" w:firstLineChars="200"/>
    </w:pPr>
    <w:rPr>
      <w:sz w:val="32"/>
      <w:szCs w:val="24"/>
    </w:rPr>
  </w:style>
  <w:style w:type="paragraph" w:styleId="3">
    <w:name w:val="Body Text Indent"/>
    <w:basedOn w:val="1"/>
    <w:next w:val="4"/>
    <w:link w:val="41"/>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7">
    <w:name w:val="Normal Indent"/>
    <w:basedOn w:val="1"/>
    <w:qFormat/>
    <w:uiPriority w:val="0"/>
    <w:pPr>
      <w:ind w:firstLine="420"/>
    </w:pPr>
    <w:rPr>
      <w:rFonts w:ascii="Times New Roman" w:hAnsi="Times New Roman"/>
      <w:kern w:val="0"/>
      <w:sz w:val="20"/>
      <w:szCs w:val="20"/>
    </w:rPr>
  </w:style>
  <w:style w:type="paragraph" w:styleId="8">
    <w:name w:val="Document Map"/>
    <w:basedOn w:val="1"/>
    <w:link w:val="37"/>
    <w:semiHidden/>
    <w:qFormat/>
    <w:uiPriority w:val="99"/>
    <w:pPr>
      <w:shd w:val="clear" w:color="auto" w:fill="000080"/>
    </w:pPr>
  </w:style>
  <w:style w:type="paragraph" w:styleId="9">
    <w:name w:val="Body Text"/>
    <w:basedOn w:val="1"/>
    <w:link w:val="47"/>
    <w:semiHidden/>
    <w:unhideWhenUsed/>
    <w:uiPriority w:val="99"/>
    <w:pPr>
      <w:spacing w:after="120"/>
    </w:pPr>
  </w:style>
  <w:style w:type="paragraph" w:styleId="10">
    <w:name w:val="Plain Text"/>
    <w:basedOn w:val="1"/>
    <w:qFormat/>
    <w:uiPriority w:val="0"/>
    <w:rPr>
      <w:rFonts w:ascii="宋体" w:hAnsi="Courier New"/>
      <w:kern w:val="0"/>
      <w:sz w:val="20"/>
      <w:szCs w:val="20"/>
    </w:rPr>
  </w:style>
  <w:style w:type="paragraph" w:styleId="11">
    <w:name w:val="Balloon Text"/>
    <w:basedOn w:val="1"/>
    <w:link w:val="34"/>
    <w:semiHidden/>
    <w:qFormat/>
    <w:uiPriority w:val="99"/>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HTML Preformatted"/>
    <w:basedOn w:val="1"/>
    <w:unhideWhenUsed/>
    <w:qFormat/>
    <w:uiPriority w:val="0"/>
    <w:pPr>
      <w:adjustRightInd w:val="0"/>
      <w:spacing w:line="360" w:lineRule="atLeast"/>
      <w:textAlignment w:val="baseline"/>
    </w:pPr>
    <w:rPr>
      <w:rFonts w:ascii="Courier New" w:hAnsi="Courier New"/>
      <w:kern w:val="0"/>
      <w:sz w:val="20"/>
      <w:szCs w:val="20"/>
    </w:rPr>
  </w:style>
  <w:style w:type="paragraph" w:styleId="16">
    <w:name w:val="Title"/>
    <w:basedOn w:val="1"/>
    <w:next w:val="1"/>
    <w:link w:val="44"/>
    <w:qFormat/>
    <w:locked/>
    <w:uiPriority w:val="0"/>
    <w:pPr>
      <w:spacing w:before="240" w:after="60"/>
      <w:jc w:val="center"/>
      <w:outlineLvl w:val="0"/>
    </w:pPr>
    <w:rPr>
      <w:rFonts w:asciiTheme="majorHAnsi" w:hAnsiTheme="majorHAnsi" w:cstheme="majorBidi"/>
      <w:b/>
      <w:bCs/>
      <w:sz w:val="32"/>
      <w:szCs w:val="32"/>
    </w:rPr>
  </w:style>
  <w:style w:type="table" w:styleId="18">
    <w:name w:val="Table Grid"/>
    <w:basedOn w:val="17"/>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none"/>
    </w:rPr>
  </w:style>
  <w:style w:type="character" w:styleId="21">
    <w:name w:val="HTML Definition"/>
    <w:basedOn w:val="19"/>
    <w:semiHidden/>
    <w:unhideWhenUsed/>
    <w:qFormat/>
    <w:uiPriority w:val="99"/>
  </w:style>
  <w:style w:type="character" w:styleId="22">
    <w:name w:val="HTML Typewriter"/>
    <w:basedOn w:val="19"/>
    <w:semiHidden/>
    <w:unhideWhenUsed/>
    <w:qFormat/>
    <w:uiPriority w:val="99"/>
    <w:rPr>
      <w:rFonts w:hint="default" w:ascii="monospace" w:hAnsi="monospace" w:eastAsia="monospace" w:cs="monospace"/>
      <w:sz w:val="20"/>
    </w:rPr>
  </w:style>
  <w:style w:type="character" w:styleId="23">
    <w:name w:val="HTML Acronym"/>
    <w:basedOn w:val="19"/>
    <w:semiHidden/>
    <w:unhideWhenUsed/>
    <w:qFormat/>
    <w:uiPriority w:val="99"/>
  </w:style>
  <w:style w:type="character" w:styleId="24">
    <w:name w:val="HTML Variable"/>
    <w:basedOn w:val="19"/>
    <w:semiHidden/>
    <w:unhideWhenUsed/>
    <w:qFormat/>
    <w:uiPriority w:val="99"/>
  </w:style>
  <w:style w:type="character" w:styleId="25">
    <w:name w:val="Hyperlink"/>
    <w:basedOn w:val="19"/>
    <w:qFormat/>
    <w:uiPriority w:val="99"/>
    <w:rPr>
      <w:rFonts w:cs="Times New Roman"/>
      <w:color w:val="0000FF"/>
      <w:u w:val="single"/>
    </w:rPr>
  </w:style>
  <w:style w:type="character" w:styleId="26">
    <w:name w:val="HTML Code"/>
    <w:basedOn w:val="19"/>
    <w:semiHidden/>
    <w:unhideWhenUsed/>
    <w:uiPriority w:val="99"/>
    <w:rPr>
      <w:rFonts w:hint="default" w:ascii="monospace" w:hAnsi="monospace" w:eastAsia="monospace" w:cs="monospace"/>
      <w:sz w:val="20"/>
    </w:rPr>
  </w:style>
  <w:style w:type="character" w:styleId="27">
    <w:name w:val="HTML Cite"/>
    <w:basedOn w:val="19"/>
    <w:semiHidden/>
    <w:unhideWhenUsed/>
    <w:qFormat/>
    <w:uiPriority w:val="99"/>
  </w:style>
  <w:style w:type="character" w:styleId="28">
    <w:name w:val="HTML Keyboard"/>
    <w:basedOn w:val="19"/>
    <w:semiHidden/>
    <w:unhideWhenUsed/>
    <w:qFormat/>
    <w:uiPriority w:val="99"/>
    <w:rPr>
      <w:rFonts w:hint="default" w:ascii="monospace" w:hAnsi="monospace" w:eastAsia="monospace" w:cs="monospace"/>
      <w:sz w:val="20"/>
    </w:rPr>
  </w:style>
  <w:style w:type="character" w:styleId="29">
    <w:name w:val="HTML Sample"/>
    <w:basedOn w:val="19"/>
    <w:semiHidden/>
    <w:unhideWhenUsed/>
    <w:qFormat/>
    <w:uiPriority w:val="99"/>
    <w:rPr>
      <w:rFonts w:ascii="monospace" w:hAnsi="monospace" w:eastAsia="monospace" w:cs="monospace"/>
    </w:rPr>
  </w:style>
  <w:style w:type="paragraph" w:customStyle="1" w:styleId="30">
    <w:name w:val="正文1"/>
    <w:basedOn w:val="1"/>
    <w:qFormat/>
    <w:uiPriority w:val="0"/>
    <w:pPr>
      <w:spacing w:line="360" w:lineRule="auto"/>
      <w:ind w:firstLine="361"/>
    </w:pPr>
    <w:rPr>
      <w:rFonts w:ascii="宋体" w:hAnsi="宋体"/>
      <w:szCs w:val="24"/>
    </w:rPr>
  </w:style>
  <w:style w:type="character" w:customStyle="1" w:styleId="31">
    <w:name w:val="标题 1 Char"/>
    <w:basedOn w:val="19"/>
    <w:link w:val="5"/>
    <w:qFormat/>
    <w:locked/>
    <w:uiPriority w:val="0"/>
    <w:rPr>
      <w:rFonts w:cs="Times New Roman"/>
      <w:b/>
      <w:bCs/>
      <w:kern w:val="44"/>
      <w:sz w:val="44"/>
      <w:szCs w:val="44"/>
    </w:rPr>
  </w:style>
  <w:style w:type="paragraph" w:customStyle="1" w:styleId="32">
    <w:name w:val="列出段落1"/>
    <w:basedOn w:val="1"/>
    <w:qFormat/>
    <w:uiPriority w:val="99"/>
    <w:pPr>
      <w:ind w:firstLine="420" w:firstLineChars="200"/>
    </w:pPr>
  </w:style>
  <w:style w:type="paragraph" w:customStyle="1" w:styleId="33">
    <w:name w:val="TOC 标题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4">
    <w:name w:val="批注框文本 Char"/>
    <w:basedOn w:val="19"/>
    <w:link w:val="11"/>
    <w:semiHidden/>
    <w:qFormat/>
    <w:locked/>
    <w:uiPriority w:val="99"/>
    <w:rPr>
      <w:rFonts w:cs="Times New Roman"/>
      <w:sz w:val="18"/>
      <w:szCs w:val="18"/>
    </w:rPr>
  </w:style>
  <w:style w:type="character" w:customStyle="1" w:styleId="35">
    <w:name w:val="页眉 Char"/>
    <w:basedOn w:val="19"/>
    <w:link w:val="13"/>
    <w:qFormat/>
    <w:locked/>
    <w:uiPriority w:val="99"/>
    <w:rPr>
      <w:rFonts w:cs="Times New Roman"/>
      <w:sz w:val="18"/>
      <w:szCs w:val="18"/>
    </w:rPr>
  </w:style>
  <w:style w:type="character" w:customStyle="1" w:styleId="36">
    <w:name w:val="页脚 Char"/>
    <w:basedOn w:val="19"/>
    <w:link w:val="12"/>
    <w:qFormat/>
    <w:locked/>
    <w:uiPriority w:val="99"/>
    <w:rPr>
      <w:rFonts w:cs="Times New Roman"/>
      <w:sz w:val="18"/>
      <w:szCs w:val="18"/>
    </w:rPr>
  </w:style>
  <w:style w:type="character" w:customStyle="1" w:styleId="37">
    <w:name w:val="文档结构图 Char"/>
    <w:basedOn w:val="19"/>
    <w:link w:val="8"/>
    <w:semiHidden/>
    <w:qFormat/>
    <w:locked/>
    <w:uiPriority w:val="99"/>
    <w:rPr>
      <w:rFonts w:ascii="Times New Roman" w:hAnsi="Times New Roman" w:cs="Times New Roman"/>
      <w:sz w:val="2"/>
    </w:rPr>
  </w:style>
  <w:style w:type="paragraph" w:customStyle="1" w:styleId="38">
    <w:name w:val="列出段落11"/>
    <w:basedOn w:val="1"/>
    <w:qFormat/>
    <w:uiPriority w:val="34"/>
    <w:pPr>
      <w:ind w:firstLine="420" w:firstLineChars="200"/>
    </w:pPr>
  </w:style>
  <w:style w:type="paragraph" w:customStyle="1" w:styleId="39">
    <w:name w:val="p0"/>
    <w:basedOn w:val="1"/>
    <w:qFormat/>
    <w:uiPriority w:val="0"/>
    <w:pPr>
      <w:widowControl/>
    </w:pPr>
    <w:rPr>
      <w:szCs w:val="21"/>
    </w:rPr>
  </w:style>
  <w:style w:type="character" w:customStyle="1" w:styleId="40">
    <w:name w:val="样式 小四 加粗"/>
    <w:basedOn w:val="19"/>
    <w:qFormat/>
    <w:uiPriority w:val="0"/>
    <w:rPr>
      <w:rFonts w:eastAsia="黑体"/>
      <w:b/>
      <w:bCs/>
      <w:sz w:val="24"/>
    </w:rPr>
  </w:style>
  <w:style w:type="character" w:customStyle="1" w:styleId="41">
    <w:name w:val="正文文本缩进 Char"/>
    <w:basedOn w:val="19"/>
    <w:link w:val="3"/>
    <w:semiHidden/>
    <w:qFormat/>
    <w:uiPriority w:val="99"/>
    <w:rPr>
      <w:rFonts w:ascii="Calibri" w:hAnsi="Calibri"/>
      <w:kern w:val="2"/>
      <w:sz w:val="21"/>
      <w:szCs w:val="22"/>
    </w:rPr>
  </w:style>
  <w:style w:type="character" w:customStyle="1" w:styleId="42">
    <w:name w:val="正文首行缩进 2 Char"/>
    <w:basedOn w:val="41"/>
    <w:link w:val="2"/>
    <w:qFormat/>
    <w:uiPriority w:val="99"/>
    <w:rPr>
      <w:rFonts w:ascii="Calibri" w:hAnsi="Calibri"/>
      <w:kern w:val="2"/>
      <w:sz w:val="32"/>
      <w:szCs w:val="24"/>
    </w:rPr>
  </w:style>
  <w:style w:type="paragraph" w:customStyle="1" w:styleId="43">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4">
    <w:name w:val="标题 Char"/>
    <w:basedOn w:val="19"/>
    <w:link w:val="16"/>
    <w:qFormat/>
    <w:uiPriority w:val="0"/>
    <w:rPr>
      <w:rFonts w:asciiTheme="majorHAnsi" w:hAnsiTheme="majorHAnsi" w:cstheme="majorBidi"/>
      <w:b/>
      <w:bCs/>
      <w:kern w:val="2"/>
      <w:sz w:val="32"/>
      <w:szCs w:val="32"/>
    </w:rPr>
  </w:style>
  <w:style w:type="paragraph" w:styleId="45">
    <w:name w:val="List Paragraph"/>
    <w:basedOn w:val="1"/>
    <w:qFormat/>
    <w:uiPriority w:val="99"/>
    <w:pPr>
      <w:ind w:firstLine="420" w:firstLineChars="200"/>
    </w:pPr>
  </w:style>
  <w:style w:type="character" w:customStyle="1" w:styleId="46">
    <w:name w:val="标题 2 Char"/>
    <w:basedOn w:val="19"/>
    <w:link w:val="6"/>
    <w:qFormat/>
    <w:uiPriority w:val="9"/>
    <w:rPr>
      <w:rFonts w:asciiTheme="majorHAnsi" w:hAnsiTheme="majorHAnsi" w:eastAsiaTheme="majorEastAsia" w:cstheme="majorBidi"/>
      <w:b/>
      <w:bCs/>
      <w:kern w:val="2"/>
      <w:sz w:val="32"/>
      <w:szCs w:val="32"/>
    </w:rPr>
  </w:style>
  <w:style w:type="character" w:customStyle="1" w:styleId="47">
    <w:name w:val="正文文本 Char"/>
    <w:basedOn w:val="19"/>
    <w:link w:val="9"/>
    <w:semiHidden/>
    <w:qFormat/>
    <w:uiPriority w:val="99"/>
    <w:rPr>
      <w:rFonts w:ascii="Calibri" w:hAnsi="Calibri"/>
      <w:kern w:val="2"/>
      <w:sz w:val="21"/>
      <w:szCs w:val="22"/>
    </w:rPr>
  </w:style>
  <w:style w:type="character" w:customStyle="1" w:styleId="48">
    <w:name w:val="hover"/>
    <w:basedOn w:val="19"/>
    <w:qFormat/>
    <w:uiPriority w:val="0"/>
    <w:rPr>
      <w:color w:val="FFFFFF"/>
    </w:rPr>
  </w:style>
  <w:style w:type="character" w:customStyle="1" w:styleId="49">
    <w:name w:val="hover1"/>
    <w:basedOn w:val="19"/>
    <w:qFormat/>
    <w:uiPriority w:val="0"/>
    <w:rPr>
      <w:color w:val="5FB878"/>
    </w:rPr>
  </w:style>
  <w:style w:type="character" w:customStyle="1" w:styleId="50">
    <w:name w:val="hover2"/>
    <w:basedOn w:val="19"/>
    <w:qFormat/>
    <w:uiPriority w:val="0"/>
    <w:rPr>
      <w:color w:val="5FB878"/>
    </w:rPr>
  </w:style>
  <w:style w:type="character" w:customStyle="1" w:styleId="51">
    <w:name w:val="layui-this"/>
    <w:basedOn w:val="19"/>
    <w:qFormat/>
    <w:uiPriority w:val="0"/>
    <w:rPr>
      <w:bdr w:val="single" w:color="EEEEEE" w:sz="6" w:space="0"/>
      <w:shd w:val="clear" w:fill="FFFFFF"/>
    </w:rPr>
  </w:style>
  <w:style w:type="character" w:customStyle="1" w:styleId="52">
    <w:name w:val="first-child"/>
    <w:basedOn w:val="19"/>
    <w:qFormat/>
    <w:uiPriority w:val="0"/>
  </w:style>
  <w:style w:type="paragraph" w:customStyle="1" w:styleId="53">
    <w:name w:val="正文缩进2格"/>
    <w:basedOn w:val="1"/>
    <w:qFormat/>
    <w:uiPriority w:val="0"/>
    <w:pPr>
      <w:spacing w:line="600" w:lineRule="exact"/>
      <w:ind w:firstLine="639" w:firstLineChars="206"/>
    </w:pPr>
    <w:rPr>
      <w:rFonts w:ascii="仿宋_GB2312" w:hAnsi="宋体"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3F187-D82E-493C-94A7-7D75F72E50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10823</Words>
  <Characters>11029</Characters>
  <Lines>85</Lines>
  <Paragraphs>24</Paragraphs>
  <TotalTime>21</TotalTime>
  <ScaleCrop>false</ScaleCrop>
  <LinksUpToDate>false</LinksUpToDate>
  <CharactersWithSpaces>11347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2021-06-02T01:43:00Z</dcterms:created>
  <dc:creator>15261</dc:creator>
  <cp:lastModifiedBy>ntrb1</cp:lastModifiedBy>
  <cp:lastPrinted>2023-01-11T07:07:34Z</cp:lastPrinted>
  <dcterms:modified xsi:type="dcterms:W3CDTF">2023-01-11T07:12:42Z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43B6573930FC4FA9AFA934F9245FE15D</vt:lpwstr>
  </property>
</Properties>
</file>