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ind w:firstLine="883"/>
        <w:jc w:val="center"/>
        <w:rPr>
          <w:rFonts w:ascii="宋体" w:hAnsi="宋体"/>
          <w:b/>
          <w:color w:val="auto"/>
          <w:spacing w:val="20"/>
          <w:sz w:val="40"/>
          <w:szCs w:val="22"/>
          <w:highlight w:val="none"/>
        </w:rPr>
      </w:pPr>
      <w:bookmarkStart w:id="1" w:name="_GoBack"/>
      <w:bookmarkEnd w:id="1"/>
    </w:p>
    <w:p>
      <w:pPr>
        <w:autoSpaceDE w:val="0"/>
        <w:autoSpaceDN w:val="0"/>
        <w:adjustRightInd w:val="0"/>
        <w:jc w:val="center"/>
        <w:rPr>
          <w:color w:val="auto"/>
          <w:sz w:val="20"/>
          <w:szCs w:val="20"/>
          <w:highlight w:val="none"/>
        </w:rPr>
      </w:pPr>
      <w:r>
        <w:rPr>
          <w:rFonts w:hint="eastAsia" w:ascii="宋体" w:hAnsi="宋体"/>
          <w:b/>
          <w:color w:val="auto"/>
          <w:spacing w:val="20"/>
          <w:sz w:val="40"/>
          <w:szCs w:val="22"/>
          <w:highlight w:val="none"/>
        </w:rPr>
        <w:t>南通日报社历史报纸数字化建设项目</w:t>
      </w:r>
    </w:p>
    <w:p>
      <w:pPr>
        <w:autoSpaceDE w:val="0"/>
        <w:autoSpaceDN w:val="0"/>
        <w:adjustRightInd w:val="0"/>
        <w:spacing w:line="1000" w:lineRule="exact"/>
        <w:ind w:firstLine="2002"/>
        <w:jc w:val="center"/>
        <w:rPr>
          <w:rFonts w:ascii="华文新魏" w:eastAsia="华文新魏"/>
          <w:b/>
          <w:bCs/>
          <w:color w:val="auto"/>
          <w:sz w:val="100"/>
          <w:szCs w:val="100"/>
          <w:highlight w:val="none"/>
          <w:lang w:val="zh-CN"/>
        </w:rPr>
      </w:pPr>
    </w:p>
    <w:p>
      <w:pPr>
        <w:autoSpaceDE w:val="0"/>
        <w:autoSpaceDN w:val="0"/>
        <w:adjustRightInd w:val="0"/>
        <w:spacing w:line="1000" w:lineRule="exact"/>
        <w:jc w:val="center"/>
        <w:rPr>
          <w:rFonts w:hint="eastAsia" w:ascii="华文新魏" w:eastAsia="华文新魏"/>
          <w:b/>
          <w:bCs/>
          <w:color w:val="auto"/>
          <w:sz w:val="100"/>
          <w:szCs w:val="100"/>
          <w:highlight w:val="none"/>
          <w:lang w:val="zh-CN"/>
        </w:rPr>
      </w:pPr>
    </w:p>
    <w:p>
      <w:pPr>
        <w:autoSpaceDE w:val="0"/>
        <w:autoSpaceDN w:val="0"/>
        <w:adjustRightInd w:val="0"/>
        <w:spacing w:line="1000" w:lineRule="exact"/>
        <w:jc w:val="center"/>
        <w:rPr>
          <w:rFonts w:hint="eastAsia" w:ascii="华文新魏" w:hAnsi="Arial Narrow" w:eastAsia="华文新魏"/>
          <w:b/>
          <w:bCs/>
          <w:color w:val="auto"/>
          <w:sz w:val="100"/>
          <w:szCs w:val="100"/>
          <w:highlight w:val="none"/>
          <w:lang w:val="zh-CN"/>
        </w:rPr>
      </w:pPr>
      <w:r>
        <w:rPr>
          <w:rFonts w:hint="eastAsia" w:ascii="华文新魏" w:eastAsia="华文新魏"/>
          <w:b/>
          <w:bCs/>
          <w:color w:val="auto"/>
          <w:sz w:val="100"/>
          <w:szCs w:val="100"/>
          <w:highlight w:val="none"/>
          <w:lang w:val="zh-CN"/>
        </w:rPr>
        <w:t>竞争性</w:t>
      </w:r>
      <w:r>
        <w:rPr>
          <w:rFonts w:hint="eastAsia" w:ascii="华文新魏" w:hAnsi="Arial Narrow" w:eastAsia="华文新魏"/>
          <w:b/>
          <w:bCs/>
          <w:color w:val="auto"/>
          <w:sz w:val="100"/>
          <w:szCs w:val="100"/>
          <w:highlight w:val="none"/>
          <w:lang w:val="zh-CN"/>
        </w:rPr>
        <w:t>磋商文件</w:t>
      </w:r>
    </w:p>
    <w:p>
      <w:pPr>
        <w:autoSpaceDE w:val="0"/>
        <w:autoSpaceDN w:val="0"/>
        <w:adjustRightInd w:val="0"/>
        <w:spacing w:line="1000" w:lineRule="exact"/>
        <w:jc w:val="center"/>
        <w:rPr>
          <w:rFonts w:hint="eastAsia" w:ascii="宋体" w:hAnsi="宋体"/>
          <w:color w:val="auto"/>
          <w:sz w:val="36"/>
          <w:szCs w:val="36"/>
          <w:highlight w:val="none"/>
        </w:rPr>
      </w:pPr>
    </w:p>
    <w:p>
      <w:pPr>
        <w:autoSpaceDE w:val="0"/>
        <w:autoSpaceDN w:val="0"/>
        <w:adjustRightInd w:val="0"/>
        <w:spacing w:line="1000" w:lineRule="exact"/>
        <w:jc w:val="center"/>
        <w:rPr>
          <w:rFonts w:hint="eastAsia" w:ascii="楷体_GB2312" w:eastAsia="宋体"/>
          <w:b/>
          <w:color w:val="auto"/>
          <w:sz w:val="44"/>
          <w:szCs w:val="44"/>
          <w:highlight w:val="none"/>
          <w:lang w:eastAsia="zh-CN"/>
        </w:rPr>
      </w:pPr>
      <w:r>
        <w:rPr>
          <w:rFonts w:hint="eastAsia" w:ascii="宋体" w:hAnsi="宋体"/>
          <w:color w:val="auto"/>
          <w:sz w:val="36"/>
          <w:szCs w:val="36"/>
          <w:highlight w:val="none"/>
        </w:rPr>
        <w:t>项目编号：HSNT20241</w:t>
      </w:r>
      <w:r>
        <w:rPr>
          <w:rFonts w:hint="eastAsia" w:ascii="宋体" w:hAnsi="宋体"/>
          <w:color w:val="auto"/>
          <w:sz w:val="36"/>
          <w:szCs w:val="36"/>
          <w:highlight w:val="none"/>
          <w:lang w:val="en-US" w:eastAsia="zh-CN"/>
        </w:rPr>
        <w:t>5</w:t>
      </w:r>
    </w:p>
    <w:p>
      <w:pPr>
        <w:autoSpaceDE w:val="0"/>
        <w:autoSpaceDN w:val="0"/>
        <w:adjustRightInd w:val="0"/>
        <w:spacing w:line="360" w:lineRule="auto"/>
        <w:ind w:firstLine="480"/>
        <w:jc w:val="center"/>
        <w:rPr>
          <w:rFonts w:eastAsia="黑体"/>
          <w:color w:val="auto"/>
          <w:szCs w:val="21"/>
          <w:highlight w:val="none"/>
        </w:rPr>
      </w:pPr>
    </w:p>
    <w:p>
      <w:pPr>
        <w:autoSpaceDE w:val="0"/>
        <w:autoSpaceDN w:val="0"/>
        <w:adjustRightInd w:val="0"/>
        <w:spacing w:line="360" w:lineRule="auto"/>
        <w:ind w:firstLine="480"/>
        <w:jc w:val="center"/>
        <w:rPr>
          <w:rFonts w:eastAsia="黑体"/>
          <w:color w:val="auto"/>
          <w:szCs w:val="21"/>
          <w:highlight w:val="none"/>
        </w:rPr>
      </w:pPr>
    </w:p>
    <w:p>
      <w:pPr>
        <w:autoSpaceDE w:val="0"/>
        <w:autoSpaceDN w:val="0"/>
        <w:adjustRightInd w:val="0"/>
        <w:spacing w:line="360" w:lineRule="auto"/>
        <w:ind w:firstLine="480"/>
        <w:jc w:val="center"/>
        <w:rPr>
          <w:rFonts w:eastAsia="黑体"/>
          <w:color w:val="auto"/>
          <w:szCs w:val="21"/>
          <w:highlight w:val="none"/>
        </w:rPr>
      </w:pPr>
    </w:p>
    <w:p>
      <w:pPr>
        <w:autoSpaceDE w:val="0"/>
        <w:autoSpaceDN w:val="0"/>
        <w:adjustRightInd w:val="0"/>
        <w:spacing w:line="360" w:lineRule="auto"/>
        <w:ind w:firstLine="480"/>
        <w:jc w:val="center"/>
        <w:rPr>
          <w:rFonts w:eastAsia="黑体"/>
          <w:color w:val="auto"/>
          <w:szCs w:val="21"/>
          <w:highlight w:val="none"/>
        </w:rPr>
      </w:pPr>
    </w:p>
    <w:p>
      <w:pPr>
        <w:autoSpaceDE w:val="0"/>
        <w:autoSpaceDN w:val="0"/>
        <w:adjustRightInd w:val="0"/>
        <w:spacing w:line="360" w:lineRule="auto"/>
        <w:ind w:firstLine="480"/>
        <w:jc w:val="center"/>
        <w:rPr>
          <w:rFonts w:eastAsia="黑体"/>
          <w:color w:val="auto"/>
          <w:szCs w:val="21"/>
          <w:highlight w:val="none"/>
        </w:rPr>
      </w:pPr>
    </w:p>
    <w:p>
      <w:pPr>
        <w:autoSpaceDE w:val="0"/>
        <w:autoSpaceDN w:val="0"/>
        <w:adjustRightInd w:val="0"/>
        <w:ind w:firstLine="400"/>
        <w:jc w:val="center"/>
        <w:rPr>
          <w:color w:val="auto"/>
          <w:szCs w:val="21"/>
          <w:highlight w:val="none"/>
        </w:rPr>
      </w:pPr>
      <w:r>
        <w:rPr>
          <w:rFonts w:hint="eastAsia" w:ascii="宋体"/>
          <w:color w:val="auto"/>
          <w:kern w:val="0"/>
          <w:sz w:val="20"/>
          <w:szCs w:val="20"/>
          <w:highlight w:val="none"/>
          <w:lang w:val="zh-CN"/>
        </w:rPr>
        <w:object>
          <v:shape id="_x0000_i1025" o:spt="75" type="#_x0000_t75" style="height:127.7pt;width:166.55pt;" o:ole="t" filled="f" o:preferrelative="t" stroked="f" coordsize="21600,21600">
            <v:path/>
            <v:fill on="f" focussize="0,0"/>
            <v:stroke on="f" joinstyle="miter"/>
            <v:imagedata r:id="rId6" o:title=""/>
            <o:lock v:ext="edit" aspectratio="t"/>
            <w10:wrap type="none"/>
            <w10:anchorlock/>
          </v:shape>
          <o:OLEObject Type="Embed" ProgID="MS_ClipArt_Gallery.5" ShapeID="_x0000_i1025" DrawAspect="Content" ObjectID="_1468075725" r:id="rId5">
            <o:LockedField>false</o:LockedField>
          </o:OLEObject>
        </w:object>
      </w:r>
    </w:p>
    <w:p>
      <w:pPr>
        <w:autoSpaceDE w:val="0"/>
        <w:autoSpaceDN w:val="0"/>
        <w:adjustRightInd w:val="0"/>
        <w:spacing w:line="360" w:lineRule="auto"/>
        <w:ind w:firstLine="480"/>
        <w:jc w:val="center"/>
        <w:rPr>
          <w:color w:val="auto"/>
          <w:szCs w:val="21"/>
          <w:highlight w:val="none"/>
        </w:rPr>
      </w:pPr>
    </w:p>
    <w:p>
      <w:pPr>
        <w:autoSpaceDE w:val="0"/>
        <w:autoSpaceDN w:val="0"/>
        <w:adjustRightInd w:val="0"/>
        <w:spacing w:line="360" w:lineRule="auto"/>
        <w:ind w:firstLine="480"/>
        <w:jc w:val="center"/>
        <w:rPr>
          <w:color w:val="auto"/>
          <w:szCs w:val="21"/>
          <w:highlight w:val="none"/>
        </w:rPr>
      </w:pPr>
    </w:p>
    <w:p>
      <w:pPr>
        <w:autoSpaceDE w:val="0"/>
        <w:autoSpaceDN w:val="0"/>
        <w:adjustRightInd w:val="0"/>
        <w:spacing w:line="360" w:lineRule="auto"/>
        <w:ind w:firstLine="480"/>
        <w:jc w:val="center"/>
        <w:rPr>
          <w:color w:val="auto"/>
          <w:szCs w:val="21"/>
          <w:highlight w:val="none"/>
        </w:rPr>
      </w:pPr>
    </w:p>
    <w:p>
      <w:pPr>
        <w:autoSpaceDE w:val="0"/>
        <w:autoSpaceDN w:val="0"/>
        <w:adjustRightInd w:val="0"/>
        <w:spacing w:line="360" w:lineRule="auto"/>
        <w:ind w:firstLine="480"/>
        <w:jc w:val="center"/>
        <w:rPr>
          <w:color w:val="auto"/>
          <w:szCs w:val="21"/>
          <w:highlight w:val="none"/>
        </w:rPr>
      </w:pPr>
    </w:p>
    <w:p>
      <w:pPr>
        <w:spacing w:line="500" w:lineRule="exact"/>
        <w:ind w:firstLine="640"/>
        <w:jc w:val="center"/>
        <w:rPr>
          <w:rFonts w:ascii="宋体" w:hAnsi="宋体"/>
          <w:color w:val="auto"/>
          <w:spacing w:val="20"/>
          <w:sz w:val="28"/>
          <w:szCs w:val="28"/>
          <w:highlight w:val="none"/>
        </w:rPr>
      </w:pPr>
    </w:p>
    <w:p>
      <w:pPr>
        <w:spacing w:line="500" w:lineRule="exact"/>
        <w:ind w:firstLine="1280" w:firstLineChars="400"/>
        <w:rPr>
          <w:rFonts w:ascii="宋体" w:hAnsi="宋体"/>
          <w:color w:val="auto"/>
          <w:spacing w:val="20"/>
          <w:sz w:val="28"/>
          <w:szCs w:val="28"/>
          <w:highlight w:val="none"/>
        </w:rPr>
      </w:pPr>
      <w:r>
        <w:rPr>
          <w:rFonts w:hint="eastAsia" w:ascii="宋体" w:hAnsi="宋体"/>
          <w:color w:val="auto"/>
          <w:spacing w:val="20"/>
          <w:sz w:val="28"/>
          <w:szCs w:val="28"/>
          <w:highlight w:val="none"/>
        </w:rPr>
        <w:t>采购单位</w:t>
      </w:r>
      <w:r>
        <w:rPr>
          <w:rFonts w:hint="eastAsia" w:ascii="宋体" w:hAnsi="宋体"/>
          <w:color w:val="auto"/>
          <w:spacing w:val="20"/>
          <w:sz w:val="28"/>
          <w:szCs w:val="28"/>
          <w:highlight w:val="none"/>
          <w:u w:val="none"/>
        </w:rPr>
        <w:t>：</w:t>
      </w:r>
      <w:r>
        <w:rPr>
          <w:rFonts w:hint="eastAsia" w:ascii="宋体" w:hAnsi="宋体"/>
          <w:color w:val="auto"/>
          <w:spacing w:val="20"/>
          <w:sz w:val="28"/>
          <w:szCs w:val="28"/>
          <w:highlight w:val="none"/>
          <w:u w:val="single"/>
        </w:rPr>
        <w:t>南通日报社</w:t>
      </w:r>
    </w:p>
    <w:p>
      <w:pPr>
        <w:spacing w:line="500" w:lineRule="exact"/>
        <w:ind w:firstLine="1280" w:firstLineChars="400"/>
        <w:rPr>
          <w:rFonts w:ascii="宋体" w:hAnsi="宋体"/>
          <w:color w:val="auto"/>
          <w:spacing w:val="20"/>
          <w:sz w:val="28"/>
          <w:szCs w:val="28"/>
          <w:highlight w:val="none"/>
        </w:rPr>
      </w:pPr>
      <w:r>
        <w:rPr>
          <w:rFonts w:hint="eastAsia" w:ascii="宋体" w:hAnsi="宋体"/>
          <w:color w:val="auto"/>
          <w:spacing w:val="20"/>
          <w:sz w:val="28"/>
          <w:szCs w:val="28"/>
          <w:highlight w:val="none"/>
        </w:rPr>
        <w:t>代理单位</w:t>
      </w:r>
      <w:r>
        <w:rPr>
          <w:rFonts w:hint="eastAsia" w:ascii="宋体" w:hAnsi="宋体"/>
          <w:color w:val="auto"/>
          <w:spacing w:val="20"/>
          <w:sz w:val="28"/>
          <w:szCs w:val="28"/>
          <w:highlight w:val="none"/>
          <w:u w:val="none"/>
        </w:rPr>
        <w:t>：</w:t>
      </w:r>
      <w:r>
        <w:rPr>
          <w:rFonts w:hint="eastAsia" w:ascii="宋体" w:hAnsi="宋体"/>
          <w:color w:val="auto"/>
          <w:spacing w:val="20"/>
          <w:sz w:val="28"/>
          <w:szCs w:val="28"/>
          <w:highlight w:val="none"/>
          <w:u w:val="single"/>
        </w:rPr>
        <w:t>江苏海审工程咨询有限公司</w:t>
      </w:r>
    </w:p>
    <w:p>
      <w:pPr>
        <w:spacing w:line="500" w:lineRule="exact"/>
        <w:ind w:firstLine="1280" w:firstLineChars="400"/>
        <w:rPr>
          <w:rFonts w:ascii="宋体" w:hAnsi="宋体"/>
          <w:color w:val="auto"/>
          <w:spacing w:val="20"/>
          <w:sz w:val="28"/>
          <w:szCs w:val="28"/>
          <w:highlight w:val="none"/>
        </w:rPr>
      </w:pPr>
      <w:r>
        <w:rPr>
          <w:rFonts w:hint="eastAsia" w:ascii="宋体" w:hAnsi="宋体"/>
          <w:color w:val="auto"/>
          <w:spacing w:val="20"/>
          <w:sz w:val="28"/>
          <w:szCs w:val="28"/>
          <w:highlight w:val="none"/>
        </w:rPr>
        <w:t xml:space="preserve">日 </w:t>
      </w:r>
      <w:r>
        <w:rPr>
          <w:rFonts w:hint="eastAsia" w:ascii="宋体" w:hAnsi="宋体"/>
          <w:color w:val="auto"/>
          <w:spacing w:val="20"/>
          <w:sz w:val="28"/>
          <w:szCs w:val="28"/>
          <w:highlight w:val="none"/>
          <w:lang w:val="en-US" w:eastAsia="zh-CN"/>
        </w:rPr>
        <w:t xml:space="preserve"> </w:t>
      </w:r>
      <w:r>
        <w:rPr>
          <w:rFonts w:hint="eastAsia" w:ascii="宋体" w:hAnsi="宋体"/>
          <w:color w:val="auto"/>
          <w:spacing w:val="20"/>
          <w:sz w:val="28"/>
          <w:szCs w:val="28"/>
          <w:highlight w:val="none"/>
        </w:rPr>
        <w:t xml:space="preserve">  期：</w:t>
      </w:r>
      <w:r>
        <w:rPr>
          <w:rFonts w:hint="eastAsia" w:ascii="宋体" w:hAnsi="宋体"/>
          <w:color w:val="auto"/>
          <w:spacing w:val="20"/>
          <w:sz w:val="28"/>
          <w:szCs w:val="28"/>
          <w:highlight w:val="none"/>
          <w:u w:val="single"/>
        </w:rPr>
        <w:t>2024年</w:t>
      </w:r>
      <w:r>
        <w:rPr>
          <w:rFonts w:hint="eastAsia" w:ascii="宋体" w:hAnsi="宋体"/>
          <w:color w:val="auto"/>
          <w:spacing w:val="20"/>
          <w:sz w:val="28"/>
          <w:szCs w:val="28"/>
          <w:highlight w:val="none"/>
          <w:u w:val="single"/>
          <w:lang w:val="en-US" w:eastAsia="zh-CN"/>
        </w:rPr>
        <w:t>06</w:t>
      </w:r>
      <w:r>
        <w:rPr>
          <w:rFonts w:hint="eastAsia" w:ascii="宋体" w:hAnsi="宋体"/>
          <w:color w:val="auto"/>
          <w:spacing w:val="20"/>
          <w:sz w:val="28"/>
          <w:szCs w:val="28"/>
          <w:highlight w:val="none"/>
          <w:u w:val="single"/>
        </w:rPr>
        <w:t>月</w:t>
      </w:r>
      <w:r>
        <w:rPr>
          <w:rFonts w:hint="eastAsia" w:ascii="宋体" w:hAnsi="宋体"/>
          <w:color w:val="auto"/>
          <w:spacing w:val="20"/>
          <w:sz w:val="28"/>
          <w:szCs w:val="28"/>
          <w:highlight w:val="none"/>
          <w:u w:val="single"/>
          <w:lang w:val="en-US" w:eastAsia="zh-CN"/>
        </w:rPr>
        <w:t>25</w:t>
      </w:r>
      <w:r>
        <w:rPr>
          <w:rFonts w:hint="eastAsia" w:ascii="宋体" w:hAnsi="宋体"/>
          <w:color w:val="auto"/>
          <w:spacing w:val="20"/>
          <w:sz w:val="28"/>
          <w:szCs w:val="28"/>
          <w:highlight w:val="none"/>
          <w:u w:val="single"/>
        </w:rPr>
        <w:t>日</w:t>
      </w:r>
    </w:p>
    <w:p>
      <w:pPr>
        <w:spacing w:line="360" w:lineRule="auto"/>
        <w:jc w:val="center"/>
        <w:rPr>
          <w:rFonts w:hint="eastAsia" w:asciiTheme="minorEastAsia" w:hAnsiTheme="minorEastAsia" w:eastAsiaTheme="minorEastAsia"/>
          <w:b/>
          <w:bCs/>
          <w:color w:val="auto"/>
          <w:sz w:val="44"/>
          <w:szCs w:val="44"/>
          <w:highlight w:val="none"/>
          <w:lang w:val="zh-CN"/>
        </w:rPr>
        <w:sectPr>
          <w:pgSz w:w="11907" w:h="16839"/>
          <w:pgMar w:top="1418" w:right="1417" w:bottom="1418" w:left="1474" w:header="851" w:footer="851" w:gutter="0"/>
          <w:cols w:space="720" w:num="1"/>
          <w:docGrid w:linePitch="286" w:charSpace="0"/>
        </w:sectPr>
      </w:pPr>
    </w:p>
    <w:p>
      <w:pPr>
        <w:spacing w:line="360" w:lineRule="auto"/>
        <w:jc w:val="center"/>
        <w:rPr>
          <w:rFonts w:asciiTheme="minorEastAsia" w:hAnsiTheme="minorEastAsia" w:eastAsiaTheme="minorEastAsia"/>
          <w:b/>
          <w:bCs/>
          <w:color w:val="auto"/>
          <w:sz w:val="44"/>
          <w:szCs w:val="44"/>
          <w:highlight w:val="none"/>
          <w:lang w:val="zh-CN"/>
        </w:rPr>
      </w:pPr>
      <w:r>
        <w:rPr>
          <w:rFonts w:hint="eastAsia" w:asciiTheme="minorEastAsia" w:hAnsiTheme="minorEastAsia" w:eastAsiaTheme="minorEastAsia"/>
          <w:b/>
          <w:bCs/>
          <w:color w:val="auto"/>
          <w:sz w:val="44"/>
          <w:szCs w:val="44"/>
          <w:highlight w:val="none"/>
          <w:lang w:val="zh-CN"/>
        </w:rPr>
        <w:t>目   录</w:t>
      </w:r>
    </w:p>
    <w:p>
      <w:pPr>
        <w:autoSpaceDE w:val="0"/>
        <w:autoSpaceDN w:val="0"/>
        <w:adjustRightInd w:val="0"/>
        <w:spacing w:line="480" w:lineRule="auto"/>
        <w:ind w:firstLine="643"/>
        <w:rPr>
          <w:rFonts w:asciiTheme="minorEastAsia" w:hAnsiTheme="minorEastAsia" w:eastAsiaTheme="minorEastAsia"/>
          <w:b/>
          <w:bCs/>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480" w:lineRule="auto"/>
        <w:ind w:firstLine="560"/>
        <w:textAlignment w:val="auto"/>
        <w:rPr>
          <w:rFonts w:asciiTheme="minorEastAsia" w:hAnsiTheme="minorEastAsia" w:eastAsiaTheme="minorEastAsia"/>
          <w:color w:val="auto"/>
          <w:sz w:val="28"/>
          <w:szCs w:val="28"/>
          <w:highlight w:val="none"/>
          <w:lang w:val="zh-CN"/>
        </w:rPr>
      </w:pPr>
      <w:r>
        <w:rPr>
          <w:rFonts w:hint="eastAsia" w:asciiTheme="minorEastAsia" w:hAnsiTheme="minorEastAsia" w:eastAsiaTheme="minorEastAsia"/>
          <w:bCs/>
          <w:color w:val="auto"/>
          <w:sz w:val="28"/>
          <w:szCs w:val="28"/>
          <w:highlight w:val="none"/>
        </w:rPr>
        <w:t>第一部分  竞争性磋商</w:t>
      </w:r>
      <w:r>
        <w:rPr>
          <w:rFonts w:hint="eastAsia" w:asciiTheme="minorEastAsia" w:hAnsiTheme="minorEastAsia" w:eastAsiaTheme="minorEastAsia"/>
          <w:color w:val="auto"/>
          <w:sz w:val="28"/>
          <w:szCs w:val="28"/>
          <w:highlight w:val="none"/>
          <w:lang w:val="zh-CN"/>
        </w:rPr>
        <w:t>公告</w:t>
      </w:r>
    </w:p>
    <w:p>
      <w:pPr>
        <w:keepNext w:val="0"/>
        <w:keepLines w:val="0"/>
        <w:pageBreakBefore w:val="0"/>
        <w:widowControl w:val="0"/>
        <w:kinsoku/>
        <w:wordWrap/>
        <w:overflowPunct/>
        <w:topLinePunct w:val="0"/>
        <w:autoSpaceDE w:val="0"/>
        <w:autoSpaceDN w:val="0"/>
        <w:bidi w:val="0"/>
        <w:adjustRightInd w:val="0"/>
        <w:snapToGrid/>
        <w:spacing w:line="480" w:lineRule="auto"/>
        <w:ind w:firstLine="560"/>
        <w:textAlignment w:val="auto"/>
        <w:rPr>
          <w:rFonts w:asciiTheme="minorEastAsia" w:hAnsiTheme="minorEastAsia" w:eastAsiaTheme="minorEastAsia"/>
          <w:color w:val="auto"/>
          <w:sz w:val="28"/>
          <w:szCs w:val="28"/>
          <w:highlight w:val="none"/>
          <w:lang w:val="zh-CN"/>
        </w:rPr>
      </w:pPr>
      <w:r>
        <w:rPr>
          <w:rFonts w:hint="eastAsia" w:asciiTheme="minorEastAsia" w:hAnsiTheme="minorEastAsia" w:eastAsiaTheme="minorEastAsia"/>
          <w:bCs/>
          <w:color w:val="auto"/>
          <w:sz w:val="28"/>
          <w:szCs w:val="28"/>
          <w:highlight w:val="none"/>
        </w:rPr>
        <w:t>第二部分  磋商</w:t>
      </w:r>
      <w:r>
        <w:rPr>
          <w:rFonts w:hint="eastAsia" w:asciiTheme="minorEastAsia" w:hAnsiTheme="minorEastAsia" w:eastAsiaTheme="minorEastAsia"/>
          <w:color w:val="auto"/>
          <w:sz w:val="28"/>
          <w:szCs w:val="28"/>
          <w:highlight w:val="none"/>
          <w:lang w:val="zh-CN"/>
        </w:rPr>
        <w:t>须知</w:t>
      </w:r>
    </w:p>
    <w:p>
      <w:pPr>
        <w:keepNext w:val="0"/>
        <w:keepLines w:val="0"/>
        <w:pageBreakBefore w:val="0"/>
        <w:widowControl w:val="0"/>
        <w:kinsoku/>
        <w:wordWrap/>
        <w:overflowPunct/>
        <w:topLinePunct w:val="0"/>
        <w:autoSpaceDE w:val="0"/>
        <w:autoSpaceDN w:val="0"/>
        <w:bidi w:val="0"/>
        <w:adjustRightInd w:val="0"/>
        <w:snapToGrid/>
        <w:spacing w:line="480" w:lineRule="auto"/>
        <w:ind w:firstLine="560"/>
        <w:textAlignment w:val="auto"/>
        <w:rPr>
          <w:rFonts w:asciiTheme="minorEastAsia" w:hAnsiTheme="minorEastAsia" w:eastAsiaTheme="minorEastAsia"/>
          <w:color w:val="auto"/>
          <w:sz w:val="28"/>
          <w:szCs w:val="28"/>
          <w:highlight w:val="none"/>
          <w:lang w:val="zh-CN"/>
        </w:rPr>
      </w:pPr>
      <w:r>
        <w:rPr>
          <w:rFonts w:hint="eastAsia" w:asciiTheme="minorEastAsia" w:hAnsiTheme="minorEastAsia" w:eastAsiaTheme="minorEastAsia"/>
          <w:bCs/>
          <w:color w:val="auto"/>
          <w:sz w:val="28"/>
          <w:szCs w:val="28"/>
          <w:highlight w:val="none"/>
        </w:rPr>
        <w:t xml:space="preserve">第三部分  </w:t>
      </w:r>
      <w:r>
        <w:rPr>
          <w:rFonts w:hint="eastAsia" w:asciiTheme="minorEastAsia" w:hAnsiTheme="minorEastAsia" w:eastAsiaTheme="minorEastAsia"/>
          <w:color w:val="auto"/>
          <w:sz w:val="28"/>
          <w:szCs w:val="28"/>
          <w:highlight w:val="none"/>
          <w:lang w:val="zh-CN"/>
        </w:rPr>
        <w:t>项目需求</w:t>
      </w:r>
    </w:p>
    <w:p>
      <w:pPr>
        <w:keepNext w:val="0"/>
        <w:keepLines w:val="0"/>
        <w:pageBreakBefore w:val="0"/>
        <w:widowControl w:val="0"/>
        <w:kinsoku/>
        <w:wordWrap/>
        <w:overflowPunct/>
        <w:topLinePunct w:val="0"/>
        <w:autoSpaceDE w:val="0"/>
        <w:autoSpaceDN w:val="0"/>
        <w:bidi w:val="0"/>
        <w:adjustRightInd w:val="0"/>
        <w:snapToGrid/>
        <w:spacing w:line="480" w:lineRule="auto"/>
        <w:ind w:firstLine="560"/>
        <w:textAlignment w:val="auto"/>
        <w:rPr>
          <w:rFonts w:asciiTheme="minorEastAsia" w:hAnsiTheme="minorEastAsia" w:eastAsiaTheme="minorEastAsia"/>
          <w:color w:val="auto"/>
          <w:sz w:val="28"/>
          <w:szCs w:val="28"/>
          <w:highlight w:val="none"/>
          <w:lang w:val="zh-CN"/>
        </w:rPr>
      </w:pPr>
      <w:r>
        <w:rPr>
          <w:rFonts w:hint="eastAsia" w:asciiTheme="minorEastAsia" w:hAnsiTheme="minorEastAsia" w:eastAsiaTheme="minorEastAsia"/>
          <w:bCs/>
          <w:color w:val="auto"/>
          <w:sz w:val="28"/>
          <w:szCs w:val="28"/>
          <w:highlight w:val="none"/>
        </w:rPr>
        <w:t>第四部分  磋商</w:t>
      </w:r>
      <w:r>
        <w:rPr>
          <w:rFonts w:hint="eastAsia" w:asciiTheme="minorEastAsia" w:hAnsiTheme="minorEastAsia" w:eastAsiaTheme="minorEastAsia"/>
          <w:color w:val="auto"/>
          <w:sz w:val="28"/>
          <w:szCs w:val="28"/>
          <w:highlight w:val="none"/>
          <w:lang w:val="zh-CN"/>
        </w:rPr>
        <w:t>程序和内容</w:t>
      </w:r>
    </w:p>
    <w:p>
      <w:pPr>
        <w:keepNext w:val="0"/>
        <w:keepLines w:val="0"/>
        <w:pageBreakBefore w:val="0"/>
        <w:widowControl w:val="0"/>
        <w:kinsoku/>
        <w:wordWrap/>
        <w:overflowPunct/>
        <w:topLinePunct w:val="0"/>
        <w:autoSpaceDE w:val="0"/>
        <w:autoSpaceDN w:val="0"/>
        <w:bidi w:val="0"/>
        <w:adjustRightInd w:val="0"/>
        <w:snapToGrid/>
        <w:spacing w:line="480" w:lineRule="auto"/>
        <w:ind w:firstLine="560"/>
        <w:textAlignment w:val="auto"/>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第五部分  合同签订与验收付款</w:t>
      </w:r>
    </w:p>
    <w:p>
      <w:pPr>
        <w:keepNext w:val="0"/>
        <w:keepLines w:val="0"/>
        <w:pageBreakBefore w:val="0"/>
        <w:widowControl w:val="0"/>
        <w:kinsoku/>
        <w:wordWrap/>
        <w:overflowPunct/>
        <w:topLinePunct w:val="0"/>
        <w:autoSpaceDE w:val="0"/>
        <w:autoSpaceDN w:val="0"/>
        <w:bidi w:val="0"/>
        <w:adjustRightInd w:val="0"/>
        <w:snapToGrid/>
        <w:spacing w:line="480" w:lineRule="auto"/>
        <w:ind w:firstLine="560"/>
        <w:textAlignment w:val="auto"/>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第六部分  质疑提出和处理</w:t>
      </w:r>
    </w:p>
    <w:p>
      <w:pPr>
        <w:keepNext w:val="0"/>
        <w:keepLines w:val="0"/>
        <w:pageBreakBefore w:val="0"/>
        <w:widowControl w:val="0"/>
        <w:tabs>
          <w:tab w:val="left" w:pos="7740"/>
        </w:tabs>
        <w:kinsoku/>
        <w:wordWrap/>
        <w:overflowPunct/>
        <w:topLinePunct w:val="0"/>
        <w:bidi w:val="0"/>
        <w:snapToGrid/>
        <w:spacing w:line="480" w:lineRule="auto"/>
        <w:ind w:firstLine="546" w:firstLineChars="195"/>
        <w:textAlignment w:val="auto"/>
        <w:rPr>
          <w:rFonts w:asciiTheme="minorEastAsia" w:hAnsiTheme="minorEastAsia" w:eastAsiaTheme="minorEastAsia"/>
          <w:color w:val="auto"/>
          <w:spacing w:val="2"/>
          <w:sz w:val="28"/>
          <w:szCs w:val="28"/>
          <w:highlight w:val="none"/>
        </w:rPr>
      </w:pPr>
      <w:r>
        <w:rPr>
          <w:rFonts w:hint="eastAsia" w:asciiTheme="minorEastAsia" w:hAnsiTheme="minorEastAsia" w:eastAsiaTheme="minorEastAsia"/>
          <w:bCs/>
          <w:color w:val="auto"/>
          <w:sz w:val="28"/>
          <w:szCs w:val="28"/>
          <w:highlight w:val="none"/>
        </w:rPr>
        <w:t>第七部分  响应</w:t>
      </w:r>
      <w:r>
        <w:rPr>
          <w:rFonts w:hint="eastAsia" w:asciiTheme="minorEastAsia" w:hAnsiTheme="minorEastAsia" w:eastAsiaTheme="minorEastAsia"/>
          <w:color w:val="auto"/>
          <w:sz w:val="28"/>
          <w:szCs w:val="28"/>
          <w:highlight w:val="none"/>
          <w:lang w:val="zh-CN"/>
        </w:rPr>
        <w:t>文件</w:t>
      </w:r>
      <w:r>
        <w:rPr>
          <w:rFonts w:hint="eastAsia" w:asciiTheme="minorEastAsia" w:hAnsiTheme="minorEastAsia" w:eastAsiaTheme="minorEastAsia"/>
          <w:bCs/>
          <w:color w:val="auto"/>
          <w:sz w:val="28"/>
          <w:szCs w:val="28"/>
          <w:highlight w:val="none"/>
        </w:rPr>
        <w:t>组成</w:t>
      </w:r>
    </w:p>
    <w:p>
      <w:pPr>
        <w:autoSpaceDE w:val="0"/>
        <w:autoSpaceDN w:val="0"/>
        <w:adjustRightInd w:val="0"/>
        <w:snapToGrid w:val="0"/>
        <w:spacing w:line="300" w:lineRule="auto"/>
        <w:jc w:val="center"/>
        <w:outlineLvl w:val="0"/>
        <w:rPr>
          <w:rFonts w:hint="eastAsia" w:asciiTheme="minorEastAsia" w:hAnsiTheme="minorEastAsia" w:eastAsiaTheme="minorEastAsia"/>
          <w:b/>
          <w:bCs/>
          <w:color w:val="auto"/>
          <w:sz w:val="36"/>
          <w:szCs w:val="36"/>
          <w:highlight w:val="none"/>
          <w:lang w:val="zh-CN"/>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 xml:space="preserve">第一部分  </w:t>
      </w:r>
      <w:bookmarkStart w:id="0" w:name="OLE_LINK1"/>
      <w:r>
        <w:rPr>
          <w:rFonts w:hint="eastAsia" w:asciiTheme="minorEastAsia" w:hAnsiTheme="minorEastAsia" w:eastAsiaTheme="minorEastAsia"/>
          <w:b/>
          <w:bCs/>
          <w:color w:val="auto"/>
          <w:sz w:val="36"/>
          <w:szCs w:val="36"/>
          <w:highlight w:val="none"/>
          <w:lang w:val="zh-CN"/>
        </w:rPr>
        <w:t>竞争性磋商公告</w:t>
      </w:r>
    </w:p>
    <w:p>
      <w:pPr>
        <w:snapToGrid w:val="0"/>
        <w:spacing w:line="480" w:lineRule="exact"/>
        <w:ind w:firstLine="480" w:firstLineChars="200"/>
        <w:rPr>
          <w:color w:val="auto"/>
          <w:sz w:val="24"/>
          <w:highlight w:val="none"/>
        </w:rPr>
      </w:pPr>
      <w:r>
        <w:rPr>
          <w:bCs/>
          <w:color w:val="auto"/>
          <w:sz w:val="24"/>
          <w:highlight w:val="none"/>
        </w:rPr>
        <w:t>项目概况</w:t>
      </w:r>
      <w:r>
        <w:rPr>
          <w:rFonts w:hint="eastAsia"/>
          <w:bCs/>
          <w:color w:val="auto"/>
          <w:sz w:val="24"/>
          <w:highlight w:val="none"/>
        </w:rPr>
        <w:t>：</w:t>
      </w:r>
      <w:r>
        <w:rPr>
          <w:rFonts w:hint="eastAsia"/>
          <w:b/>
          <w:bCs/>
          <w:color w:val="auto"/>
          <w:sz w:val="24"/>
          <w:highlight w:val="none"/>
          <w:u w:val="single"/>
        </w:rPr>
        <w:t>南通日报社历史报纸数字化建设项目</w:t>
      </w:r>
      <w:r>
        <w:rPr>
          <w:rFonts w:hint="eastAsia"/>
          <w:color w:val="auto"/>
          <w:sz w:val="24"/>
          <w:highlight w:val="none"/>
        </w:rPr>
        <w:t>采购项目</w:t>
      </w:r>
      <w:r>
        <w:rPr>
          <w:color w:val="auto"/>
          <w:sz w:val="24"/>
          <w:highlight w:val="none"/>
        </w:rPr>
        <w:t>的潜在</w:t>
      </w:r>
      <w:r>
        <w:rPr>
          <w:rFonts w:hint="eastAsia"/>
          <w:color w:val="auto"/>
          <w:sz w:val="24"/>
          <w:highlight w:val="none"/>
        </w:rPr>
        <w:t>供应商</w:t>
      </w:r>
      <w:r>
        <w:rPr>
          <w:color w:val="auto"/>
          <w:sz w:val="24"/>
          <w:highlight w:val="none"/>
        </w:rPr>
        <w:t>应在</w:t>
      </w:r>
      <w:r>
        <w:rPr>
          <w:rFonts w:hint="eastAsia"/>
          <w:b/>
          <w:bCs/>
          <w:color w:val="auto"/>
          <w:sz w:val="24"/>
          <w:highlight w:val="none"/>
          <w:u w:val="single"/>
        </w:rPr>
        <w:t>南通市公共资源交易网、南通网</w:t>
      </w:r>
      <w:r>
        <w:rPr>
          <w:color w:val="auto"/>
          <w:sz w:val="24"/>
          <w:highlight w:val="none"/>
        </w:rPr>
        <w:t>获取</w:t>
      </w:r>
      <w:r>
        <w:rPr>
          <w:rFonts w:hint="eastAsia"/>
          <w:color w:val="auto"/>
          <w:sz w:val="24"/>
          <w:highlight w:val="none"/>
        </w:rPr>
        <w:t>采购</w:t>
      </w:r>
      <w:r>
        <w:rPr>
          <w:color w:val="auto"/>
          <w:sz w:val="24"/>
          <w:highlight w:val="none"/>
        </w:rPr>
        <w:t>文件，并于</w:t>
      </w:r>
      <w:r>
        <w:rPr>
          <w:rFonts w:hint="eastAsia"/>
          <w:b/>
          <w:bCs/>
          <w:color w:val="auto"/>
          <w:sz w:val="24"/>
          <w:highlight w:val="none"/>
          <w:u w:val="single"/>
        </w:rPr>
        <w:t>2024</w:t>
      </w:r>
      <w:r>
        <w:rPr>
          <w:b/>
          <w:bCs/>
          <w:color w:val="auto"/>
          <w:sz w:val="24"/>
          <w:highlight w:val="none"/>
          <w:u w:val="single"/>
        </w:rPr>
        <w:t>年</w:t>
      </w:r>
      <w:r>
        <w:rPr>
          <w:rFonts w:hint="eastAsia"/>
          <w:b/>
          <w:bCs/>
          <w:color w:val="auto"/>
          <w:sz w:val="24"/>
          <w:highlight w:val="none"/>
          <w:u w:val="single"/>
          <w:lang w:val="en-US" w:eastAsia="zh-CN"/>
        </w:rPr>
        <w:t>07</w:t>
      </w:r>
      <w:r>
        <w:rPr>
          <w:b/>
          <w:bCs/>
          <w:color w:val="auto"/>
          <w:sz w:val="24"/>
          <w:highlight w:val="none"/>
          <w:u w:val="single"/>
        </w:rPr>
        <w:t>月</w:t>
      </w:r>
      <w:r>
        <w:rPr>
          <w:rFonts w:hint="eastAsia"/>
          <w:b/>
          <w:bCs/>
          <w:color w:val="auto"/>
          <w:sz w:val="24"/>
          <w:highlight w:val="none"/>
          <w:u w:val="single"/>
          <w:lang w:val="en-US" w:eastAsia="zh-CN"/>
        </w:rPr>
        <w:t>09</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color w:val="auto"/>
          <w:sz w:val="24"/>
          <w:highlight w:val="none"/>
        </w:rPr>
        <w:t>（北京时间）前递交</w:t>
      </w:r>
      <w:r>
        <w:rPr>
          <w:rFonts w:hint="eastAsia"/>
          <w:color w:val="auto"/>
          <w:sz w:val="24"/>
          <w:highlight w:val="none"/>
        </w:rPr>
        <w:t>响应</w:t>
      </w:r>
      <w:r>
        <w:rPr>
          <w:color w:val="auto"/>
          <w:sz w:val="24"/>
          <w:highlight w:val="none"/>
        </w:rPr>
        <w:t>文件。</w:t>
      </w:r>
    </w:p>
    <w:p>
      <w:pPr>
        <w:snapToGrid w:val="0"/>
        <w:spacing w:line="480" w:lineRule="exact"/>
        <w:ind w:firstLine="482" w:firstLineChars="200"/>
        <w:rPr>
          <w:b/>
          <w:color w:val="auto"/>
          <w:sz w:val="24"/>
          <w:highlight w:val="none"/>
        </w:rPr>
      </w:pPr>
      <w:r>
        <w:rPr>
          <w:b/>
          <w:color w:val="auto"/>
          <w:sz w:val="24"/>
          <w:highlight w:val="none"/>
        </w:rPr>
        <w:t xml:space="preserve"> 一、项目基本情况</w:t>
      </w:r>
    </w:p>
    <w:p>
      <w:pPr>
        <w:snapToGrid w:val="0"/>
        <w:spacing w:line="480" w:lineRule="exact"/>
        <w:ind w:firstLine="480" w:firstLineChars="200"/>
        <w:rPr>
          <w:rFonts w:hint="default" w:eastAsia="宋体"/>
          <w:color w:val="auto"/>
          <w:sz w:val="24"/>
          <w:highlight w:val="none"/>
          <w:lang w:val="en-US" w:eastAsia="zh-CN"/>
        </w:rPr>
      </w:pPr>
      <w:r>
        <w:rPr>
          <w:color w:val="auto"/>
          <w:sz w:val="24"/>
          <w:highlight w:val="none"/>
        </w:rPr>
        <w:t>项目编号：</w:t>
      </w:r>
      <w:r>
        <w:rPr>
          <w:rFonts w:hint="eastAsia"/>
          <w:color w:val="auto"/>
          <w:sz w:val="24"/>
          <w:highlight w:val="none"/>
        </w:rPr>
        <w:t>HSNT2024</w:t>
      </w:r>
      <w:r>
        <w:rPr>
          <w:rFonts w:hint="eastAsia"/>
          <w:color w:val="auto"/>
          <w:sz w:val="24"/>
          <w:highlight w:val="none"/>
          <w:lang w:val="en-US" w:eastAsia="zh-CN"/>
        </w:rPr>
        <w:t>15</w:t>
      </w:r>
    </w:p>
    <w:p>
      <w:pPr>
        <w:snapToGrid w:val="0"/>
        <w:spacing w:line="480" w:lineRule="exact"/>
        <w:ind w:firstLine="480" w:firstLineChars="200"/>
        <w:rPr>
          <w:color w:val="auto"/>
          <w:sz w:val="24"/>
          <w:highlight w:val="none"/>
        </w:rPr>
      </w:pPr>
      <w:r>
        <w:rPr>
          <w:color w:val="auto"/>
          <w:sz w:val="24"/>
          <w:highlight w:val="none"/>
        </w:rPr>
        <w:t>项目名称：</w:t>
      </w:r>
      <w:r>
        <w:rPr>
          <w:rFonts w:hint="eastAsia"/>
          <w:color w:val="auto"/>
          <w:sz w:val="24"/>
          <w:highlight w:val="none"/>
        </w:rPr>
        <w:t>南通日报社历史报纸数字化建设项目</w:t>
      </w:r>
    </w:p>
    <w:p>
      <w:pPr>
        <w:snapToGrid w:val="0"/>
        <w:spacing w:line="480" w:lineRule="exact"/>
        <w:ind w:firstLine="480" w:firstLineChars="200"/>
        <w:rPr>
          <w:color w:val="auto"/>
          <w:sz w:val="24"/>
          <w:highlight w:val="none"/>
        </w:rPr>
      </w:pPr>
      <w:r>
        <w:rPr>
          <w:rFonts w:hint="eastAsia"/>
          <w:color w:val="auto"/>
          <w:sz w:val="24"/>
          <w:highlight w:val="none"/>
        </w:rPr>
        <w:t>采购方式：竞争性磋商</w:t>
      </w:r>
    </w:p>
    <w:p>
      <w:pPr>
        <w:snapToGrid w:val="0"/>
        <w:spacing w:line="480" w:lineRule="exact"/>
        <w:ind w:firstLine="480" w:firstLineChars="200"/>
        <w:rPr>
          <w:color w:val="auto"/>
          <w:sz w:val="24"/>
          <w:highlight w:val="none"/>
        </w:rPr>
      </w:pPr>
      <w:r>
        <w:rPr>
          <w:color w:val="auto"/>
          <w:sz w:val="24"/>
          <w:highlight w:val="none"/>
        </w:rPr>
        <w:t>预算金额：</w:t>
      </w:r>
      <w:r>
        <w:rPr>
          <w:rFonts w:hint="eastAsia"/>
          <w:color w:val="auto"/>
          <w:sz w:val="24"/>
          <w:highlight w:val="none"/>
          <w:u w:val="single"/>
        </w:rPr>
        <w:t xml:space="preserve"> 100</w:t>
      </w:r>
      <w:r>
        <w:rPr>
          <w:color w:val="auto"/>
          <w:sz w:val="24"/>
          <w:highlight w:val="none"/>
        </w:rPr>
        <w:t>万元</w:t>
      </w:r>
    </w:p>
    <w:p>
      <w:pPr>
        <w:snapToGrid w:val="0"/>
        <w:spacing w:line="480" w:lineRule="exact"/>
        <w:ind w:firstLine="480" w:firstLineChars="200"/>
        <w:rPr>
          <w:color w:val="auto"/>
          <w:sz w:val="24"/>
          <w:highlight w:val="none"/>
        </w:rPr>
      </w:pPr>
      <w:r>
        <w:rPr>
          <w:rFonts w:hint="eastAsia"/>
          <w:color w:val="auto"/>
          <w:sz w:val="24"/>
          <w:highlight w:val="none"/>
        </w:rPr>
        <w:t>最高限价：</w:t>
      </w:r>
      <w:r>
        <w:rPr>
          <w:rFonts w:hint="eastAsia"/>
          <w:color w:val="auto"/>
          <w:sz w:val="24"/>
          <w:highlight w:val="none"/>
          <w:u w:val="single"/>
        </w:rPr>
        <w:t xml:space="preserve"> 100</w:t>
      </w:r>
      <w:r>
        <w:rPr>
          <w:color w:val="auto"/>
          <w:sz w:val="24"/>
          <w:highlight w:val="none"/>
        </w:rPr>
        <w:t>万元</w:t>
      </w:r>
    </w:p>
    <w:p>
      <w:pPr>
        <w:snapToGrid w:val="0"/>
        <w:spacing w:line="480" w:lineRule="exact"/>
        <w:ind w:firstLine="480" w:firstLineChars="200"/>
        <w:rPr>
          <w:color w:val="auto"/>
          <w:sz w:val="24"/>
          <w:highlight w:val="none"/>
        </w:rPr>
      </w:pPr>
      <w:r>
        <w:rPr>
          <w:color w:val="auto"/>
          <w:sz w:val="24"/>
          <w:highlight w:val="none"/>
        </w:rPr>
        <w:t>采购需求：详见</w:t>
      </w:r>
      <w:r>
        <w:rPr>
          <w:color w:val="auto"/>
          <w:spacing w:val="7"/>
          <w:kern w:val="0"/>
          <w:sz w:val="24"/>
          <w:highlight w:val="none"/>
        </w:rPr>
        <w:t>第三部分</w:t>
      </w:r>
      <w:r>
        <w:rPr>
          <w:color w:val="auto"/>
          <w:sz w:val="24"/>
          <w:highlight w:val="none"/>
        </w:rPr>
        <w:t>项目需求。</w:t>
      </w:r>
    </w:p>
    <w:p>
      <w:pPr>
        <w:snapToGrid w:val="0"/>
        <w:spacing w:line="480" w:lineRule="exact"/>
        <w:ind w:firstLine="480" w:firstLineChars="200"/>
        <w:rPr>
          <w:color w:val="auto"/>
          <w:sz w:val="24"/>
          <w:highlight w:val="none"/>
        </w:rPr>
      </w:pPr>
      <w:r>
        <w:rPr>
          <w:color w:val="auto"/>
          <w:sz w:val="24"/>
          <w:highlight w:val="none"/>
        </w:rPr>
        <w:t>合同履行期限：详见</w:t>
      </w:r>
      <w:r>
        <w:rPr>
          <w:color w:val="auto"/>
          <w:spacing w:val="7"/>
          <w:kern w:val="0"/>
          <w:sz w:val="24"/>
          <w:highlight w:val="none"/>
        </w:rPr>
        <w:t>第三部分</w:t>
      </w:r>
      <w:r>
        <w:rPr>
          <w:color w:val="auto"/>
          <w:sz w:val="24"/>
          <w:highlight w:val="none"/>
        </w:rPr>
        <w:t>项目需求。</w:t>
      </w:r>
    </w:p>
    <w:p>
      <w:pPr>
        <w:snapToGrid w:val="0"/>
        <w:spacing w:line="480" w:lineRule="exact"/>
        <w:ind w:firstLine="480" w:firstLineChars="200"/>
        <w:rPr>
          <w:color w:val="auto"/>
          <w:sz w:val="24"/>
          <w:highlight w:val="none"/>
        </w:rPr>
      </w:pPr>
      <w:r>
        <w:rPr>
          <w:color w:val="auto"/>
          <w:sz w:val="24"/>
          <w:highlight w:val="none"/>
        </w:rPr>
        <w:t>本项目</w:t>
      </w:r>
      <w:r>
        <w:rPr>
          <w:b/>
          <w:bCs/>
          <w:color w:val="auto"/>
          <w:sz w:val="24"/>
          <w:highlight w:val="none"/>
          <w:u w:val="single"/>
        </w:rPr>
        <w:t>不接受</w:t>
      </w:r>
      <w:r>
        <w:rPr>
          <w:color w:val="auto"/>
          <w:sz w:val="24"/>
          <w:highlight w:val="none"/>
        </w:rPr>
        <w:t>联合体</w:t>
      </w:r>
      <w:r>
        <w:rPr>
          <w:rFonts w:hint="eastAsia"/>
          <w:color w:val="auto"/>
          <w:sz w:val="24"/>
          <w:highlight w:val="none"/>
        </w:rPr>
        <w:t>响应</w:t>
      </w:r>
      <w:r>
        <w:rPr>
          <w:color w:val="auto"/>
          <w:sz w:val="24"/>
          <w:highlight w:val="none"/>
        </w:rPr>
        <w:t>。</w:t>
      </w:r>
    </w:p>
    <w:p>
      <w:pPr>
        <w:snapToGrid w:val="0"/>
        <w:spacing w:line="480" w:lineRule="exact"/>
        <w:ind w:firstLine="482" w:firstLineChars="200"/>
        <w:rPr>
          <w:b/>
          <w:color w:val="auto"/>
          <w:sz w:val="24"/>
          <w:highlight w:val="none"/>
        </w:rPr>
      </w:pPr>
      <w:r>
        <w:rPr>
          <w:b/>
          <w:color w:val="auto"/>
          <w:sz w:val="24"/>
          <w:highlight w:val="none"/>
        </w:rPr>
        <w:t>二、申请人的资格要求：</w:t>
      </w:r>
    </w:p>
    <w:p>
      <w:pPr>
        <w:snapToGrid w:val="0"/>
        <w:spacing w:line="480" w:lineRule="exact"/>
        <w:ind w:firstLine="480" w:firstLineChars="200"/>
        <w:rPr>
          <w:color w:val="auto"/>
          <w:sz w:val="24"/>
          <w:highlight w:val="none"/>
        </w:rPr>
      </w:pPr>
      <w:r>
        <w:rPr>
          <w:rFonts w:hint="eastAsia"/>
          <w:color w:val="auto"/>
          <w:sz w:val="24"/>
          <w:highlight w:val="none"/>
        </w:rPr>
        <w:t>1.供应商须为在中华人民共和国境内注册，具有独立承担民事责任能力的主体；具有良好的商业信誉和健全的财务会计制度；具有履行合同所必需的设备和专业技术能力；具有依法缴纳税收和社会保障资金的良好记录；参加采购活动前三年内，在经营活动中没有重大违法记录；</w:t>
      </w:r>
    </w:p>
    <w:p>
      <w:pPr>
        <w:snapToGrid w:val="0"/>
        <w:spacing w:line="480" w:lineRule="exact"/>
        <w:ind w:firstLine="480" w:firstLineChars="200"/>
        <w:rPr>
          <w:color w:val="auto"/>
          <w:sz w:val="24"/>
          <w:highlight w:val="none"/>
        </w:rPr>
      </w:pPr>
      <w:r>
        <w:rPr>
          <w:rFonts w:hint="eastAsia"/>
          <w:color w:val="auto"/>
          <w:sz w:val="24"/>
          <w:highlight w:val="none"/>
        </w:rPr>
        <w:t>2.未被“信用中国”网站（www.creditchina.gov.cn）列入失信被执行人、重大税收违法案件当事人名单、政府采购严重失信行为记录名单；</w:t>
      </w:r>
    </w:p>
    <w:p>
      <w:pPr>
        <w:snapToGrid w:val="0"/>
        <w:spacing w:line="480" w:lineRule="exact"/>
        <w:ind w:firstLine="480" w:firstLineChars="200"/>
        <w:rPr>
          <w:color w:val="auto"/>
          <w:sz w:val="24"/>
          <w:highlight w:val="none"/>
        </w:rPr>
      </w:pPr>
      <w:r>
        <w:rPr>
          <w:rFonts w:hint="eastAsia"/>
          <w:color w:val="auto"/>
          <w:sz w:val="24"/>
          <w:highlight w:val="none"/>
        </w:rPr>
        <w:t>3.本项目的特定资格要求：无</w:t>
      </w:r>
    </w:p>
    <w:p>
      <w:pPr>
        <w:snapToGrid w:val="0"/>
        <w:spacing w:line="480" w:lineRule="exact"/>
        <w:ind w:firstLine="482" w:firstLineChars="200"/>
        <w:rPr>
          <w:b/>
          <w:color w:val="auto"/>
          <w:sz w:val="24"/>
          <w:highlight w:val="none"/>
        </w:rPr>
      </w:pPr>
      <w:r>
        <w:rPr>
          <w:b/>
          <w:color w:val="auto"/>
          <w:sz w:val="24"/>
          <w:highlight w:val="none"/>
        </w:rPr>
        <w:t>三、获取</w:t>
      </w:r>
      <w:r>
        <w:rPr>
          <w:rFonts w:hint="eastAsia"/>
          <w:b/>
          <w:color w:val="auto"/>
          <w:sz w:val="24"/>
          <w:highlight w:val="none"/>
        </w:rPr>
        <w:t>采购</w:t>
      </w:r>
      <w:r>
        <w:rPr>
          <w:b/>
          <w:color w:val="auto"/>
          <w:sz w:val="24"/>
          <w:highlight w:val="none"/>
        </w:rPr>
        <w:t>文件</w:t>
      </w:r>
    </w:p>
    <w:p>
      <w:pPr>
        <w:snapToGrid w:val="0"/>
        <w:spacing w:line="480" w:lineRule="exact"/>
        <w:ind w:firstLine="480" w:firstLineChars="200"/>
        <w:rPr>
          <w:rFonts w:hint="eastAsia"/>
          <w:color w:val="auto"/>
          <w:sz w:val="24"/>
          <w:highlight w:val="none"/>
        </w:rPr>
      </w:pPr>
      <w:r>
        <w:rPr>
          <w:rFonts w:hint="eastAsia"/>
          <w:color w:val="auto"/>
          <w:sz w:val="24"/>
          <w:highlight w:val="none"/>
        </w:rPr>
        <w:t>凡有意参加采购活动者，请于</w:t>
      </w:r>
      <w:r>
        <w:rPr>
          <w:rFonts w:hint="eastAsia"/>
          <w:color w:val="auto"/>
          <w:sz w:val="24"/>
          <w:highlight w:val="none"/>
          <w:u w:val="single"/>
        </w:rPr>
        <w:t>202</w:t>
      </w:r>
      <w:r>
        <w:rPr>
          <w:rFonts w:hint="eastAsia"/>
          <w:color w:val="auto"/>
          <w:sz w:val="24"/>
          <w:highlight w:val="none"/>
          <w:u w:val="single"/>
          <w:lang w:val="en-US" w:eastAsia="zh-CN"/>
        </w:rPr>
        <w:t>4</w:t>
      </w:r>
      <w:r>
        <w:rPr>
          <w:rFonts w:hint="eastAsia"/>
          <w:color w:val="auto"/>
          <w:sz w:val="24"/>
          <w:highlight w:val="none"/>
          <w:u w:val="single"/>
        </w:rPr>
        <w:t>年</w:t>
      </w:r>
      <w:r>
        <w:rPr>
          <w:rFonts w:hint="eastAsia"/>
          <w:color w:val="auto"/>
          <w:sz w:val="24"/>
          <w:highlight w:val="none"/>
          <w:u w:val="single"/>
          <w:lang w:val="en-US" w:eastAsia="zh-CN"/>
        </w:rPr>
        <w:t>07</w:t>
      </w:r>
      <w:r>
        <w:rPr>
          <w:rFonts w:hint="eastAsia"/>
          <w:color w:val="auto"/>
          <w:sz w:val="24"/>
          <w:highlight w:val="none"/>
          <w:u w:val="single"/>
        </w:rPr>
        <w:t>月</w:t>
      </w:r>
      <w:r>
        <w:rPr>
          <w:rFonts w:hint="eastAsia"/>
          <w:color w:val="auto"/>
          <w:sz w:val="24"/>
          <w:highlight w:val="none"/>
          <w:u w:val="single"/>
          <w:lang w:val="en-US" w:eastAsia="zh-CN"/>
        </w:rPr>
        <w:t>02</w:t>
      </w:r>
      <w:r>
        <w:rPr>
          <w:rFonts w:hint="eastAsia"/>
          <w:color w:val="auto"/>
          <w:sz w:val="24"/>
          <w:highlight w:val="none"/>
          <w:u w:val="single"/>
        </w:rPr>
        <w:t>日</w:t>
      </w:r>
      <w:r>
        <w:rPr>
          <w:rFonts w:hint="eastAsia"/>
          <w:color w:val="auto"/>
          <w:sz w:val="24"/>
          <w:highlight w:val="none"/>
        </w:rPr>
        <w:t>17时30分00秒前，符合本项目资格要求的供应商请将有效的企业营业执照原件扫描件、法定代表人的身份证明（附带联系电话）或授权委托书（如有，附带联系电话）加盖公章将扫描件发送至</w:t>
      </w:r>
      <w:r>
        <w:rPr>
          <w:rFonts w:hint="eastAsia"/>
          <w:color w:val="auto"/>
          <w:sz w:val="24"/>
          <w:highlight w:val="none"/>
          <w:lang w:val="en-US" w:eastAsia="zh-CN"/>
        </w:rPr>
        <w:t>采购</w:t>
      </w:r>
      <w:r>
        <w:rPr>
          <w:rFonts w:hint="eastAsia"/>
          <w:color w:val="auto"/>
          <w:sz w:val="24"/>
          <w:highlight w:val="none"/>
        </w:rPr>
        <w:t>代理邮箱（690206903@qq.com）进行报名，并与</w:t>
      </w:r>
      <w:r>
        <w:rPr>
          <w:rFonts w:hint="eastAsia"/>
          <w:color w:val="auto"/>
          <w:sz w:val="24"/>
          <w:highlight w:val="none"/>
          <w:lang w:val="en-US" w:eastAsia="zh-CN"/>
        </w:rPr>
        <w:t>采购</w:t>
      </w:r>
      <w:r>
        <w:rPr>
          <w:rFonts w:hint="eastAsia"/>
          <w:color w:val="auto"/>
          <w:sz w:val="24"/>
          <w:highlight w:val="none"/>
        </w:rPr>
        <w:t>代理机构联系（联系方式：18068996360）确认报名是否成功，</w:t>
      </w:r>
      <w:r>
        <w:rPr>
          <w:rFonts w:hint="eastAsia"/>
          <w:color w:val="auto"/>
          <w:sz w:val="24"/>
          <w:highlight w:val="none"/>
          <w:lang w:val="en-US" w:eastAsia="zh-CN"/>
        </w:rPr>
        <w:t>采购人或采购代理机构向报名成功的供应商提供制作样本所需材料。</w:t>
      </w:r>
      <w:r>
        <w:rPr>
          <w:rFonts w:hint="eastAsia"/>
          <w:color w:val="auto"/>
          <w:sz w:val="24"/>
          <w:highlight w:val="none"/>
        </w:rPr>
        <w:t>如未主动联系，后果自负。未进行报名或未报名成功的单位，拒绝其参与本项目。</w:t>
      </w:r>
    </w:p>
    <w:p>
      <w:pPr>
        <w:snapToGrid w:val="0"/>
        <w:spacing w:line="480" w:lineRule="exact"/>
        <w:ind w:firstLine="482" w:firstLineChars="200"/>
        <w:rPr>
          <w:b/>
          <w:bCs/>
          <w:color w:val="auto"/>
          <w:sz w:val="24"/>
          <w:highlight w:val="none"/>
        </w:rPr>
      </w:pPr>
      <w:r>
        <w:rPr>
          <w:rFonts w:hint="eastAsia"/>
          <w:b/>
          <w:bCs/>
          <w:color w:val="auto"/>
          <w:sz w:val="24"/>
          <w:highlight w:val="none"/>
          <w:lang w:val="en-US" w:eastAsia="zh-CN"/>
        </w:rPr>
        <w:t>获取采购文件</w:t>
      </w:r>
      <w:r>
        <w:rPr>
          <w:b/>
          <w:bCs/>
          <w:color w:val="auto"/>
          <w:sz w:val="24"/>
          <w:highlight w:val="none"/>
        </w:rPr>
        <w:t>时间：</w:t>
      </w:r>
      <w:r>
        <w:rPr>
          <w:rFonts w:hint="eastAsia"/>
          <w:b/>
          <w:bCs/>
          <w:color w:val="auto"/>
          <w:sz w:val="24"/>
          <w:highlight w:val="none"/>
          <w:u w:val="single"/>
        </w:rPr>
        <w:t>2024</w:t>
      </w:r>
      <w:r>
        <w:rPr>
          <w:b/>
          <w:bCs/>
          <w:color w:val="auto"/>
          <w:sz w:val="24"/>
          <w:highlight w:val="none"/>
          <w:u w:val="single"/>
        </w:rPr>
        <w:t>年</w:t>
      </w:r>
      <w:r>
        <w:rPr>
          <w:rFonts w:hint="eastAsia"/>
          <w:b/>
          <w:bCs/>
          <w:color w:val="auto"/>
          <w:sz w:val="24"/>
          <w:highlight w:val="none"/>
          <w:u w:val="single"/>
          <w:lang w:val="en-US" w:eastAsia="zh-CN"/>
        </w:rPr>
        <w:t>06</w:t>
      </w:r>
      <w:r>
        <w:rPr>
          <w:b/>
          <w:bCs/>
          <w:color w:val="auto"/>
          <w:sz w:val="24"/>
          <w:highlight w:val="none"/>
          <w:u w:val="single"/>
        </w:rPr>
        <w:t>月</w:t>
      </w:r>
      <w:r>
        <w:rPr>
          <w:rFonts w:hint="eastAsia"/>
          <w:b/>
          <w:bCs/>
          <w:color w:val="auto"/>
          <w:sz w:val="24"/>
          <w:highlight w:val="none"/>
          <w:u w:val="single"/>
          <w:lang w:val="en-US" w:eastAsia="zh-CN"/>
        </w:rPr>
        <w:t>26</w:t>
      </w:r>
      <w:r>
        <w:rPr>
          <w:b/>
          <w:bCs/>
          <w:color w:val="auto"/>
          <w:sz w:val="24"/>
          <w:highlight w:val="none"/>
          <w:u w:val="single"/>
        </w:rPr>
        <w:t>日至</w:t>
      </w:r>
      <w:r>
        <w:rPr>
          <w:rFonts w:hint="eastAsia"/>
          <w:b/>
          <w:bCs/>
          <w:color w:val="auto"/>
          <w:sz w:val="24"/>
          <w:highlight w:val="none"/>
          <w:u w:val="single"/>
        </w:rPr>
        <w:t>2024</w:t>
      </w:r>
      <w:r>
        <w:rPr>
          <w:b/>
          <w:bCs/>
          <w:color w:val="auto"/>
          <w:sz w:val="24"/>
          <w:highlight w:val="none"/>
          <w:u w:val="single"/>
        </w:rPr>
        <w:t>年</w:t>
      </w:r>
      <w:r>
        <w:rPr>
          <w:rFonts w:hint="eastAsia"/>
          <w:b/>
          <w:bCs/>
          <w:color w:val="auto"/>
          <w:sz w:val="24"/>
          <w:highlight w:val="none"/>
          <w:u w:val="single"/>
          <w:lang w:val="en-US" w:eastAsia="zh-CN"/>
        </w:rPr>
        <w:t>07</w:t>
      </w:r>
      <w:r>
        <w:rPr>
          <w:b/>
          <w:bCs/>
          <w:color w:val="auto"/>
          <w:sz w:val="24"/>
          <w:highlight w:val="none"/>
          <w:u w:val="single"/>
        </w:rPr>
        <w:t>月</w:t>
      </w:r>
      <w:r>
        <w:rPr>
          <w:rFonts w:hint="eastAsia"/>
          <w:b/>
          <w:bCs/>
          <w:color w:val="auto"/>
          <w:sz w:val="24"/>
          <w:highlight w:val="none"/>
          <w:u w:val="single"/>
          <w:lang w:val="en-US" w:eastAsia="zh-CN"/>
        </w:rPr>
        <w:t>02</w:t>
      </w:r>
      <w:r>
        <w:rPr>
          <w:b/>
          <w:bCs/>
          <w:color w:val="auto"/>
          <w:sz w:val="24"/>
          <w:highlight w:val="none"/>
          <w:u w:val="single"/>
        </w:rPr>
        <w:t>日</w:t>
      </w:r>
      <w:r>
        <w:rPr>
          <w:b/>
          <w:bCs/>
          <w:color w:val="auto"/>
          <w:sz w:val="24"/>
          <w:highlight w:val="none"/>
        </w:rPr>
        <w:t>。</w:t>
      </w:r>
    </w:p>
    <w:p>
      <w:pPr>
        <w:snapToGrid w:val="0"/>
        <w:spacing w:line="480" w:lineRule="exact"/>
        <w:ind w:firstLine="482" w:firstLineChars="200"/>
        <w:rPr>
          <w:b/>
          <w:bCs/>
          <w:color w:val="auto"/>
          <w:sz w:val="24"/>
          <w:highlight w:val="none"/>
        </w:rPr>
      </w:pPr>
      <w:r>
        <w:rPr>
          <w:rFonts w:hint="eastAsia"/>
          <w:b/>
          <w:bCs/>
          <w:color w:val="auto"/>
          <w:sz w:val="24"/>
          <w:highlight w:val="none"/>
          <w:lang w:val="en-US" w:eastAsia="zh-CN"/>
        </w:rPr>
        <w:t>获取采购文件</w:t>
      </w:r>
      <w:r>
        <w:rPr>
          <w:rFonts w:hint="eastAsia"/>
          <w:b/>
          <w:bCs/>
          <w:color w:val="auto"/>
          <w:sz w:val="24"/>
          <w:highlight w:val="none"/>
        </w:rPr>
        <w:t>地点：南通市公共资源交易网、南通网</w:t>
      </w:r>
    </w:p>
    <w:p>
      <w:pPr>
        <w:snapToGrid w:val="0"/>
        <w:spacing w:line="480" w:lineRule="exact"/>
        <w:ind w:firstLine="482" w:firstLineChars="200"/>
        <w:rPr>
          <w:b/>
          <w:bCs/>
          <w:color w:val="auto"/>
          <w:sz w:val="24"/>
          <w:highlight w:val="none"/>
        </w:rPr>
      </w:pPr>
      <w:r>
        <w:rPr>
          <w:rFonts w:hint="eastAsia"/>
          <w:b/>
          <w:bCs/>
          <w:color w:val="auto"/>
          <w:sz w:val="24"/>
          <w:highlight w:val="none"/>
          <w:lang w:val="en-US" w:eastAsia="zh-CN"/>
        </w:rPr>
        <w:t>获取采购文件</w:t>
      </w:r>
      <w:r>
        <w:rPr>
          <w:rFonts w:hint="eastAsia"/>
          <w:b/>
          <w:bCs/>
          <w:color w:val="auto"/>
          <w:sz w:val="24"/>
          <w:highlight w:val="none"/>
        </w:rPr>
        <w:t>方式：自行下载</w:t>
      </w:r>
    </w:p>
    <w:p>
      <w:pPr>
        <w:snapToGrid w:val="0"/>
        <w:spacing w:line="480" w:lineRule="exact"/>
        <w:ind w:firstLine="482" w:firstLineChars="200"/>
        <w:rPr>
          <w:b/>
          <w:bCs/>
          <w:color w:val="auto"/>
          <w:sz w:val="24"/>
          <w:highlight w:val="none"/>
        </w:rPr>
      </w:pPr>
      <w:r>
        <w:rPr>
          <w:b/>
          <w:bCs/>
          <w:color w:val="auto"/>
          <w:sz w:val="24"/>
          <w:highlight w:val="none"/>
        </w:rPr>
        <w:t>售价：</w:t>
      </w:r>
      <w:r>
        <w:rPr>
          <w:rFonts w:hint="eastAsia"/>
          <w:b/>
          <w:bCs/>
          <w:color w:val="auto"/>
          <w:sz w:val="24"/>
          <w:highlight w:val="none"/>
        </w:rPr>
        <w:t>免费。</w:t>
      </w:r>
    </w:p>
    <w:p>
      <w:pPr>
        <w:snapToGrid w:val="0"/>
        <w:spacing w:line="480" w:lineRule="exact"/>
        <w:ind w:firstLine="482" w:firstLineChars="200"/>
        <w:rPr>
          <w:b/>
          <w:color w:val="auto"/>
          <w:sz w:val="24"/>
          <w:highlight w:val="none"/>
        </w:rPr>
      </w:pPr>
      <w:r>
        <w:rPr>
          <w:b/>
          <w:color w:val="auto"/>
          <w:sz w:val="24"/>
          <w:highlight w:val="none"/>
        </w:rPr>
        <w:t>四、</w:t>
      </w:r>
      <w:r>
        <w:rPr>
          <w:rFonts w:hint="eastAsia"/>
          <w:b/>
          <w:color w:val="auto"/>
          <w:sz w:val="24"/>
          <w:highlight w:val="none"/>
        </w:rPr>
        <w:t>响应</w:t>
      </w:r>
      <w:r>
        <w:rPr>
          <w:b/>
          <w:color w:val="auto"/>
          <w:sz w:val="24"/>
          <w:highlight w:val="none"/>
        </w:rPr>
        <w:t>文件</w:t>
      </w:r>
      <w:r>
        <w:rPr>
          <w:rFonts w:hint="eastAsia"/>
          <w:b/>
          <w:color w:val="auto"/>
          <w:sz w:val="24"/>
          <w:highlight w:val="none"/>
        </w:rPr>
        <w:t>提交</w:t>
      </w:r>
    </w:p>
    <w:p>
      <w:pPr>
        <w:snapToGrid w:val="0"/>
        <w:spacing w:line="480" w:lineRule="exact"/>
        <w:ind w:firstLine="480" w:firstLineChars="200"/>
        <w:rPr>
          <w:color w:val="auto"/>
          <w:sz w:val="24"/>
          <w:highlight w:val="none"/>
        </w:rPr>
      </w:pPr>
      <w:r>
        <w:rPr>
          <w:rFonts w:hint="eastAsia"/>
          <w:color w:val="auto"/>
          <w:sz w:val="24"/>
          <w:highlight w:val="none"/>
          <w:lang w:val="en-US" w:eastAsia="zh-CN"/>
        </w:rPr>
        <w:t>响应文件递交的</w:t>
      </w:r>
      <w:r>
        <w:rPr>
          <w:rFonts w:hint="eastAsia"/>
          <w:color w:val="auto"/>
          <w:sz w:val="24"/>
          <w:highlight w:val="none"/>
        </w:rPr>
        <w:t>截止时间：</w:t>
      </w:r>
      <w:r>
        <w:rPr>
          <w:rFonts w:hint="eastAsia"/>
          <w:b/>
          <w:bCs/>
          <w:color w:val="auto"/>
          <w:sz w:val="24"/>
          <w:highlight w:val="none"/>
          <w:u w:val="single"/>
        </w:rPr>
        <w:t>2024</w:t>
      </w:r>
      <w:r>
        <w:rPr>
          <w:b/>
          <w:bCs/>
          <w:color w:val="auto"/>
          <w:sz w:val="24"/>
          <w:highlight w:val="none"/>
          <w:u w:val="single"/>
        </w:rPr>
        <w:t>年</w:t>
      </w:r>
      <w:r>
        <w:rPr>
          <w:rFonts w:hint="eastAsia"/>
          <w:b/>
          <w:bCs/>
          <w:color w:val="auto"/>
          <w:sz w:val="24"/>
          <w:highlight w:val="none"/>
          <w:u w:val="single"/>
          <w:lang w:val="en-US" w:eastAsia="zh-CN"/>
        </w:rPr>
        <w:t>07</w:t>
      </w:r>
      <w:r>
        <w:rPr>
          <w:b/>
          <w:bCs/>
          <w:color w:val="auto"/>
          <w:sz w:val="24"/>
          <w:highlight w:val="none"/>
          <w:u w:val="single"/>
        </w:rPr>
        <w:t>月</w:t>
      </w:r>
      <w:r>
        <w:rPr>
          <w:rFonts w:hint="eastAsia"/>
          <w:b/>
          <w:bCs/>
          <w:color w:val="auto"/>
          <w:sz w:val="24"/>
          <w:highlight w:val="none"/>
          <w:u w:val="single"/>
          <w:lang w:val="en-US" w:eastAsia="zh-CN"/>
        </w:rPr>
        <w:t>09</w:t>
      </w:r>
      <w:r>
        <w:rPr>
          <w:b/>
          <w:bCs/>
          <w:color w:val="auto"/>
          <w:sz w:val="24"/>
          <w:highlight w:val="none"/>
          <w:u w:val="single"/>
        </w:rPr>
        <w:t>日</w:t>
      </w:r>
      <w:r>
        <w:rPr>
          <w:rFonts w:hint="eastAsia"/>
          <w:b/>
          <w:bCs/>
          <w:color w:val="auto"/>
          <w:sz w:val="24"/>
          <w:highlight w:val="none"/>
          <w:u w:val="single"/>
          <w:lang w:val="en-US" w:eastAsia="zh-CN"/>
        </w:rPr>
        <w:t xml:space="preserve"> 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rFonts w:hint="eastAsia"/>
          <w:b/>
          <w:bCs/>
          <w:color w:val="auto"/>
          <w:sz w:val="24"/>
          <w:highlight w:val="none"/>
          <w:u w:val="single"/>
          <w:lang w:val="en-US" w:eastAsia="zh-CN"/>
        </w:rPr>
        <w:t>00</w:t>
      </w:r>
      <w:r>
        <w:rPr>
          <w:rFonts w:hint="eastAsia"/>
          <w:b/>
          <w:bCs/>
          <w:color w:val="auto"/>
          <w:sz w:val="24"/>
          <w:highlight w:val="none"/>
          <w:u w:val="single"/>
        </w:rPr>
        <w:t>秒</w:t>
      </w:r>
      <w:r>
        <w:rPr>
          <w:color w:val="auto"/>
          <w:sz w:val="24"/>
          <w:highlight w:val="none"/>
        </w:rPr>
        <w:t>（北京时间）</w:t>
      </w:r>
      <w:r>
        <w:rPr>
          <w:rFonts w:hint="eastAsia"/>
          <w:color w:val="auto"/>
          <w:sz w:val="24"/>
          <w:highlight w:val="none"/>
        </w:rPr>
        <w:t>，</w:t>
      </w:r>
      <w:r>
        <w:rPr>
          <w:color w:val="auto"/>
          <w:sz w:val="24"/>
          <w:highlight w:val="none"/>
        </w:rPr>
        <w:t>逾时拒绝接收</w:t>
      </w:r>
      <w:r>
        <w:rPr>
          <w:rFonts w:hint="eastAsia"/>
          <w:color w:val="auto"/>
          <w:sz w:val="24"/>
          <w:highlight w:val="none"/>
        </w:rPr>
        <w:t>磋商</w:t>
      </w:r>
      <w:r>
        <w:rPr>
          <w:color w:val="auto"/>
          <w:sz w:val="24"/>
          <w:highlight w:val="none"/>
        </w:rPr>
        <w:t>响应文件</w:t>
      </w:r>
      <w:r>
        <w:rPr>
          <w:rFonts w:hint="eastAsia"/>
          <w:color w:val="auto"/>
          <w:sz w:val="24"/>
          <w:highlight w:val="none"/>
        </w:rPr>
        <w:t>。</w:t>
      </w:r>
    </w:p>
    <w:p>
      <w:pPr>
        <w:snapToGrid w:val="0"/>
        <w:spacing w:line="480" w:lineRule="exact"/>
        <w:ind w:firstLine="480" w:firstLineChars="200"/>
        <w:rPr>
          <w:color w:val="auto"/>
          <w:sz w:val="24"/>
          <w:highlight w:val="none"/>
        </w:rPr>
      </w:pPr>
      <w:r>
        <w:rPr>
          <w:rFonts w:hint="eastAsia"/>
          <w:color w:val="auto"/>
          <w:sz w:val="24"/>
          <w:highlight w:val="none"/>
          <w:lang w:val="en-US" w:eastAsia="zh-CN"/>
        </w:rPr>
        <w:t>响应文件递交的</w:t>
      </w:r>
      <w:r>
        <w:rPr>
          <w:color w:val="auto"/>
          <w:sz w:val="24"/>
          <w:highlight w:val="none"/>
        </w:rPr>
        <w:t>地点：</w:t>
      </w:r>
      <w:r>
        <w:rPr>
          <w:rFonts w:hint="eastAsia"/>
          <w:b/>
          <w:bCs/>
          <w:color w:val="auto"/>
          <w:sz w:val="24"/>
          <w:highlight w:val="none"/>
          <w:u w:val="single"/>
        </w:rPr>
        <w:t>南通世纪大道8号，南通报业大厦2415会议室</w:t>
      </w:r>
      <w:r>
        <w:rPr>
          <w:color w:val="auto"/>
          <w:sz w:val="24"/>
          <w:highlight w:val="none"/>
        </w:rPr>
        <w:t>，如有变动另行通知。</w:t>
      </w:r>
    </w:p>
    <w:p>
      <w:pPr>
        <w:snapToGrid w:val="0"/>
        <w:spacing w:line="480" w:lineRule="exact"/>
        <w:ind w:firstLine="482" w:firstLineChars="200"/>
        <w:rPr>
          <w:b/>
          <w:color w:val="auto"/>
          <w:sz w:val="24"/>
          <w:highlight w:val="none"/>
        </w:rPr>
      </w:pPr>
      <w:r>
        <w:rPr>
          <w:rFonts w:hint="eastAsia"/>
          <w:b/>
          <w:color w:val="auto"/>
          <w:sz w:val="24"/>
          <w:highlight w:val="none"/>
        </w:rPr>
        <w:t>五、开启</w:t>
      </w:r>
    </w:p>
    <w:p>
      <w:pPr>
        <w:snapToGrid w:val="0"/>
        <w:spacing w:line="480" w:lineRule="exact"/>
        <w:ind w:firstLine="480" w:firstLineChars="200"/>
        <w:rPr>
          <w:color w:val="auto"/>
          <w:sz w:val="24"/>
          <w:highlight w:val="none"/>
        </w:rPr>
      </w:pPr>
      <w:r>
        <w:rPr>
          <w:rFonts w:hint="eastAsia"/>
          <w:color w:val="auto"/>
          <w:sz w:val="24"/>
          <w:highlight w:val="none"/>
        </w:rPr>
        <w:t>时间：</w:t>
      </w:r>
      <w:r>
        <w:rPr>
          <w:rFonts w:hint="eastAsia"/>
          <w:b/>
          <w:bCs/>
          <w:color w:val="auto"/>
          <w:sz w:val="24"/>
          <w:highlight w:val="none"/>
          <w:u w:val="single"/>
        </w:rPr>
        <w:t>2024</w:t>
      </w:r>
      <w:r>
        <w:rPr>
          <w:b/>
          <w:bCs/>
          <w:color w:val="auto"/>
          <w:sz w:val="24"/>
          <w:highlight w:val="none"/>
          <w:u w:val="single"/>
        </w:rPr>
        <w:t>年</w:t>
      </w:r>
      <w:r>
        <w:rPr>
          <w:rFonts w:hint="eastAsia"/>
          <w:b/>
          <w:bCs/>
          <w:color w:val="auto"/>
          <w:sz w:val="24"/>
          <w:highlight w:val="none"/>
          <w:u w:val="single"/>
          <w:lang w:val="en-US" w:eastAsia="zh-CN"/>
        </w:rPr>
        <w:t>07</w:t>
      </w:r>
      <w:r>
        <w:rPr>
          <w:b/>
          <w:bCs/>
          <w:color w:val="auto"/>
          <w:sz w:val="24"/>
          <w:highlight w:val="none"/>
          <w:u w:val="single"/>
        </w:rPr>
        <w:t>月</w:t>
      </w:r>
      <w:r>
        <w:rPr>
          <w:rFonts w:hint="eastAsia"/>
          <w:b/>
          <w:bCs/>
          <w:color w:val="auto"/>
          <w:sz w:val="24"/>
          <w:highlight w:val="none"/>
          <w:u w:val="single"/>
          <w:lang w:val="en-US" w:eastAsia="zh-CN"/>
        </w:rPr>
        <w:t>09</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color w:val="auto"/>
          <w:sz w:val="24"/>
          <w:highlight w:val="none"/>
        </w:rPr>
        <w:t>（北京时间）</w:t>
      </w:r>
    </w:p>
    <w:p>
      <w:pPr>
        <w:snapToGrid w:val="0"/>
        <w:spacing w:line="480" w:lineRule="exact"/>
        <w:ind w:firstLine="480" w:firstLineChars="200"/>
        <w:rPr>
          <w:color w:val="auto"/>
          <w:sz w:val="24"/>
          <w:highlight w:val="none"/>
        </w:rPr>
      </w:pPr>
      <w:r>
        <w:rPr>
          <w:rFonts w:hint="eastAsia"/>
          <w:color w:val="auto"/>
          <w:sz w:val="24"/>
          <w:highlight w:val="none"/>
        </w:rPr>
        <w:t>地点：</w:t>
      </w:r>
      <w:r>
        <w:rPr>
          <w:rFonts w:hint="eastAsia"/>
          <w:b/>
          <w:bCs/>
          <w:color w:val="auto"/>
          <w:sz w:val="24"/>
          <w:highlight w:val="none"/>
          <w:u w:val="single"/>
        </w:rPr>
        <w:t>南通世纪大道8号，南通报业大厦2415会议室</w:t>
      </w:r>
      <w:r>
        <w:rPr>
          <w:color w:val="auto"/>
          <w:sz w:val="24"/>
          <w:highlight w:val="none"/>
        </w:rPr>
        <w:t>。</w:t>
      </w:r>
    </w:p>
    <w:p>
      <w:pPr>
        <w:snapToGrid w:val="0"/>
        <w:spacing w:line="480" w:lineRule="exact"/>
        <w:ind w:firstLine="482" w:firstLineChars="200"/>
        <w:rPr>
          <w:b/>
          <w:color w:val="auto"/>
          <w:sz w:val="24"/>
          <w:highlight w:val="none"/>
        </w:rPr>
      </w:pPr>
      <w:r>
        <w:rPr>
          <w:rFonts w:hint="eastAsia"/>
          <w:b/>
          <w:color w:val="auto"/>
          <w:sz w:val="24"/>
          <w:highlight w:val="none"/>
        </w:rPr>
        <w:t>六</w:t>
      </w:r>
      <w:r>
        <w:rPr>
          <w:b/>
          <w:color w:val="auto"/>
          <w:sz w:val="24"/>
          <w:highlight w:val="none"/>
        </w:rPr>
        <w:t>、公告期限</w:t>
      </w:r>
    </w:p>
    <w:p>
      <w:pPr>
        <w:snapToGrid w:val="0"/>
        <w:spacing w:line="480" w:lineRule="exact"/>
        <w:ind w:firstLine="480" w:firstLineChars="200"/>
        <w:rPr>
          <w:color w:val="auto"/>
          <w:sz w:val="24"/>
          <w:highlight w:val="none"/>
        </w:rPr>
      </w:pPr>
      <w:r>
        <w:rPr>
          <w:color w:val="auto"/>
          <w:sz w:val="24"/>
          <w:highlight w:val="none"/>
        </w:rPr>
        <w:t>自本公告发布之日起</w:t>
      </w:r>
      <w:r>
        <w:rPr>
          <w:rFonts w:hint="eastAsia"/>
          <w:color w:val="auto"/>
          <w:sz w:val="24"/>
          <w:highlight w:val="none"/>
        </w:rPr>
        <w:t>3</w:t>
      </w:r>
      <w:r>
        <w:rPr>
          <w:color w:val="auto"/>
          <w:sz w:val="24"/>
          <w:highlight w:val="none"/>
        </w:rPr>
        <w:t>个工作日。</w:t>
      </w:r>
    </w:p>
    <w:p>
      <w:pPr>
        <w:snapToGrid w:val="0"/>
        <w:spacing w:line="480" w:lineRule="exact"/>
        <w:ind w:firstLine="482" w:firstLineChars="200"/>
        <w:rPr>
          <w:b/>
          <w:color w:val="auto"/>
          <w:sz w:val="24"/>
          <w:highlight w:val="none"/>
        </w:rPr>
      </w:pPr>
      <w:r>
        <w:rPr>
          <w:rFonts w:hint="eastAsia"/>
          <w:b/>
          <w:color w:val="auto"/>
          <w:sz w:val="24"/>
          <w:highlight w:val="none"/>
        </w:rPr>
        <w:t>七</w:t>
      </w:r>
      <w:r>
        <w:rPr>
          <w:b/>
          <w:color w:val="auto"/>
          <w:sz w:val="24"/>
          <w:highlight w:val="none"/>
        </w:rPr>
        <w:t>、其他补充事宜</w:t>
      </w:r>
    </w:p>
    <w:p>
      <w:pPr>
        <w:snapToGrid w:val="0"/>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w:t>
      </w:r>
      <w:r>
        <w:rPr>
          <w:rFonts w:hint="eastAsia"/>
          <w:color w:val="auto"/>
          <w:sz w:val="24"/>
          <w:highlight w:val="none"/>
          <w:lang w:val="en-US" w:eastAsia="zh-CN"/>
        </w:rPr>
        <w:t>磋商</w:t>
      </w:r>
      <w:r>
        <w:rPr>
          <w:color w:val="auto"/>
          <w:sz w:val="24"/>
          <w:highlight w:val="none"/>
        </w:rPr>
        <w:t>保证金：免收</w:t>
      </w:r>
    </w:p>
    <w:p>
      <w:pPr>
        <w:snapToGrid w:val="0"/>
        <w:spacing w:line="480" w:lineRule="exact"/>
        <w:ind w:firstLine="480" w:firstLineChars="200"/>
        <w:rPr>
          <w:b/>
          <w:color w:val="auto"/>
          <w:sz w:val="24"/>
          <w:highlight w:val="none"/>
        </w:rPr>
      </w:pPr>
      <w:r>
        <w:rPr>
          <w:color w:val="auto"/>
          <w:sz w:val="24"/>
          <w:highlight w:val="none"/>
        </w:rPr>
        <w:t>2</w:t>
      </w:r>
      <w:r>
        <w:rPr>
          <w:rFonts w:hint="eastAsia"/>
          <w:color w:val="auto"/>
          <w:sz w:val="24"/>
          <w:highlight w:val="none"/>
        </w:rPr>
        <w:t>.</w:t>
      </w:r>
      <w:r>
        <w:rPr>
          <w:color w:val="auto"/>
          <w:sz w:val="24"/>
          <w:highlight w:val="none"/>
        </w:rPr>
        <w:t>项目</w:t>
      </w:r>
      <w:r>
        <w:rPr>
          <w:rFonts w:hint="eastAsia"/>
          <w:color w:val="auto"/>
          <w:sz w:val="24"/>
          <w:highlight w:val="none"/>
        </w:rPr>
        <w:t>磋商</w:t>
      </w:r>
      <w:r>
        <w:rPr>
          <w:color w:val="auto"/>
          <w:sz w:val="24"/>
          <w:highlight w:val="none"/>
        </w:rPr>
        <w:t>活动模式：</w:t>
      </w:r>
      <w:r>
        <w:rPr>
          <w:bCs/>
          <w:color w:val="auto"/>
          <w:sz w:val="24"/>
          <w:highlight w:val="none"/>
        </w:rPr>
        <w:t>现场模式</w:t>
      </w:r>
    </w:p>
    <w:p>
      <w:pPr>
        <w:snapToGrid w:val="0"/>
        <w:spacing w:line="480" w:lineRule="exact"/>
        <w:ind w:firstLine="480" w:firstLineChars="200"/>
        <w:rPr>
          <w:color w:val="auto"/>
          <w:sz w:val="24"/>
          <w:highlight w:val="none"/>
        </w:rPr>
      </w:pPr>
      <w:r>
        <w:rPr>
          <w:rFonts w:hint="eastAsia"/>
          <w:color w:val="auto"/>
          <w:sz w:val="24"/>
          <w:highlight w:val="none"/>
        </w:rPr>
        <w:t>3.</w:t>
      </w:r>
      <w:r>
        <w:rPr>
          <w:color w:val="auto"/>
          <w:sz w:val="24"/>
          <w:highlight w:val="none"/>
        </w:rPr>
        <w:t>对项目需求部分（供应商其他资格要求、项目需求、评分标准）的询问、质疑请向采购人提出，由采购人负责答复；对项目</w:t>
      </w:r>
      <w:r>
        <w:rPr>
          <w:rFonts w:hint="eastAsia"/>
          <w:color w:val="auto"/>
          <w:sz w:val="24"/>
          <w:highlight w:val="none"/>
        </w:rPr>
        <w:t>采购</w:t>
      </w:r>
      <w:r>
        <w:rPr>
          <w:color w:val="auto"/>
          <w:sz w:val="24"/>
          <w:highlight w:val="none"/>
        </w:rPr>
        <w:t>文件</w:t>
      </w:r>
      <w:r>
        <w:rPr>
          <w:rFonts w:hint="eastAsia"/>
          <w:color w:val="auto"/>
          <w:sz w:val="24"/>
          <w:highlight w:val="none"/>
        </w:rPr>
        <w:t>其他部分</w:t>
      </w:r>
      <w:r>
        <w:rPr>
          <w:color w:val="auto"/>
          <w:sz w:val="24"/>
          <w:highlight w:val="none"/>
        </w:rPr>
        <w:t>的询问请向</w:t>
      </w:r>
      <w:r>
        <w:rPr>
          <w:rFonts w:hint="eastAsia"/>
          <w:color w:val="auto"/>
          <w:sz w:val="24"/>
          <w:highlight w:val="none"/>
        </w:rPr>
        <w:t>采购</w:t>
      </w:r>
      <w:r>
        <w:rPr>
          <w:color w:val="auto"/>
          <w:sz w:val="24"/>
          <w:highlight w:val="none"/>
        </w:rPr>
        <w:t>人或项目</w:t>
      </w:r>
      <w:r>
        <w:rPr>
          <w:rFonts w:hint="eastAsia"/>
          <w:color w:val="auto"/>
          <w:sz w:val="24"/>
          <w:highlight w:val="none"/>
        </w:rPr>
        <w:t>联系</w:t>
      </w:r>
      <w:r>
        <w:rPr>
          <w:color w:val="auto"/>
          <w:sz w:val="24"/>
          <w:highlight w:val="none"/>
        </w:rPr>
        <w:t>人提出。</w:t>
      </w:r>
    </w:p>
    <w:p>
      <w:pPr>
        <w:snapToGrid w:val="0"/>
        <w:spacing w:line="480" w:lineRule="exact"/>
        <w:ind w:firstLine="480" w:firstLineChars="200"/>
        <w:rPr>
          <w:color w:val="auto"/>
          <w:sz w:val="24"/>
          <w:highlight w:val="none"/>
        </w:rPr>
      </w:pPr>
      <w:r>
        <w:rPr>
          <w:rFonts w:hint="eastAsia"/>
          <w:color w:val="auto"/>
          <w:sz w:val="24"/>
          <w:highlight w:val="none"/>
        </w:rPr>
        <w:t>4.</w:t>
      </w:r>
      <w:r>
        <w:rPr>
          <w:color w:val="auto"/>
          <w:sz w:val="24"/>
          <w:highlight w:val="none"/>
        </w:rPr>
        <w:t>供应商应依照规定提交各类声明函、承诺函，不再同时提供原件备查或提供有关部门出具的相关证明文件。但成交供应商，应做好提交声明函、承诺</w:t>
      </w:r>
      <w:r>
        <w:rPr>
          <w:rFonts w:hint="eastAsia"/>
          <w:color w:val="auto"/>
          <w:sz w:val="24"/>
          <w:highlight w:val="none"/>
        </w:rPr>
        <w:t>函等</w:t>
      </w:r>
      <w:r>
        <w:rPr>
          <w:color w:val="auto"/>
          <w:sz w:val="24"/>
          <w:highlight w:val="none"/>
        </w:rPr>
        <w:t>相应原件的核查准备；核查后发现虚假或违背承诺的，依照相关法律法规规定处理。</w:t>
      </w:r>
    </w:p>
    <w:p>
      <w:pPr>
        <w:snapToGrid w:val="0"/>
        <w:spacing w:line="480" w:lineRule="exact"/>
        <w:ind w:firstLine="482" w:firstLineChars="200"/>
        <w:rPr>
          <w:b/>
          <w:color w:val="auto"/>
          <w:sz w:val="24"/>
          <w:highlight w:val="none"/>
        </w:rPr>
      </w:pPr>
      <w:r>
        <w:rPr>
          <w:rFonts w:hint="eastAsia"/>
          <w:b/>
          <w:color w:val="auto"/>
          <w:sz w:val="24"/>
          <w:highlight w:val="none"/>
        </w:rPr>
        <w:t>八</w:t>
      </w:r>
      <w:r>
        <w:rPr>
          <w:b/>
          <w:color w:val="auto"/>
          <w:sz w:val="24"/>
          <w:highlight w:val="none"/>
        </w:rPr>
        <w:t>、</w:t>
      </w:r>
      <w:r>
        <w:rPr>
          <w:rFonts w:hint="eastAsia"/>
          <w:b/>
          <w:color w:val="auto"/>
          <w:sz w:val="24"/>
          <w:highlight w:val="none"/>
        </w:rPr>
        <w:t>凡</w:t>
      </w:r>
      <w:r>
        <w:rPr>
          <w:b/>
          <w:color w:val="auto"/>
          <w:sz w:val="24"/>
          <w:highlight w:val="none"/>
        </w:rPr>
        <w:t>对本次</w:t>
      </w:r>
      <w:r>
        <w:rPr>
          <w:rFonts w:hint="eastAsia"/>
          <w:b/>
          <w:color w:val="auto"/>
          <w:sz w:val="24"/>
          <w:highlight w:val="none"/>
        </w:rPr>
        <w:t>采购</w:t>
      </w:r>
      <w:r>
        <w:rPr>
          <w:b/>
          <w:color w:val="auto"/>
          <w:sz w:val="24"/>
          <w:highlight w:val="none"/>
        </w:rPr>
        <w:t>提出询问，请按以下方式联系。</w:t>
      </w:r>
    </w:p>
    <w:bookmarkEnd w:id="0"/>
    <w:p>
      <w:pPr>
        <w:snapToGrid w:val="0"/>
        <w:spacing w:line="480" w:lineRule="exact"/>
        <w:ind w:firstLine="480" w:firstLineChars="200"/>
        <w:rPr>
          <w:color w:val="auto"/>
          <w:sz w:val="24"/>
          <w:highlight w:val="none"/>
        </w:rPr>
      </w:pPr>
      <w:r>
        <w:rPr>
          <w:color w:val="auto"/>
          <w:sz w:val="24"/>
          <w:highlight w:val="none"/>
        </w:rPr>
        <w:t>1. 采购人信息</w:t>
      </w:r>
    </w:p>
    <w:p>
      <w:pPr>
        <w:snapToGrid w:val="0"/>
        <w:spacing w:line="480" w:lineRule="exact"/>
        <w:ind w:firstLine="480" w:firstLineChars="200"/>
        <w:rPr>
          <w:color w:val="auto"/>
          <w:sz w:val="24"/>
          <w:highlight w:val="none"/>
          <w:u w:val="single"/>
        </w:rPr>
      </w:pPr>
      <w:r>
        <w:rPr>
          <w:color w:val="auto"/>
          <w:sz w:val="24"/>
          <w:highlight w:val="none"/>
        </w:rPr>
        <w:t xml:space="preserve">名 </w:t>
      </w:r>
      <w:r>
        <w:rPr>
          <w:rFonts w:hint="eastAsia"/>
          <w:color w:val="auto"/>
          <w:sz w:val="24"/>
          <w:highlight w:val="none"/>
          <w:lang w:val="en-US" w:eastAsia="zh-CN"/>
        </w:rPr>
        <w:t xml:space="preserve">   </w:t>
      </w:r>
      <w:r>
        <w:rPr>
          <w:color w:val="auto"/>
          <w:sz w:val="24"/>
          <w:highlight w:val="none"/>
        </w:rPr>
        <w:t>称：</w:t>
      </w:r>
      <w:r>
        <w:rPr>
          <w:rFonts w:hint="eastAsia"/>
          <w:color w:val="auto"/>
          <w:sz w:val="24"/>
          <w:highlight w:val="none"/>
        </w:rPr>
        <w:t>南通日报社</w:t>
      </w:r>
    </w:p>
    <w:p>
      <w:pPr>
        <w:adjustRightInd w:val="0"/>
        <w:snapToGrid w:val="0"/>
        <w:spacing w:line="480" w:lineRule="exact"/>
        <w:ind w:firstLine="480" w:firstLineChars="200"/>
        <w:rPr>
          <w:color w:val="auto"/>
          <w:sz w:val="24"/>
          <w:highlight w:val="none"/>
        </w:rPr>
      </w:pPr>
      <w:r>
        <w:rPr>
          <w:color w:val="auto"/>
          <w:sz w:val="24"/>
          <w:highlight w:val="none"/>
        </w:rPr>
        <w:t>联系方式：</w:t>
      </w:r>
      <w:r>
        <w:rPr>
          <w:rFonts w:hint="eastAsia"/>
          <w:color w:val="auto"/>
          <w:sz w:val="24"/>
          <w:highlight w:val="none"/>
        </w:rPr>
        <w:t>张先生，0513-68218829</w:t>
      </w:r>
    </w:p>
    <w:p>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2. 采购代理机构信息</w:t>
      </w:r>
    </w:p>
    <w:p>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 xml:space="preserve">名 </w:t>
      </w:r>
      <w:r>
        <w:rPr>
          <w:rFonts w:hint="eastAsia"/>
          <w:color w:val="auto"/>
          <w:sz w:val="24"/>
          <w:highlight w:val="none"/>
          <w:lang w:val="en-US" w:eastAsia="zh-CN"/>
        </w:rPr>
        <w:t xml:space="preserve">   </w:t>
      </w:r>
      <w:r>
        <w:rPr>
          <w:color w:val="auto"/>
          <w:sz w:val="24"/>
          <w:highlight w:val="none"/>
        </w:rPr>
        <w:t>称：</w:t>
      </w:r>
      <w:r>
        <w:rPr>
          <w:rFonts w:hint="eastAsia"/>
          <w:color w:val="auto"/>
          <w:sz w:val="24"/>
          <w:highlight w:val="none"/>
        </w:rPr>
        <w:t>江苏海审工程咨询有限公司</w:t>
      </w:r>
    </w:p>
    <w:p>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地</w:t>
      </w:r>
      <w:r>
        <w:rPr>
          <w:rFonts w:hint="eastAsia"/>
          <w:color w:val="auto"/>
          <w:sz w:val="24"/>
          <w:highlight w:val="none"/>
          <w:lang w:val="en-US" w:eastAsia="zh-CN"/>
        </w:rPr>
        <w:t xml:space="preserve">   </w:t>
      </w:r>
      <w:r>
        <w:rPr>
          <w:color w:val="auto"/>
          <w:sz w:val="24"/>
          <w:highlight w:val="none"/>
        </w:rPr>
        <w:t xml:space="preserve"> 址：</w:t>
      </w:r>
      <w:r>
        <w:rPr>
          <w:rFonts w:hint="eastAsia"/>
          <w:color w:val="auto"/>
          <w:sz w:val="24"/>
          <w:highlight w:val="none"/>
        </w:rPr>
        <w:t>南通市崇川区星城路299号创源科技园3号楼501室</w:t>
      </w:r>
    </w:p>
    <w:p>
      <w:pPr>
        <w:widowControl/>
        <w:shd w:val="clear" w:color="auto" w:fill="FFFFFF"/>
        <w:adjustRightInd w:val="0"/>
        <w:snapToGrid w:val="0"/>
        <w:spacing w:line="480" w:lineRule="exact"/>
        <w:ind w:firstLine="480" w:firstLineChars="200"/>
        <w:jc w:val="left"/>
        <w:rPr>
          <w:rFonts w:hint="eastAsia"/>
          <w:color w:val="auto"/>
          <w:sz w:val="24"/>
          <w:highlight w:val="none"/>
        </w:rPr>
      </w:pPr>
      <w:r>
        <w:rPr>
          <w:color w:val="auto"/>
          <w:sz w:val="24"/>
          <w:highlight w:val="none"/>
        </w:rPr>
        <w:t>联系方式：</w:t>
      </w:r>
      <w:r>
        <w:rPr>
          <w:rFonts w:hint="eastAsia"/>
          <w:color w:val="auto"/>
          <w:sz w:val="24"/>
          <w:highlight w:val="none"/>
        </w:rPr>
        <w:t>朱一仁，18068996360</w:t>
      </w:r>
    </w:p>
    <w:p>
      <w:pPr>
        <w:widowControl/>
        <w:shd w:val="clear" w:color="auto" w:fill="FFFFFF"/>
        <w:adjustRightInd w:val="0"/>
        <w:snapToGrid w:val="0"/>
        <w:spacing w:line="480" w:lineRule="exact"/>
        <w:ind w:firstLine="480" w:firstLineChars="200"/>
        <w:jc w:val="left"/>
        <w:rPr>
          <w:rFonts w:hint="default" w:eastAsia="宋体"/>
          <w:color w:val="auto"/>
          <w:sz w:val="24"/>
          <w:highlight w:val="none"/>
          <w:lang w:val="en-US" w:eastAsia="zh-CN"/>
        </w:rPr>
      </w:pPr>
      <w:r>
        <w:rPr>
          <w:rFonts w:hint="eastAsia"/>
          <w:color w:val="auto"/>
          <w:sz w:val="24"/>
          <w:highlight w:val="none"/>
          <w:lang w:val="en-US" w:eastAsia="zh-CN"/>
        </w:rPr>
        <w:t xml:space="preserve">          王银珂，17826821589</w:t>
      </w:r>
    </w:p>
    <w:p>
      <w:pPr>
        <w:widowControl/>
        <w:shd w:val="clear" w:color="auto" w:fill="FFFFFF"/>
        <w:adjustRightInd w:val="0"/>
        <w:snapToGrid w:val="0"/>
        <w:spacing w:line="480" w:lineRule="exact"/>
        <w:ind w:firstLine="480" w:firstLineChars="200"/>
        <w:jc w:val="left"/>
        <w:rPr>
          <w:rFonts w:hint="eastAsia"/>
          <w:color w:val="auto"/>
          <w:sz w:val="24"/>
          <w:highlight w:val="none"/>
        </w:rPr>
      </w:pPr>
      <w:r>
        <w:rPr>
          <w:rFonts w:hint="eastAsia"/>
          <w:color w:val="auto"/>
          <w:sz w:val="24"/>
          <w:highlight w:val="none"/>
        </w:rPr>
        <w:t>日</w:t>
      </w:r>
      <w:r>
        <w:rPr>
          <w:rFonts w:hint="eastAsia"/>
          <w:color w:val="auto"/>
          <w:sz w:val="24"/>
          <w:highlight w:val="none"/>
          <w:lang w:val="en-US" w:eastAsia="zh-CN"/>
        </w:rPr>
        <w:t xml:space="preserve">    </w:t>
      </w:r>
      <w:r>
        <w:rPr>
          <w:rFonts w:hint="eastAsia"/>
          <w:color w:val="auto"/>
          <w:sz w:val="24"/>
          <w:highlight w:val="none"/>
        </w:rPr>
        <w:t>期：2024年</w:t>
      </w:r>
      <w:r>
        <w:rPr>
          <w:rFonts w:hint="eastAsia"/>
          <w:color w:val="auto"/>
          <w:sz w:val="24"/>
          <w:highlight w:val="none"/>
          <w:lang w:val="en-US" w:eastAsia="zh-CN"/>
        </w:rPr>
        <w:t>06</w:t>
      </w:r>
      <w:r>
        <w:rPr>
          <w:rFonts w:hint="eastAsia"/>
          <w:color w:val="auto"/>
          <w:sz w:val="24"/>
          <w:highlight w:val="none"/>
        </w:rPr>
        <w:t>月</w:t>
      </w:r>
      <w:r>
        <w:rPr>
          <w:rFonts w:hint="eastAsia"/>
          <w:color w:val="auto"/>
          <w:sz w:val="24"/>
          <w:highlight w:val="none"/>
          <w:lang w:val="en-US" w:eastAsia="zh-CN"/>
        </w:rPr>
        <w:t>25</w:t>
      </w:r>
      <w:r>
        <w:rPr>
          <w:rFonts w:hint="eastAsia"/>
          <w:color w:val="auto"/>
          <w:sz w:val="24"/>
          <w:highlight w:val="none"/>
        </w:rPr>
        <w:t>日</w:t>
      </w:r>
    </w:p>
    <w:p>
      <w:pPr>
        <w:widowControl/>
        <w:kinsoku w:val="0"/>
        <w:autoSpaceDE w:val="0"/>
        <w:autoSpaceDN w:val="0"/>
        <w:adjustRightInd w:val="0"/>
        <w:snapToGrid w:val="0"/>
        <w:spacing w:line="245" w:lineRule="auto"/>
        <w:jc w:val="left"/>
        <w:textAlignment w:val="baseline"/>
        <w:rPr>
          <w:rFonts w:hint="eastAsia" w:asciiTheme="minorEastAsia" w:hAnsiTheme="minorEastAsia" w:eastAsiaTheme="minorEastAsia" w:cstheme="minorEastAsia"/>
          <w:snapToGrid w:val="0"/>
          <w:color w:val="auto"/>
          <w:kern w:val="0"/>
          <w:sz w:val="21"/>
          <w:szCs w:val="21"/>
          <w:highlight w:val="none"/>
          <w:lang w:eastAsia="en-US"/>
        </w:rPr>
      </w:pPr>
    </w:p>
    <w:p>
      <w:pPr>
        <w:snapToGrid w:val="0"/>
        <w:spacing w:line="480" w:lineRule="exact"/>
        <w:contextualSpacing/>
        <w:jc w:val="center"/>
        <w:outlineLvl w:val="0"/>
        <w:rPr>
          <w:rFonts w:asciiTheme="minorEastAsia" w:hAnsiTheme="minorEastAsia" w:eastAsiaTheme="minorEastAsia"/>
          <w:b/>
          <w:bCs/>
          <w:color w:val="auto"/>
          <w:sz w:val="36"/>
          <w:szCs w:val="36"/>
          <w:highlight w:val="none"/>
          <w:lang w:val="zh-CN"/>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第二部分  磋商须知</w:t>
      </w:r>
    </w:p>
    <w:p>
      <w:pPr>
        <w:autoSpaceDE w:val="0"/>
        <w:autoSpaceDN w:val="0"/>
        <w:adjustRightInd w:val="0"/>
        <w:snapToGrid w:val="0"/>
        <w:spacing w:line="300" w:lineRule="auto"/>
        <w:ind w:firstLine="562"/>
        <w:contextualSpacing/>
        <w:rPr>
          <w:rFonts w:ascii="黑体" w:eastAsia="黑体"/>
          <w:b/>
          <w:bCs/>
          <w:color w:val="auto"/>
          <w:sz w:val="28"/>
          <w:szCs w:val="28"/>
          <w:highlight w:val="none"/>
          <w:lang w:val="zh-CN"/>
        </w:rPr>
      </w:pPr>
    </w:p>
    <w:p>
      <w:pPr>
        <w:snapToGrid w:val="0"/>
        <w:spacing w:line="480" w:lineRule="exact"/>
        <w:ind w:firstLine="482" w:firstLineChars="200"/>
        <w:contextualSpacing/>
        <w:rPr>
          <w:b/>
          <w:color w:val="auto"/>
          <w:sz w:val="24"/>
          <w:highlight w:val="none"/>
        </w:rPr>
      </w:pPr>
      <w:r>
        <w:rPr>
          <w:b/>
          <w:color w:val="auto"/>
          <w:sz w:val="24"/>
          <w:highlight w:val="none"/>
        </w:rPr>
        <w:t>一、本磋商文件由采购人或采购代理机构解释。</w:t>
      </w:r>
    </w:p>
    <w:p>
      <w:pPr>
        <w:snapToGrid w:val="0"/>
        <w:spacing w:line="480" w:lineRule="exact"/>
        <w:ind w:firstLine="480" w:firstLineChars="200"/>
        <w:contextualSpacing/>
        <w:rPr>
          <w:b/>
          <w:color w:val="auto"/>
          <w:sz w:val="24"/>
          <w:highlight w:val="none"/>
        </w:rPr>
      </w:pPr>
      <w:r>
        <w:rPr>
          <w:color w:val="auto"/>
          <w:sz w:val="24"/>
          <w:highlight w:val="none"/>
        </w:rPr>
        <w:t>1、供应商在</w:t>
      </w:r>
      <w:r>
        <w:rPr>
          <w:rFonts w:hint="eastAsia"/>
          <w:color w:val="auto"/>
          <w:sz w:val="24"/>
          <w:highlight w:val="none"/>
        </w:rPr>
        <w:t>获取</w:t>
      </w:r>
      <w:r>
        <w:rPr>
          <w:color w:val="auto"/>
          <w:sz w:val="24"/>
          <w:highlight w:val="none"/>
        </w:rPr>
        <w:t>磋商文件后，应仔细检查磋商文件的所有内容，如对采购活动事项有疑问的，应向采购人或采购代理机构以书面形式提出，否则视同供应商理解并接受本磋商文件所有内容，并由此引起的损失自负。供应商不得在磋商结束后针对磋商文件所有内容提出质疑事项。</w:t>
      </w:r>
    </w:p>
    <w:p>
      <w:pPr>
        <w:snapToGrid w:val="0"/>
        <w:spacing w:line="480" w:lineRule="exact"/>
        <w:ind w:firstLine="480" w:firstLineChars="200"/>
        <w:contextualSpacing/>
        <w:rPr>
          <w:color w:val="auto"/>
          <w:sz w:val="24"/>
          <w:highlight w:val="none"/>
        </w:rPr>
      </w:pPr>
      <w:r>
        <w:rPr>
          <w:color w:val="auto"/>
          <w:sz w:val="24"/>
          <w:highlight w:val="none"/>
        </w:rPr>
        <w:t>2、供应商应认真审阅磋商文件中所有的事项、格式、条款和规范要求等，如果供应商没有按照磋商文件要求提交响应文件，或者响应文件没有对磋商文件</w:t>
      </w:r>
      <w:r>
        <w:rPr>
          <w:rFonts w:hint="eastAsia"/>
          <w:color w:val="auto"/>
          <w:sz w:val="24"/>
          <w:highlight w:val="none"/>
        </w:rPr>
        <w:t>作出</w:t>
      </w:r>
      <w:r>
        <w:rPr>
          <w:color w:val="auto"/>
          <w:sz w:val="24"/>
          <w:highlight w:val="none"/>
        </w:rPr>
        <w:t>实质性响应，将被拒绝参与磋商。</w:t>
      </w:r>
    </w:p>
    <w:p>
      <w:pPr>
        <w:snapToGrid w:val="0"/>
        <w:spacing w:line="480" w:lineRule="exact"/>
        <w:ind w:firstLine="482" w:firstLineChars="200"/>
        <w:contextualSpacing/>
        <w:rPr>
          <w:b/>
          <w:color w:val="auto"/>
          <w:sz w:val="24"/>
          <w:highlight w:val="none"/>
        </w:rPr>
      </w:pPr>
      <w:r>
        <w:rPr>
          <w:b/>
          <w:color w:val="auto"/>
          <w:sz w:val="24"/>
          <w:highlight w:val="none"/>
        </w:rPr>
        <w:t>二、磋商文件的澄清、修改、答疑</w:t>
      </w:r>
    </w:p>
    <w:p>
      <w:pPr>
        <w:pStyle w:val="11"/>
        <w:snapToGrid w:val="0"/>
        <w:spacing w:line="480" w:lineRule="exact"/>
        <w:ind w:left="0" w:leftChars="0" w:firstLine="480" w:firstLineChars="200"/>
        <w:contextualSpacing/>
        <w:rPr>
          <w:color w:val="auto"/>
          <w:sz w:val="24"/>
          <w:highlight w:val="none"/>
        </w:rPr>
      </w:pPr>
      <w:r>
        <w:rPr>
          <w:color w:val="auto"/>
          <w:sz w:val="24"/>
          <w:highlight w:val="none"/>
        </w:rPr>
        <w:t>采购人可以对已发出的磋商文件进行必要的澄清或者修改，澄清或者修改的内容作为磋商文件的组成部分。澄清或者修改的内容可能影响响应文件编制的，采购人将在提交首次响应文件截止之日5日前，以网上公告</w:t>
      </w:r>
      <w:r>
        <w:rPr>
          <w:rFonts w:hint="eastAsia"/>
          <w:color w:val="auto"/>
          <w:sz w:val="24"/>
          <w:highlight w:val="none"/>
        </w:rPr>
        <w:t>或</w:t>
      </w:r>
      <w:r>
        <w:rPr>
          <w:color w:val="auto"/>
          <w:sz w:val="24"/>
          <w:highlight w:val="none"/>
        </w:rPr>
        <w:t>书面形式</w:t>
      </w:r>
      <w:r>
        <w:rPr>
          <w:rFonts w:hint="eastAsia"/>
          <w:color w:val="auto"/>
          <w:sz w:val="24"/>
          <w:highlight w:val="none"/>
        </w:rPr>
        <w:t>（邮件）</w:t>
      </w:r>
      <w:r>
        <w:rPr>
          <w:color w:val="auto"/>
          <w:sz w:val="24"/>
          <w:highlight w:val="none"/>
        </w:rPr>
        <w:t>通知所有接收磋商文件的供应商，不足5日的，应当顺延提交首次响应文件截止之日。</w:t>
      </w:r>
    </w:p>
    <w:p>
      <w:pPr>
        <w:pStyle w:val="11"/>
        <w:snapToGrid w:val="0"/>
        <w:spacing w:line="480" w:lineRule="exact"/>
        <w:ind w:left="0" w:leftChars="0" w:firstLine="480" w:firstLineChars="200"/>
        <w:contextualSpacing/>
        <w:rPr>
          <w:color w:val="auto"/>
          <w:sz w:val="24"/>
          <w:highlight w:val="none"/>
          <w:lang w:val="zh-CN"/>
        </w:rPr>
      </w:pPr>
      <w:r>
        <w:rPr>
          <w:color w:val="auto"/>
          <w:sz w:val="24"/>
          <w:highlight w:val="none"/>
        </w:rPr>
        <w:t>供应商由于对磋商文件的任何推论和误解以及采购人或采购代理机构对有</w:t>
      </w:r>
      <w:r>
        <w:rPr>
          <w:color w:val="auto"/>
          <w:sz w:val="24"/>
          <w:highlight w:val="none"/>
          <w:lang w:val="zh-CN"/>
        </w:rPr>
        <w:t>关问题的口头解释所造成的后果，均由供应商自负。</w:t>
      </w:r>
    </w:p>
    <w:p>
      <w:pPr>
        <w:pStyle w:val="11"/>
        <w:snapToGrid w:val="0"/>
        <w:spacing w:line="480" w:lineRule="exact"/>
        <w:ind w:left="0" w:leftChars="0" w:firstLine="480" w:firstLineChars="200"/>
        <w:contextualSpacing/>
        <w:rPr>
          <w:color w:val="auto"/>
          <w:sz w:val="24"/>
          <w:highlight w:val="none"/>
        </w:rPr>
      </w:pPr>
      <w:r>
        <w:rPr>
          <w:color w:val="auto"/>
          <w:sz w:val="24"/>
          <w:highlight w:val="none"/>
          <w:lang w:val="zh-CN"/>
        </w:rPr>
        <w:t>采购单位可视情组织答疑会。</w:t>
      </w:r>
    </w:p>
    <w:p>
      <w:pPr>
        <w:autoSpaceDE w:val="0"/>
        <w:autoSpaceDN w:val="0"/>
        <w:adjustRightInd w:val="0"/>
        <w:snapToGrid w:val="0"/>
        <w:spacing w:after="120" w:line="480" w:lineRule="exact"/>
        <w:ind w:firstLine="482"/>
        <w:contextualSpacing/>
        <w:rPr>
          <w:b/>
          <w:bCs/>
          <w:color w:val="auto"/>
          <w:sz w:val="24"/>
          <w:highlight w:val="none"/>
        </w:rPr>
      </w:pPr>
      <w:r>
        <w:rPr>
          <w:b/>
          <w:bCs/>
          <w:color w:val="auto"/>
          <w:sz w:val="24"/>
          <w:highlight w:val="none"/>
          <w:lang w:val="zh-CN"/>
        </w:rPr>
        <w:t>三、响应文件的编写、递交、上传</w:t>
      </w:r>
    </w:p>
    <w:p>
      <w:pPr>
        <w:autoSpaceDE w:val="0"/>
        <w:autoSpaceDN w:val="0"/>
        <w:adjustRightInd w:val="0"/>
        <w:snapToGrid w:val="0"/>
        <w:spacing w:line="480" w:lineRule="exact"/>
        <w:ind w:right="210" w:firstLine="482"/>
        <w:rPr>
          <w:b/>
          <w:color w:val="auto"/>
          <w:sz w:val="24"/>
          <w:highlight w:val="none"/>
        </w:rPr>
      </w:pPr>
      <w:r>
        <w:rPr>
          <w:b/>
          <w:color w:val="auto"/>
          <w:sz w:val="24"/>
          <w:highlight w:val="none"/>
        </w:rPr>
        <w:t>（一）响应文件的编写</w:t>
      </w:r>
    </w:p>
    <w:p>
      <w:pPr>
        <w:autoSpaceDE w:val="0"/>
        <w:autoSpaceDN w:val="0"/>
        <w:adjustRightInd w:val="0"/>
        <w:snapToGrid w:val="0"/>
        <w:spacing w:line="480" w:lineRule="exact"/>
        <w:ind w:firstLine="480" w:firstLineChars="200"/>
        <w:contextualSpacing/>
        <w:jc w:val="left"/>
        <w:rPr>
          <w:color w:val="auto"/>
          <w:sz w:val="24"/>
          <w:highlight w:val="none"/>
        </w:rPr>
      </w:pPr>
      <w:r>
        <w:rPr>
          <w:color w:val="auto"/>
          <w:sz w:val="24"/>
          <w:highlight w:val="none"/>
          <w:lang w:val="zh-CN"/>
        </w:rPr>
        <w:t>供应商按</w:t>
      </w:r>
      <w:r>
        <w:rPr>
          <w:rFonts w:ascii="宋体" w:hAnsi="宋体"/>
          <w:color w:val="auto"/>
          <w:sz w:val="24"/>
          <w:highlight w:val="none"/>
          <w:lang w:val="zh-CN"/>
        </w:rPr>
        <w:t>“第七部分 响应文件组成”</w:t>
      </w:r>
      <w:r>
        <w:rPr>
          <w:color w:val="auto"/>
          <w:sz w:val="24"/>
          <w:highlight w:val="none"/>
          <w:lang w:val="zh-CN"/>
        </w:rPr>
        <w:t>要求编写响应文件。</w:t>
      </w:r>
    </w:p>
    <w:p>
      <w:pPr>
        <w:snapToGrid w:val="0"/>
        <w:spacing w:line="480" w:lineRule="exact"/>
        <w:ind w:firstLine="482" w:firstLineChars="200"/>
        <w:contextualSpacing/>
        <w:rPr>
          <w:b/>
          <w:color w:val="auto"/>
          <w:sz w:val="24"/>
          <w:highlight w:val="none"/>
        </w:rPr>
      </w:pPr>
      <w:r>
        <w:rPr>
          <w:b/>
          <w:color w:val="auto"/>
          <w:sz w:val="24"/>
          <w:highlight w:val="none"/>
        </w:rPr>
        <w:t>（二）响应文件的递交</w:t>
      </w:r>
    </w:p>
    <w:p>
      <w:pPr>
        <w:snapToGrid w:val="0"/>
        <w:spacing w:line="480" w:lineRule="exact"/>
        <w:ind w:firstLine="480" w:firstLineChars="200"/>
        <w:contextualSpacing/>
        <w:rPr>
          <w:color w:val="auto"/>
          <w:sz w:val="24"/>
          <w:highlight w:val="none"/>
        </w:rPr>
      </w:pPr>
      <w:r>
        <w:rPr>
          <w:color w:val="auto"/>
          <w:sz w:val="24"/>
          <w:highlight w:val="none"/>
        </w:rPr>
        <w:t>1、响应文件</w:t>
      </w:r>
      <w:r>
        <w:rPr>
          <w:rFonts w:hint="eastAsia"/>
          <w:color w:val="auto"/>
          <w:sz w:val="24"/>
          <w:highlight w:val="none"/>
          <w:lang w:val="en-US" w:eastAsia="zh-CN"/>
        </w:rPr>
        <w:t>四</w:t>
      </w:r>
      <w:r>
        <w:rPr>
          <w:color w:val="auto"/>
          <w:sz w:val="24"/>
          <w:highlight w:val="none"/>
        </w:rPr>
        <w:t>部分内容（资格审查文件、商务技术文件</w:t>
      </w:r>
      <w:r>
        <w:rPr>
          <w:rFonts w:hint="eastAsia"/>
          <w:color w:val="auto"/>
          <w:sz w:val="24"/>
          <w:highlight w:val="none"/>
          <w:lang w:eastAsia="zh-CN"/>
        </w:rPr>
        <w:t>、</w:t>
      </w:r>
      <w:r>
        <w:rPr>
          <w:rFonts w:hint="eastAsia"/>
          <w:color w:val="auto"/>
          <w:sz w:val="24"/>
          <w:highlight w:val="none"/>
          <w:lang w:val="en-US" w:eastAsia="zh-CN"/>
        </w:rPr>
        <w:t>U盘文件（内含样本数据库和样本数据库功能演示视频）</w:t>
      </w:r>
      <w:r>
        <w:rPr>
          <w:color w:val="auto"/>
          <w:sz w:val="24"/>
          <w:highlight w:val="none"/>
        </w:rPr>
        <w:t>、报价文件）须</w:t>
      </w:r>
      <w:r>
        <w:rPr>
          <w:b/>
          <w:bCs/>
          <w:color w:val="auto"/>
          <w:sz w:val="24"/>
          <w:highlight w:val="none"/>
        </w:rPr>
        <w:t>分别单独密封</w:t>
      </w:r>
      <w:r>
        <w:rPr>
          <w:color w:val="auto"/>
          <w:sz w:val="24"/>
          <w:highlight w:val="none"/>
        </w:rPr>
        <w:t>，</w:t>
      </w:r>
      <w:r>
        <w:rPr>
          <w:color w:val="auto"/>
          <w:sz w:val="24"/>
          <w:highlight w:val="none"/>
          <w:lang w:val="zh-CN"/>
        </w:rPr>
        <w:t>并牢</w:t>
      </w:r>
      <w:r>
        <w:rPr>
          <w:color w:val="auto"/>
          <w:sz w:val="24"/>
          <w:highlight w:val="none"/>
        </w:rPr>
        <w:t>固装订成册，不得相互混淆，文件自编目录，不得将内容拆开。报价文件不得出现于其他磋商文件中。</w:t>
      </w:r>
    </w:p>
    <w:p>
      <w:pPr>
        <w:snapToGrid w:val="0"/>
        <w:spacing w:line="480" w:lineRule="exact"/>
        <w:ind w:firstLine="480" w:firstLineChars="200"/>
        <w:rPr>
          <w:rFonts w:hint="default" w:eastAsia="宋体"/>
          <w:color w:val="auto"/>
          <w:sz w:val="24"/>
          <w:highlight w:val="none"/>
          <w:lang w:val="en-US" w:eastAsia="zh-CN"/>
        </w:rPr>
      </w:pPr>
      <w:r>
        <w:rPr>
          <w:color w:val="auto"/>
          <w:sz w:val="24"/>
          <w:highlight w:val="none"/>
        </w:rPr>
        <w:t>2、响应文件每一部分内容</w:t>
      </w:r>
      <w:r>
        <w:rPr>
          <w:rFonts w:hint="eastAsia"/>
          <w:color w:val="auto"/>
          <w:sz w:val="24"/>
          <w:highlight w:val="none"/>
          <w:lang w:eastAsia="zh-CN"/>
        </w:rPr>
        <w:t>（</w:t>
      </w:r>
      <w:r>
        <w:rPr>
          <w:rFonts w:hint="eastAsia"/>
          <w:color w:val="auto"/>
          <w:sz w:val="24"/>
          <w:highlight w:val="none"/>
          <w:lang w:val="en-US" w:eastAsia="zh-CN"/>
        </w:rPr>
        <w:t>U盘文件除外</w:t>
      </w:r>
      <w:r>
        <w:rPr>
          <w:rFonts w:hint="eastAsia"/>
          <w:color w:val="auto"/>
          <w:sz w:val="24"/>
          <w:highlight w:val="none"/>
          <w:lang w:eastAsia="zh-CN"/>
        </w:rPr>
        <w:t>）</w:t>
      </w:r>
      <w:r>
        <w:rPr>
          <w:color w:val="auto"/>
          <w:sz w:val="24"/>
          <w:highlight w:val="none"/>
        </w:rPr>
        <w:t>均须提供“</w:t>
      </w:r>
      <w:r>
        <w:rPr>
          <w:b/>
          <w:color w:val="auto"/>
          <w:sz w:val="24"/>
          <w:highlight w:val="none"/>
        </w:rPr>
        <w:t>一正、</w:t>
      </w:r>
      <w:r>
        <w:rPr>
          <w:rFonts w:hint="eastAsia"/>
          <w:b/>
          <w:color w:val="auto"/>
          <w:sz w:val="24"/>
          <w:highlight w:val="none"/>
        </w:rPr>
        <w:t>肆</w:t>
      </w:r>
      <w:r>
        <w:rPr>
          <w:b/>
          <w:color w:val="auto"/>
          <w:sz w:val="24"/>
          <w:highlight w:val="none"/>
        </w:rPr>
        <w:t>副”</w:t>
      </w:r>
      <w:r>
        <w:rPr>
          <w:color w:val="auto"/>
          <w:sz w:val="24"/>
          <w:highlight w:val="none"/>
        </w:rPr>
        <w:t>纸质响应文件</w:t>
      </w:r>
      <w:r>
        <w:rPr>
          <w:rFonts w:hint="eastAsia"/>
          <w:color w:val="auto"/>
          <w:sz w:val="24"/>
          <w:highlight w:val="none"/>
          <w:lang w:eastAsia="zh-CN"/>
        </w:rPr>
        <w:t>、</w:t>
      </w:r>
      <w:r>
        <w:rPr>
          <w:color w:val="auto"/>
          <w:sz w:val="24"/>
          <w:highlight w:val="none"/>
        </w:rPr>
        <w:t>并将正本、副本及图纸类等（如需提供图纸</w:t>
      </w:r>
      <w:r>
        <w:rPr>
          <w:rFonts w:hint="eastAsia"/>
          <w:color w:val="auto"/>
          <w:sz w:val="24"/>
          <w:highlight w:val="none"/>
        </w:rPr>
        <w:t>等其他</w:t>
      </w:r>
      <w:r>
        <w:rPr>
          <w:color w:val="auto"/>
          <w:sz w:val="24"/>
          <w:highlight w:val="none"/>
        </w:rPr>
        <w:t>资料的话）合并密封</w:t>
      </w:r>
      <w:r>
        <w:rPr>
          <w:rFonts w:hint="eastAsia"/>
          <w:color w:val="auto"/>
          <w:sz w:val="24"/>
          <w:highlight w:val="none"/>
          <w:lang w:eastAsia="zh-CN"/>
        </w:rPr>
        <w:t>，</w:t>
      </w:r>
      <w:r>
        <w:rPr>
          <w:color w:val="auto"/>
          <w:sz w:val="24"/>
          <w:highlight w:val="none"/>
        </w:rPr>
        <w:t>统一装在一个密封袋或密封箱内</w:t>
      </w:r>
      <w:r>
        <w:rPr>
          <w:rFonts w:hint="eastAsia"/>
          <w:color w:val="auto"/>
          <w:sz w:val="24"/>
          <w:highlight w:val="none"/>
          <w:lang w:eastAsia="zh-CN"/>
        </w:rPr>
        <w:t>；</w:t>
      </w:r>
      <w:r>
        <w:rPr>
          <w:rFonts w:hint="eastAsia"/>
          <w:color w:val="auto"/>
          <w:sz w:val="24"/>
          <w:highlight w:val="none"/>
          <w:lang w:val="en-US" w:eastAsia="zh-CN"/>
        </w:rPr>
        <w:t>U盘文件（内含样本数据库和样本数据库功能演示视频）一份，</w:t>
      </w:r>
      <w:r>
        <w:rPr>
          <w:rFonts w:hint="eastAsia"/>
          <w:color w:val="auto"/>
          <w:sz w:val="24"/>
          <w:highlight w:val="none"/>
        </w:rPr>
        <w:t>封</w:t>
      </w:r>
      <w:r>
        <w:rPr>
          <w:rFonts w:hint="eastAsia"/>
          <w:color w:val="auto"/>
          <w:sz w:val="24"/>
          <w:highlight w:val="none"/>
          <w:lang w:val="en-US" w:eastAsia="zh-CN"/>
        </w:rPr>
        <w:t>在一个密封袋或密封箱内。</w:t>
      </w:r>
    </w:p>
    <w:p>
      <w:pPr>
        <w:snapToGrid w:val="0"/>
        <w:spacing w:line="480" w:lineRule="exact"/>
        <w:ind w:firstLine="480" w:firstLineChars="200"/>
        <w:contextualSpacing/>
        <w:rPr>
          <w:color w:val="auto"/>
          <w:sz w:val="24"/>
          <w:highlight w:val="none"/>
        </w:rPr>
      </w:pPr>
      <w:r>
        <w:rPr>
          <w:color w:val="auto"/>
          <w:sz w:val="24"/>
          <w:highlight w:val="none"/>
        </w:rPr>
        <w:t>3、纸质响应文件须</w:t>
      </w:r>
      <w:r>
        <w:rPr>
          <w:color w:val="auto"/>
          <w:sz w:val="24"/>
          <w:highlight w:val="none"/>
          <w:lang w:val="zh-CN"/>
        </w:rPr>
        <w:t>采用A4纸（</w:t>
      </w:r>
      <w:r>
        <w:rPr>
          <w:rFonts w:hint="eastAsia"/>
          <w:color w:val="auto"/>
          <w:sz w:val="24"/>
          <w:highlight w:val="none"/>
          <w:lang w:val="en-US" w:eastAsia="zh-CN"/>
        </w:rPr>
        <w:t>U盘</w:t>
      </w:r>
      <w:r>
        <w:rPr>
          <w:rFonts w:hint="eastAsia"/>
          <w:color w:val="auto"/>
          <w:sz w:val="24"/>
          <w:highlight w:val="none"/>
        </w:rPr>
        <w:t>样本</w:t>
      </w:r>
      <w:r>
        <w:rPr>
          <w:color w:val="auto"/>
          <w:sz w:val="24"/>
          <w:highlight w:val="none"/>
        </w:rPr>
        <w:t>等除外），正本须打印并由法定代表人或授权人签字并加盖单位印章。副本可复印</w:t>
      </w:r>
      <w:r>
        <w:rPr>
          <w:rFonts w:hint="eastAsia"/>
          <w:color w:val="auto"/>
          <w:sz w:val="24"/>
          <w:highlight w:val="none"/>
        </w:rPr>
        <w:t>，</w:t>
      </w:r>
      <w:r>
        <w:rPr>
          <w:color w:val="auto"/>
          <w:sz w:val="24"/>
          <w:highlight w:val="none"/>
        </w:rPr>
        <w:t>文件内容中不得行间插字、涂改、增删，如修补错漏处，须由响应文件签署人签字并加盖公章。</w:t>
      </w:r>
    </w:p>
    <w:p>
      <w:pPr>
        <w:snapToGrid w:val="0"/>
        <w:spacing w:line="480" w:lineRule="exact"/>
        <w:ind w:firstLine="480" w:firstLineChars="200"/>
        <w:contextualSpacing/>
        <w:rPr>
          <w:color w:val="auto"/>
          <w:sz w:val="24"/>
          <w:highlight w:val="none"/>
        </w:rPr>
      </w:pPr>
      <w:r>
        <w:rPr>
          <w:color w:val="auto"/>
          <w:sz w:val="24"/>
          <w:highlight w:val="none"/>
        </w:rPr>
        <w:t>4、响应文件密封后应标明响应文件项目名称、项目编号、</w:t>
      </w:r>
      <w:r>
        <w:rPr>
          <w:rFonts w:hint="eastAsia"/>
          <w:color w:val="auto"/>
          <w:sz w:val="24"/>
          <w:highlight w:val="none"/>
          <w:lang w:val="en-US" w:eastAsia="zh-CN"/>
        </w:rPr>
        <w:t>对应文件名称（</w:t>
      </w:r>
      <w:r>
        <w:rPr>
          <w:color w:val="auto"/>
          <w:sz w:val="24"/>
          <w:highlight w:val="none"/>
        </w:rPr>
        <w:t>资格审查文件</w:t>
      </w:r>
      <w:r>
        <w:rPr>
          <w:rFonts w:hint="eastAsia"/>
          <w:color w:val="auto"/>
          <w:sz w:val="24"/>
          <w:highlight w:val="none"/>
          <w:lang w:val="en-US" w:eastAsia="zh-CN"/>
        </w:rPr>
        <w:t>或</w:t>
      </w:r>
      <w:r>
        <w:rPr>
          <w:color w:val="auto"/>
          <w:sz w:val="24"/>
          <w:highlight w:val="none"/>
        </w:rPr>
        <w:t>商务技术文件</w:t>
      </w:r>
      <w:r>
        <w:rPr>
          <w:rFonts w:hint="eastAsia"/>
          <w:color w:val="auto"/>
          <w:sz w:val="24"/>
          <w:highlight w:val="none"/>
          <w:lang w:val="en-US" w:eastAsia="zh-CN"/>
        </w:rPr>
        <w:t>或U盘文件或</w:t>
      </w:r>
      <w:r>
        <w:rPr>
          <w:color w:val="auto"/>
          <w:sz w:val="24"/>
          <w:highlight w:val="none"/>
        </w:rPr>
        <w:t>报价文件</w:t>
      </w:r>
      <w:r>
        <w:rPr>
          <w:rFonts w:hint="eastAsia"/>
          <w:color w:val="auto"/>
          <w:sz w:val="24"/>
          <w:highlight w:val="none"/>
          <w:lang w:val="en-US" w:eastAsia="zh-CN"/>
        </w:rPr>
        <w:t>）、</w:t>
      </w:r>
      <w:r>
        <w:rPr>
          <w:color w:val="auto"/>
          <w:sz w:val="24"/>
          <w:highlight w:val="none"/>
        </w:rPr>
        <w:t>边缝处加盖单位骑缝章或骑缝签字。</w:t>
      </w:r>
    </w:p>
    <w:p>
      <w:pPr>
        <w:snapToGrid w:val="0"/>
        <w:spacing w:line="480" w:lineRule="exact"/>
        <w:ind w:firstLine="480" w:firstLineChars="200"/>
        <w:contextualSpacing/>
        <w:rPr>
          <w:color w:val="auto"/>
          <w:sz w:val="24"/>
          <w:highlight w:val="none"/>
        </w:rPr>
      </w:pPr>
      <w:r>
        <w:rPr>
          <w:color w:val="auto"/>
          <w:sz w:val="24"/>
          <w:highlight w:val="none"/>
        </w:rPr>
        <w:t>5、递交时间：供应商须在规定的响应文件接收截止时间前送达指定地点。供应商递交磋商文件，即视为已响应参加采购活动。</w:t>
      </w:r>
    </w:p>
    <w:p>
      <w:pPr>
        <w:snapToGrid w:val="0"/>
        <w:spacing w:line="480" w:lineRule="exact"/>
        <w:ind w:firstLine="482" w:firstLineChars="200"/>
        <w:contextualSpacing/>
        <w:rPr>
          <w:b/>
          <w:color w:val="auto"/>
          <w:sz w:val="24"/>
          <w:highlight w:val="none"/>
        </w:rPr>
      </w:pPr>
      <w:r>
        <w:rPr>
          <w:b/>
          <w:color w:val="auto"/>
          <w:sz w:val="24"/>
          <w:highlight w:val="none"/>
        </w:rPr>
        <w:t>友情提醒：采购代理机构将拒绝接收未按照磋商文件要求密封的响应文件，拒绝接收在响应文件接收截止时间后递交的响应文件。如果供应商无故不到现场递交纸质磋商响应文件或者故意迟到，影响开评标活动正常进行的，根据《江苏省政府采购信用管理暂行办法》第九条的规定，将被列作一般失信行为。</w:t>
      </w:r>
    </w:p>
    <w:p>
      <w:pPr>
        <w:snapToGrid w:val="0"/>
        <w:spacing w:line="480" w:lineRule="exact"/>
        <w:ind w:firstLine="602" w:firstLineChars="250"/>
        <w:contextualSpacing/>
        <w:rPr>
          <w:b/>
          <w:color w:val="auto"/>
          <w:sz w:val="24"/>
          <w:highlight w:val="none"/>
        </w:rPr>
      </w:pPr>
      <w:r>
        <w:rPr>
          <w:b/>
          <w:color w:val="auto"/>
          <w:sz w:val="24"/>
          <w:highlight w:val="none"/>
        </w:rPr>
        <w:t>四、报价准备</w:t>
      </w:r>
    </w:p>
    <w:p>
      <w:pPr>
        <w:pStyle w:val="46"/>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1、磋商结束后，供应商就所有内容进行</w:t>
      </w:r>
      <w:r>
        <w:rPr>
          <w:rFonts w:hint="eastAsia" w:ascii="Times New Roman" w:hAnsi="Times New Roman" w:eastAsia="宋体"/>
          <w:color w:val="auto"/>
          <w:sz w:val="24"/>
          <w:szCs w:val="24"/>
          <w:highlight w:val="none"/>
        </w:rPr>
        <w:t>二次报价（即最后报价，下同）</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内容</w:t>
      </w:r>
      <w:r>
        <w:rPr>
          <w:rFonts w:ascii="Times New Roman" w:hAnsi="Times New Roman" w:eastAsia="宋体"/>
          <w:color w:val="auto"/>
          <w:sz w:val="24"/>
          <w:szCs w:val="24"/>
          <w:highlight w:val="none"/>
        </w:rPr>
        <w:t>少报无效。</w:t>
      </w:r>
    </w:p>
    <w:p>
      <w:pPr>
        <w:pStyle w:val="46"/>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w:t>
      </w:r>
      <w:r>
        <w:rPr>
          <w:rFonts w:hint="eastAsia" w:ascii="Times New Roman" w:hAnsi="Times New Roman" w:eastAsia="宋体"/>
          <w:color w:val="auto"/>
          <w:sz w:val="24"/>
          <w:szCs w:val="24"/>
          <w:highlight w:val="none"/>
        </w:rPr>
        <w:t>响应报价应包含但不限于响应采购文件及完成本项目工作所需的一切费用。包含但不限于服务劳务、管理、相关证书报名费、培训费、材料费、运输费、保险、售后服务、利润、税金、政策性文件规定及合同包含的所有风险、责任等各项应有费用。</w:t>
      </w:r>
    </w:p>
    <w:p>
      <w:pPr>
        <w:pStyle w:val="46"/>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3、最后报价将作为磋商小组评定成交供应商的组成依据。</w:t>
      </w:r>
    </w:p>
    <w:p>
      <w:pPr>
        <w:snapToGrid w:val="0"/>
        <w:spacing w:line="480" w:lineRule="exact"/>
        <w:ind w:firstLine="482" w:firstLineChars="200"/>
        <w:rPr>
          <w:color w:val="auto"/>
          <w:sz w:val="24"/>
          <w:highlight w:val="none"/>
        </w:rPr>
      </w:pPr>
      <w:r>
        <w:rPr>
          <w:b/>
          <w:color w:val="auto"/>
          <w:sz w:val="24"/>
          <w:highlight w:val="none"/>
          <w:lang w:val="zh-CN"/>
        </w:rPr>
        <w:t>五、</w:t>
      </w:r>
      <w:r>
        <w:rPr>
          <w:b/>
          <w:bCs/>
          <w:color w:val="auto"/>
          <w:sz w:val="24"/>
          <w:highlight w:val="none"/>
        </w:rPr>
        <w:t>相关费用</w:t>
      </w:r>
    </w:p>
    <w:p>
      <w:pPr>
        <w:snapToGrid w:val="0"/>
        <w:spacing w:line="480" w:lineRule="exact"/>
        <w:ind w:firstLine="480" w:firstLineChars="200"/>
        <w:contextualSpacing/>
        <w:rPr>
          <w:color w:val="auto"/>
          <w:sz w:val="24"/>
          <w:highlight w:val="none"/>
        </w:rPr>
      </w:pPr>
      <w:r>
        <w:rPr>
          <w:color w:val="auto"/>
          <w:sz w:val="24"/>
          <w:highlight w:val="none"/>
        </w:rPr>
        <w:t>1、供应商承担参与磋商可能发生的全部费用，采购人在任何情况下均无义务和责任承担这些费用。</w:t>
      </w:r>
    </w:p>
    <w:p>
      <w:pPr>
        <w:snapToGrid w:val="0"/>
        <w:spacing w:line="480" w:lineRule="exact"/>
        <w:ind w:firstLine="480" w:firstLineChars="200"/>
        <w:contextualSpacing/>
        <w:rPr>
          <w:color w:val="auto"/>
          <w:sz w:val="24"/>
          <w:highlight w:val="none"/>
        </w:rPr>
      </w:pPr>
      <w:r>
        <w:rPr>
          <w:color w:val="auto"/>
          <w:sz w:val="24"/>
          <w:highlight w:val="none"/>
        </w:rPr>
        <w:t>2、采购人不收取任何费用。</w:t>
      </w:r>
    </w:p>
    <w:p>
      <w:pPr>
        <w:snapToGrid w:val="0"/>
        <w:spacing w:line="480" w:lineRule="exact"/>
        <w:ind w:firstLine="480" w:firstLineChars="200"/>
        <w:contextualSpacing/>
        <w:rPr>
          <w:color w:val="auto"/>
          <w:sz w:val="24"/>
          <w:highlight w:val="none"/>
        </w:rPr>
      </w:pPr>
      <w:r>
        <w:rPr>
          <w:color w:val="auto"/>
          <w:sz w:val="24"/>
          <w:highlight w:val="none"/>
        </w:rPr>
        <w:t>3、本项目采购代理服务费3000元及专家评审费（按实际支出）由供应商综合考虑在报价内（不得单列），成交供应商在领取《成交通知书》时一次性支付给采购代理机构。</w:t>
      </w:r>
    </w:p>
    <w:p>
      <w:pPr>
        <w:snapToGrid w:val="0"/>
        <w:spacing w:line="480" w:lineRule="exact"/>
        <w:ind w:firstLine="482" w:firstLineChars="200"/>
        <w:contextualSpacing/>
        <w:rPr>
          <w:b/>
          <w:color w:val="auto"/>
          <w:sz w:val="24"/>
          <w:highlight w:val="none"/>
        </w:rPr>
      </w:pPr>
      <w:r>
        <w:rPr>
          <w:rFonts w:hint="eastAsia"/>
          <w:b/>
          <w:bCs/>
          <w:color w:val="auto"/>
          <w:sz w:val="24"/>
          <w:highlight w:val="none"/>
        </w:rPr>
        <w:t>六</w:t>
      </w:r>
      <w:r>
        <w:rPr>
          <w:b/>
          <w:bCs/>
          <w:color w:val="auto"/>
          <w:sz w:val="24"/>
          <w:highlight w:val="none"/>
        </w:rPr>
        <w:t>、</w:t>
      </w:r>
      <w:r>
        <w:rPr>
          <w:b/>
          <w:color w:val="auto"/>
          <w:sz w:val="24"/>
          <w:highlight w:val="none"/>
        </w:rPr>
        <w:t>竞争性磋商程序简介</w:t>
      </w:r>
    </w:p>
    <w:p>
      <w:pPr>
        <w:snapToGrid w:val="0"/>
        <w:spacing w:line="480" w:lineRule="exact"/>
        <w:ind w:firstLine="482" w:firstLineChars="200"/>
        <w:contextualSpacing/>
        <w:rPr>
          <w:color w:val="auto"/>
          <w:sz w:val="24"/>
          <w:highlight w:val="none"/>
        </w:rPr>
      </w:pPr>
      <w:r>
        <w:rPr>
          <w:b/>
          <w:color w:val="auto"/>
          <w:sz w:val="24"/>
          <w:highlight w:val="none"/>
        </w:rPr>
        <w:t>采购代理机构先对资格审查文件进行拆封，磋商小组审查响应供应商资格，</w:t>
      </w:r>
      <w:r>
        <w:rPr>
          <w:color w:val="auto"/>
          <w:sz w:val="24"/>
          <w:highlight w:val="none"/>
        </w:rPr>
        <w:t>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w:t>
      </w:r>
      <w:r>
        <w:rPr>
          <w:rFonts w:hint="eastAsia" w:ascii="宋体" w:hAnsi="宋体" w:cs="宋体"/>
          <w:color w:val="auto"/>
          <w:sz w:val="24"/>
          <w:highlight w:val="none"/>
        </w:rPr>
        <w:t>依据评审方法推荐成交候选人</w:t>
      </w:r>
      <w:r>
        <w:rPr>
          <w:color w:val="auto"/>
          <w:sz w:val="24"/>
          <w:highlight w:val="none"/>
        </w:rPr>
        <w:t>。</w:t>
      </w:r>
    </w:p>
    <w:p>
      <w:pPr>
        <w:autoSpaceDE w:val="0"/>
        <w:autoSpaceDN w:val="0"/>
        <w:adjustRightInd w:val="0"/>
        <w:snapToGrid w:val="0"/>
        <w:spacing w:line="480" w:lineRule="exact"/>
        <w:ind w:right="210" w:firstLine="472" w:firstLineChars="196"/>
        <w:contextualSpacing/>
        <w:rPr>
          <w:b/>
          <w:bCs/>
          <w:color w:val="auto"/>
          <w:sz w:val="24"/>
          <w:highlight w:val="none"/>
        </w:rPr>
      </w:pPr>
      <w:r>
        <w:rPr>
          <w:rFonts w:hint="eastAsia"/>
          <w:b/>
          <w:bCs/>
          <w:color w:val="auto"/>
          <w:sz w:val="24"/>
          <w:highlight w:val="none"/>
        </w:rPr>
        <w:t>七</w:t>
      </w:r>
      <w:r>
        <w:rPr>
          <w:b/>
          <w:bCs/>
          <w:color w:val="auto"/>
          <w:sz w:val="24"/>
          <w:highlight w:val="none"/>
        </w:rPr>
        <w:t>、相关提示</w:t>
      </w:r>
    </w:p>
    <w:p>
      <w:pPr>
        <w:snapToGrid w:val="0"/>
        <w:spacing w:line="480" w:lineRule="exact"/>
        <w:ind w:firstLine="480" w:firstLineChars="200"/>
        <w:contextualSpacing/>
        <w:rPr>
          <w:bCs/>
          <w:color w:val="auto"/>
          <w:sz w:val="24"/>
          <w:highlight w:val="none"/>
        </w:rPr>
      </w:pPr>
      <w:r>
        <w:rPr>
          <w:bCs/>
          <w:color w:val="auto"/>
          <w:sz w:val="24"/>
          <w:highlight w:val="none"/>
        </w:rPr>
        <w:t>商务技术部分评审结束后进入最后报价环节，最后报价将作为评审价。采购代理机构发出最后报价填报通知后，所有的响应供应商须在</w:t>
      </w:r>
      <w:r>
        <w:rPr>
          <w:rFonts w:hint="eastAsia"/>
          <w:bCs/>
          <w:color w:val="auto"/>
          <w:sz w:val="24"/>
          <w:highlight w:val="none"/>
        </w:rPr>
        <w:t>规定时间</w:t>
      </w:r>
      <w:r>
        <w:rPr>
          <w:bCs/>
          <w:color w:val="auto"/>
          <w:sz w:val="24"/>
          <w:highlight w:val="none"/>
        </w:rPr>
        <w:t>内填写并提交最后报价，未在规定时间内提交最后报价的，视作无效响应处理。</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0"/>
        <w:rPr>
          <w:rFonts w:asciiTheme="minorEastAsia" w:hAnsiTheme="minorEastAsia" w:eastAsiaTheme="minorEastAsia"/>
          <w:b/>
          <w:bCs/>
          <w:color w:val="auto"/>
          <w:szCs w:val="21"/>
          <w:highlight w:val="none"/>
          <w:lang w:val="zh-CN"/>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第三部分  项目需求</w:t>
      </w:r>
    </w:p>
    <w:p>
      <w:pPr>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kern w:val="0"/>
          <w:sz w:val="24"/>
          <w:highlight w:val="none"/>
          <w:lang w:val="zh-CN"/>
        </w:rPr>
      </w:pPr>
      <w:r>
        <w:rPr>
          <w:rFonts w:hint="eastAsia" w:ascii="宋体" w:hAnsi="宋体" w:eastAsia="宋体" w:cs="宋体"/>
          <w:b/>
          <w:color w:val="auto"/>
          <w:sz w:val="24"/>
          <w:highlight w:val="none"/>
        </w:rPr>
        <w:t>供应商</w:t>
      </w:r>
      <w:r>
        <w:rPr>
          <w:rFonts w:hint="eastAsia" w:ascii="宋体" w:hAnsi="宋体" w:eastAsia="宋体" w:cs="宋体"/>
          <w:b/>
          <w:color w:val="auto"/>
          <w:sz w:val="24"/>
          <w:highlight w:val="none"/>
          <w:lang w:val="zh-CN"/>
        </w:rPr>
        <w:t>在制作</w:t>
      </w:r>
      <w:r>
        <w:rPr>
          <w:rFonts w:hint="eastAsia" w:ascii="宋体" w:hAnsi="宋体" w:eastAsia="宋体" w:cs="宋体"/>
          <w:b/>
          <w:color w:val="auto"/>
          <w:sz w:val="24"/>
          <w:highlight w:val="none"/>
        </w:rPr>
        <w:t>响应</w:t>
      </w:r>
      <w:r>
        <w:rPr>
          <w:rFonts w:hint="eastAsia" w:ascii="宋体" w:hAnsi="宋体" w:eastAsia="宋体" w:cs="宋体"/>
          <w:b/>
          <w:color w:val="auto"/>
          <w:sz w:val="24"/>
          <w:highlight w:val="none"/>
          <w:lang w:val="zh-CN"/>
        </w:rPr>
        <w:t>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w:t>
      </w:r>
      <w:r>
        <w:rPr>
          <w:rFonts w:hint="eastAsia" w:ascii="宋体" w:hAnsi="宋体" w:eastAsia="宋体" w:cs="宋体"/>
          <w:b/>
          <w:color w:val="auto"/>
          <w:sz w:val="24"/>
          <w:highlight w:val="none"/>
        </w:rPr>
        <w:t>商品</w:t>
      </w:r>
      <w:r>
        <w:rPr>
          <w:rFonts w:hint="eastAsia" w:ascii="宋体" w:hAnsi="宋体" w:eastAsia="宋体" w:cs="宋体"/>
          <w:b/>
          <w:color w:val="auto"/>
          <w:sz w:val="24"/>
          <w:highlight w:val="none"/>
          <w:lang w:val="zh-CN"/>
        </w:rPr>
        <w:t>包装、</w:t>
      </w:r>
      <w:r>
        <w:rPr>
          <w:rFonts w:hint="eastAsia" w:ascii="宋体" w:hAnsi="宋体" w:eastAsia="宋体" w:cs="宋体"/>
          <w:b/>
          <w:color w:val="auto"/>
          <w:sz w:val="24"/>
          <w:highlight w:val="none"/>
        </w:rPr>
        <w:t>快递包装</w:t>
      </w:r>
      <w:r>
        <w:rPr>
          <w:rFonts w:hint="eastAsia" w:ascii="宋体" w:hAnsi="宋体" w:eastAsia="宋体" w:cs="宋体"/>
          <w:b/>
          <w:color w:val="auto"/>
          <w:sz w:val="24"/>
          <w:highlight w:val="none"/>
          <w:lang w:val="zh-CN"/>
        </w:rPr>
        <w:t>和运输，售后服务，保险等。</w:t>
      </w:r>
    </w:p>
    <w:p>
      <w:pPr>
        <w:pStyle w:val="46"/>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val="zh-CN"/>
        </w:rPr>
        <w:t>请供应商在制作响应文件时仔细研究项目需求说明。供应商不能简单照搬照抄采购单位项目需求说明中的技术、商务要求，必须实事求是地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hint="eastAsia" w:ascii="宋体" w:hAnsi="宋体" w:eastAsia="宋体" w:cs="宋体"/>
          <w:b/>
          <w:color w:val="auto"/>
          <w:sz w:val="24"/>
          <w:szCs w:val="24"/>
          <w:highlight w:val="none"/>
        </w:rPr>
        <w:t>务部分正负偏离表》和《技术部分正负偏离表》上明示，如不明示的视同完全响应</w:t>
      </w:r>
      <w:r>
        <w:rPr>
          <w:rFonts w:hint="eastAsia" w:ascii="宋体" w:hAnsi="宋体" w:eastAsia="宋体" w:cs="宋体"/>
          <w:b/>
          <w:color w:val="auto"/>
          <w:kern w:val="0"/>
          <w:sz w:val="24"/>
          <w:szCs w:val="24"/>
          <w:highlight w:val="none"/>
          <w:lang w:val="zh-CN"/>
        </w:rPr>
        <w:t>。</w:t>
      </w:r>
    </w:p>
    <w:p>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《南通日报》创刊于1942年1月1日，截至2024年4月30日，《南通日报》已出版20691期。</w:t>
      </w:r>
    </w:p>
    <w:p>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过八十多年的发展，《南通日报》积累了海量的历史报纸，是研究南通地区历史沿革、社会发展变迁的权威材料，既是报社宝贵的历史财产，也是极为珍贵的历史文献资源。为抢救、保护、挖掘、整合报社珍贵的历史报纸资源，将《南通日报》的历史报纸进行全信息数字化处理，形成数据资产，实施本项目。</w:t>
      </w:r>
    </w:p>
    <w:p>
      <w:pPr>
        <w:pageBreakBefore w:val="0"/>
        <w:widowControl/>
        <w:numPr>
          <w:ilvl w:val="0"/>
          <w:numId w:val="1"/>
        </w:numPr>
        <w:tabs>
          <w:tab w:val="left" w:pos="0"/>
          <w:tab w:val="center" w:pos="420"/>
        </w:tabs>
        <w:kinsoku/>
        <w:wordWrap/>
        <w:overflowPunct/>
        <w:topLinePunct w:val="0"/>
        <w:autoSpaceDE/>
        <w:autoSpaceDN/>
        <w:bidi w:val="0"/>
        <w:adjustRightInd/>
        <w:snapToGrid/>
        <w:spacing w:line="360" w:lineRule="auto"/>
        <w:ind w:left="0" w:leftChars="0" w:firstLine="482" w:firstLineChars="200"/>
        <w:jc w:val="left"/>
        <w:textAlignment w:val="auto"/>
        <w:outlineLvl w:val="0"/>
        <w:rPr>
          <w:rFonts w:hint="eastAsia" w:ascii="宋体" w:hAnsi="宋体" w:eastAsia="宋体" w:cs="宋体"/>
          <w:b/>
          <w:bCs/>
          <w:color w:val="auto"/>
          <w:kern w:val="36"/>
          <w:sz w:val="24"/>
          <w:szCs w:val="40"/>
          <w:highlight w:val="none"/>
        </w:rPr>
      </w:pPr>
      <w:r>
        <w:rPr>
          <w:rFonts w:hint="eastAsia" w:ascii="宋体" w:hAnsi="宋体" w:eastAsia="宋体" w:cs="宋体"/>
          <w:b/>
          <w:bCs/>
          <w:color w:val="auto"/>
          <w:kern w:val="36"/>
          <w:sz w:val="24"/>
          <w:szCs w:val="40"/>
          <w:highlight w:val="none"/>
        </w:rPr>
        <w:t>项目建设目标</w:t>
      </w:r>
    </w:p>
    <w:p>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南通日报社发展数字报业、深化媒体融合发展、加快经营转型升级的重要资源建设基础工程。根据《南通日报》历史报纸实际存留情况和报社应用需求，立足于长远发展规划，遵循标准化和开放性原则，按照统一规划、统一平台、统一标准、分期建设的方式，完成《南通日报》全部历史报纸数字化处理，获得质量规范、格式标准的高质量数据，实现报纸数据化、结构化和资产化，为新闻内容资源共享及再开发利用建成安全、可靠、智能、高效的新闻信息资源统一平台，实现报纸数据的统一存储、统一管理和统一检索，充分发挥历史新闻资料的作用，数据接口规范能够满足报社各应用系统的对接调用和共享，以适应互联网技术和新媒体的发展要求。</w:t>
      </w:r>
    </w:p>
    <w:p>
      <w:pPr>
        <w:pageBreakBefore w:val="0"/>
        <w:widowControl/>
        <w:numPr>
          <w:ilvl w:val="0"/>
          <w:numId w:val="1"/>
        </w:numPr>
        <w:tabs>
          <w:tab w:val="left" w:pos="0"/>
          <w:tab w:val="center" w:pos="420"/>
        </w:tabs>
        <w:kinsoku/>
        <w:wordWrap/>
        <w:overflowPunct/>
        <w:topLinePunct w:val="0"/>
        <w:autoSpaceDE/>
        <w:autoSpaceDN/>
        <w:bidi w:val="0"/>
        <w:adjustRightInd/>
        <w:snapToGrid/>
        <w:spacing w:line="360" w:lineRule="auto"/>
        <w:ind w:left="0" w:leftChars="0" w:firstLine="482" w:firstLineChars="200"/>
        <w:jc w:val="left"/>
        <w:textAlignment w:val="auto"/>
        <w:outlineLvl w:val="0"/>
        <w:rPr>
          <w:rFonts w:hint="eastAsia" w:ascii="宋体" w:hAnsi="宋体" w:eastAsia="宋体" w:cs="宋体"/>
          <w:b/>
          <w:bCs/>
          <w:color w:val="auto"/>
          <w:kern w:val="36"/>
          <w:sz w:val="24"/>
          <w:szCs w:val="40"/>
          <w:highlight w:val="none"/>
        </w:rPr>
      </w:pPr>
      <w:r>
        <w:rPr>
          <w:rFonts w:hint="eastAsia" w:ascii="宋体" w:hAnsi="宋体" w:eastAsia="宋体" w:cs="宋体"/>
          <w:b/>
          <w:bCs/>
          <w:color w:val="auto"/>
          <w:kern w:val="36"/>
          <w:sz w:val="24"/>
          <w:szCs w:val="40"/>
          <w:highlight w:val="none"/>
        </w:rPr>
        <w:t>项目具体内容</w:t>
      </w:r>
    </w:p>
    <w:p>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应用国内报业成熟的报纸数字化技术成果，采用国家相关技术标准规范和成熟的生产工艺，建立统一标准的历史报纸数据入库规范，完成《南通日报》历史报纸全信息数字化处理和建库。具体建设内容如下：</w:t>
      </w:r>
    </w:p>
    <w:p>
      <w:pPr>
        <w:keepNext/>
        <w:keepLines/>
        <w:pageBreakBefore w:val="0"/>
        <w:widowControl w:val="0"/>
        <w:numPr>
          <w:ilvl w:val="0"/>
          <w:numId w:val="2"/>
        </w:numPr>
        <w:tabs>
          <w:tab w:val="left" w:pos="420"/>
        </w:tabs>
        <w:kinsoku/>
        <w:wordWrap/>
        <w:overflowPunct/>
        <w:topLinePunct w:val="0"/>
        <w:autoSpaceDE/>
        <w:autoSpaceDN/>
        <w:bidi w:val="0"/>
        <w:adjustRightInd/>
        <w:snapToGrid/>
        <w:spacing w:line="360" w:lineRule="auto"/>
        <w:ind w:left="0" w:leftChars="0" w:firstLine="482" w:firstLineChars="200"/>
        <w:jc w:val="both"/>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历史报纸全信息数字化处理</w:t>
      </w:r>
    </w:p>
    <w:p>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南通日报》前身《江海报》（1942—1957年）的历史报纸进行版名、栏目、标题的数字化处理，包括：纸质报纸进场扫描（或缩微胶卷扫描图像）、图像处理、OCR识别、文字校对、简单标引和制作版面图像PDF等一系列数字化流程。</w:t>
      </w:r>
    </w:p>
    <w:p>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对《南通日报》（1951—1981年）的历史报纸进行全信息数字化处理，包括：纸质报纸扫描、图像处理、OCR识别、文字校对、标引分类、制作版面重构PDF和双层PDF等一系列数字化流程。</w:t>
      </w:r>
    </w:p>
    <w:p>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最终获得高质量和格式标准规范的成品数据。并尽量寻找和补齐缺失报纸。</w:t>
      </w:r>
    </w:p>
    <w:p>
      <w:pPr>
        <w:keepNext/>
        <w:keepLines/>
        <w:pageBreakBefore w:val="0"/>
        <w:widowControl w:val="0"/>
        <w:numPr>
          <w:ilvl w:val="0"/>
          <w:numId w:val="2"/>
        </w:numPr>
        <w:tabs>
          <w:tab w:val="left" w:pos="420"/>
        </w:tabs>
        <w:kinsoku/>
        <w:wordWrap/>
        <w:overflowPunct/>
        <w:topLinePunct w:val="0"/>
        <w:autoSpaceDE/>
        <w:autoSpaceDN/>
        <w:bidi w:val="0"/>
        <w:adjustRightInd/>
        <w:snapToGrid/>
        <w:spacing w:line="360" w:lineRule="auto"/>
        <w:ind w:left="0" w:leftChars="0" w:firstLine="482" w:firstLineChars="200"/>
        <w:jc w:val="both"/>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建设《南通日报》全文检索数据库</w:t>
      </w:r>
    </w:p>
    <w:p>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全文检索数据库系统，将完成数字化的成品数据导入数据库，建成“《南通日报》全刊检索数据库”，实现报纸数据内容的浏览、检索、统计、下载、复制、打印等功能，具备多维度、全方位的检索功能和数据管理功能。并配套提供数据库相关衍生产品的制作系统，实现数字剪报、专题资源数字产品等应用功能。</w:t>
      </w:r>
    </w:p>
    <w:p>
      <w:pPr>
        <w:keepNext/>
        <w:keepLines/>
        <w:pageBreakBefore w:val="0"/>
        <w:widowControl w:val="0"/>
        <w:numPr>
          <w:ilvl w:val="0"/>
          <w:numId w:val="2"/>
        </w:numPr>
        <w:tabs>
          <w:tab w:val="left" w:pos="420"/>
        </w:tabs>
        <w:kinsoku/>
        <w:wordWrap/>
        <w:overflowPunct/>
        <w:topLinePunct w:val="0"/>
        <w:autoSpaceDE/>
        <w:autoSpaceDN/>
        <w:bidi w:val="0"/>
        <w:adjustRightInd/>
        <w:snapToGrid/>
        <w:spacing w:line="360" w:lineRule="auto"/>
        <w:ind w:left="0" w:leftChars="0" w:firstLine="482" w:firstLineChars="200"/>
        <w:jc w:val="both"/>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构建部署报纸数据库网络服务平台</w:t>
      </w:r>
    </w:p>
    <w:p>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报社实际的应用需求，构建部署兼容性强的《南通日报》报纸数据网络服务平台，建立合理有效的用户管理体系、发布体系和完善的安全防护控制体系，提供全方位的、稳定安全的局域网、互联网、移动互联网的在线访问服务，满足各应用系统对接调用数据。</w:t>
      </w:r>
    </w:p>
    <w:p>
      <w:pPr>
        <w:pageBreakBefore w:val="0"/>
        <w:widowControl/>
        <w:numPr>
          <w:ilvl w:val="0"/>
          <w:numId w:val="1"/>
        </w:numPr>
        <w:tabs>
          <w:tab w:val="left" w:pos="0"/>
          <w:tab w:val="center" w:pos="420"/>
        </w:tabs>
        <w:kinsoku/>
        <w:wordWrap/>
        <w:overflowPunct/>
        <w:topLinePunct w:val="0"/>
        <w:autoSpaceDE/>
        <w:autoSpaceDN/>
        <w:bidi w:val="0"/>
        <w:adjustRightInd/>
        <w:snapToGrid/>
        <w:spacing w:line="360" w:lineRule="auto"/>
        <w:ind w:left="0" w:leftChars="0" w:firstLine="482" w:firstLineChars="200"/>
        <w:jc w:val="both"/>
        <w:textAlignment w:val="auto"/>
        <w:outlineLvl w:val="0"/>
        <w:rPr>
          <w:rFonts w:hint="eastAsia" w:ascii="宋体" w:hAnsi="宋体" w:eastAsia="宋体" w:cs="宋体"/>
          <w:b/>
          <w:bCs/>
          <w:color w:val="auto"/>
          <w:kern w:val="36"/>
          <w:sz w:val="24"/>
          <w:szCs w:val="40"/>
          <w:highlight w:val="none"/>
        </w:rPr>
      </w:pPr>
      <w:r>
        <w:rPr>
          <w:rFonts w:hint="eastAsia" w:ascii="宋体" w:hAnsi="宋体" w:eastAsia="宋体" w:cs="宋体"/>
          <w:b/>
          <w:bCs/>
          <w:color w:val="auto"/>
          <w:kern w:val="36"/>
          <w:sz w:val="24"/>
          <w:szCs w:val="40"/>
          <w:highlight w:val="none"/>
        </w:rPr>
        <w:t>项目技术规范和要求</w:t>
      </w:r>
    </w:p>
    <w:p>
      <w:pPr>
        <w:keepNext/>
        <w:keepLines/>
        <w:pageBreakBefore w:val="0"/>
        <w:widowControl w:val="0"/>
        <w:numPr>
          <w:ilvl w:val="0"/>
          <w:numId w:val="3"/>
        </w:numPr>
        <w:tabs>
          <w:tab w:val="left" w:pos="420"/>
        </w:tabs>
        <w:kinsoku/>
        <w:wordWrap/>
        <w:overflowPunct/>
        <w:topLinePunct w:val="0"/>
        <w:autoSpaceDE/>
        <w:autoSpaceDN/>
        <w:bidi w:val="0"/>
        <w:adjustRightInd/>
        <w:snapToGrid/>
        <w:spacing w:line="360" w:lineRule="auto"/>
        <w:ind w:left="0" w:leftChars="0" w:firstLine="482" w:firstLineChars="200"/>
        <w:jc w:val="both"/>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历史报纸数字化</w:t>
      </w:r>
    </w:p>
    <w:p>
      <w:pPr>
        <w:keepNext/>
        <w:keepLines/>
        <w:pageBreakBefore w:val="0"/>
        <w:widowControl w:val="0"/>
        <w:numPr>
          <w:ilvl w:val="1"/>
          <w:numId w:val="4"/>
        </w:numPr>
        <w:kinsoku/>
        <w:wordWrap/>
        <w:overflowPunct/>
        <w:topLinePunct w:val="0"/>
        <w:autoSpaceDE/>
        <w:autoSpaceDN/>
        <w:bidi w:val="0"/>
        <w:adjustRightInd/>
        <w:snapToGrid/>
        <w:spacing w:line="360" w:lineRule="auto"/>
        <w:ind w:left="0" w:leftChars="0" w:firstLine="482" w:firstLineChars="200"/>
        <w:jc w:val="both"/>
        <w:textAlignment w:val="auto"/>
        <w:outlineLvl w:val="2"/>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数字化加工内容和数量</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2945"/>
        <w:gridCol w:w="1095"/>
        <w:gridCol w:w="992"/>
        <w:gridCol w:w="767"/>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jc w:val="center"/>
              <w:rPr>
                <w:color w:val="auto"/>
                <w:highlight w:val="none"/>
              </w:rPr>
            </w:pPr>
            <w:r>
              <w:rPr>
                <w:rFonts w:hint="eastAsia"/>
                <w:color w:val="auto"/>
                <w:highlight w:val="none"/>
              </w:rPr>
              <w:t>报纸名称</w:t>
            </w:r>
          </w:p>
        </w:tc>
        <w:tc>
          <w:tcPr>
            <w:tcW w:w="2945" w:type="dxa"/>
            <w:vAlign w:val="center"/>
          </w:tcPr>
          <w:p>
            <w:pPr>
              <w:jc w:val="center"/>
              <w:rPr>
                <w:color w:val="auto"/>
                <w:highlight w:val="none"/>
              </w:rPr>
            </w:pPr>
            <w:r>
              <w:rPr>
                <w:rFonts w:hint="eastAsia"/>
                <w:color w:val="auto"/>
                <w:highlight w:val="none"/>
              </w:rPr>
              <w:t>时间范围</w:t>
            </w:r>
          </w:p>
        </w:tc>
        <w:tc>
          <w:tcPr>
            <w:tcW w:w="1095" w:type="dxa"/>
            <w:vAlign w:val="center"/>
          </w:tcPr>
          <w:p>
            <w:pPr>
              <w:jc w:val="center"/>
              <w:rPr>
                <w:color w:val="auto"/>
                <w:highlight w:val="none"/>
              </w:rPr>
            </w:pPr>
            <w:r>
              <w:rPr>
                <w:rFonts w:hint="eastAsia"/>
                <w:color w:val="auto"/>
                <w:highlight w:val="none"/>
              </w:rPr>
              <w:t>出版</w:t>
            </w:r>
          </w:p>
          <w:p>
            <w:pPr>
              <w:jc w:val="center"/>
              <w:rPr>
                <w:color w:val="auto"/>
                <w:highlight w:val="none"/>
              </w:rPr>
            </w:pPr>
            <w:r>
              <w:rPr>
                <w:rFonts w:hint="eastAsia"/>
                <w:color w:val="auto"/>
                <w:highlight w:val="none"/>
              </w:rPr>
              <w:t>数量</w:t>
            </w:r>
          </w:p>
        </w:tc>
        <w:tc>
          <w:tcPr>
            <w:tcW w:w="992" w:type="dxa"/>
            <w:vAlign w:val="center"/>
          </w:tcPr>
          <w:p>
            <w:pPr>
              <w:jc w:val="center"/>
              <w:rPr>
                <w:color w:val="auto"/>
                <w:highlight w:val="none"/>
              </w:rPr>
            </w:pPr>
            <w:r>
              <w:rPr>
                <w:rFonts w:hint="eastAsia"/>
                <w:color w:val="auto"/>
                <w:highlight w:val="none"/>
              </w:rPr>
              <w:t>加工</w:t>
            </w:r>
          </w:p>
          <w:p>
            <w:pPr>
              <w:jc w:val="center"/>
              <w:rPr>
                <w:color w:val="auto"/>
                <w:highlight w:val="none"/>
              </w:rPr>
            </w:pPr>
            <w:r>
              <w:rPr>
                <w:rFonts w:hint="eastAsia"/>
                <w:color w:val="auto"/>
                <w:highlight w:val="none"/>
              </w:rPr>
              <w:t>数量</w:t>
            </w:r>
          </w:p>
        </w:tc>
        <w:tc>
          <w:tcPr>
            <w:tcW w:w="767" w:type="dxa"/>
            <w:vAlign w:val="center"/>
          </w:tcPr>
          <w:p>
            <w:pPr>
              <w:jc w:val="center"/>
              <w:rPr>
                <w:color w:val="auto"/>
                <w:highlight w:val="none"/>
              </w:rPr>
            </w:pPr>
            <w:r>
              <w:rPr>
                <w:rFonts w:hint="eastAsia"/>
                <w:color w:val="auto"/>
                <w:highlight w:val="none"/>
              </w:rPr>
              <w:t>开本</w:t>
            </w:r>
          </w:p>
        </w:tc>
        <w:tc>
          <w:tcPr>
            <w:tcW w:w="1160" w:type="dxa"/>
            <w:vAlign w:val="center"/>
          </w:tcPr>
          <w:p>
            <w:pPr>
              <w:jc w:val="center"/>
              <w:rPr>
                <w:color w:val="auto"/>
                <w:highlight w:val="none"/>
              </w:rPr>
            </w:pPr>
            <w:r>
              <w:rPr>
                <w:rFonts w:hint="eastAsia"/>
                <w:color w:val="auto"/>
                <w:highlight w:val="none"/>
              </w:rPr>
              <w:t>字体版式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Merge w:val="restart"/>
            <w:vAlign w:val="center"/>
          </w:tcPr>
          <w:p>
            <w:pPr>
              <w:jc w:val="center"/>
              <w:rPr>
                <w:rFonts w:ascii="宋体" w:hAnsi="宋体"/>
                <w:color w:val="auto"/>
                <w:szCs w:val="22"/>
                <w:highlight w:val="none"/>
              </w:rPr>
            </w:pPr>
            <w:r>
              <w:rPr>
                <w:rFonts w:hint="eastAsia"/>
                <w:color w:val="auto"/>
                <w:highlight w:val="none"/>
              </w:rPr>
              <w:t>《江海报》</w:t>
            </w:r>
          </w:p>
        </w:tc>
        <w:tc>
          <w:tcPr>
            <w:tcW w:w="2945" w:type="dxa"/>
            <w:vAlign w:val="center"/>
          </w:tcPr>
          <w:p>
            <w:pPr>
              <w:rPr>
                <w:rFonts w:ascii="宋体" w:hAnsi="宋体"/>
                <w:color w:val="auto"/>
                <w:szCs w:val="22"/>
                <w:highlight w:val="none"/>
              </w:rPr>
            </w:pPr>
            <w:r>
              <w:rPr>
                <w:rFonts w:hint="eastAsia"/>
                <w:color w:val="auto"/>
                <w:highlight w:val="none"/>
              </w:rPr>
              <w:t>1942.1.1创刊至1945.11合并</w:t>
            </w:r>
          </w:p>
        </w:tc>
        <w:tc>
          <w:tcPr>
            <w:tcW w:w="1095" w:type="dxa"/>
            <w:vAlign w:val="center"/>
          </w:tcPr>
          <w:p>
            <w:pPr>
              <w:jc w:val="center"/>
              <w:rPr>
                <w:rFonts w:ascii="宋体" w:hAnsi="宋体"/>
                <w:color w:val="auto"/>
                <w:szCs w:val="22"/>
                <w:highlight w:val="none"/>
              </w:rPr>
            </w:pPr>
            <w:r>
              <w:rPr>
                <w:rFonts w:hint="eastAsia"/>
                <w:color w:val="auto"/>
                <w:highlight w:val="none"/>
                <w:shd w:val="clear" w:color="auto" w:fill="FFFFFF"/>
              </w:rPr>
              <w:t>3504版</w:t>
            </w:r>
          </w:p>
        </w:tc>
        <w:tc>
          <w:tcPr>
            <w:tcW w:w="992" w:type="dxa"/>
            <w:vMerge w:val="restart"/>
            <w:vAlign w:val="center"/>
          </w:tcPr>
          <w:p>
            <w:pPr>
              <w:jc w:val="center"/>
              <w:rPr>
                <w:color w:val="auto"/>
                <w:highlight w:val="none"/>
              </w:rPr>
            </w:pPr>
            <w:r>
              <w:rPr>
                <w:rFonts w:hint="eastAsia"/>
                <w:color w:val="auto"/>
                <w:highlight w:val="none"/>
              </w:rPr>
              <w:t>4000版</w:t>
            </w:r>
          </w:p>
        </w:tc>
        <w:tc>
          <w:tcPr>
            <w:tcW w:w="767" w:type="dxa"/>
            <w:vMerge w:val="restart"/>
            <w:vAlign w:val="center"/>
          </w:tcPr>
          <w:p>
            <w:pPr>
              <w:jc w:val="center"/>
              <w:rPr>
                <w:color w:val="auto"/>
                <w:highlight w:val="none"/>
              </w:rPr>
            </w:pPr>
            <w:r>
              <w:rPr>
                <w:rFonts w:hint="eastAsia"/>
                <w:color w:val="auto"/>
                <w:highlight w:val="none"/>
              </w:rPr>
              <w:t>四开</w:t>
            </w:r>
          </w:p>
        </w:tc>
        <w:tc>
          <w:tcPr>
            <w:tcW w:w="1160" w:type="dxa"/>
            <w:vMerge w:val="restart"/>
            <w:vAlign w:val="center"/>
          </w:tcPr>
          <w:p>
            <w:pPr>
              <w:jc w:val="center"/>
              <w:rPr>
                <w:rFonts w:ascii="宋体" w:hAnsi="宋体"/>
                <w:color w:val="auto"/>
                <w:szCs w:val="22"/>
                <w:highlight w:val="none"/>
              </w:rPr>
            </w:pPr>
            <w:r>
              <w:rPr>
                <w:rFonts w:hint="eastAsia"/>
                <w:color w:val="auto"/>
                <w:highlight w:val="none"/>
              </w:rPr>
              <w:t>繁体竖排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Merge w:val="continue"/>
            <w:vAlign w:val="center"/>
          </w:tcPr>
          <w:p>
            <w:pPr>
              <w:jc w:val="center"/>
              <w:rPr>
                <w:color w:val="auto"/>
                <w:highlight w:val="none"/>
              </w:rPr>
            </w:pPr>
          </w:p>
        </w:tc>
        <w:tc>
          <w:tcPr>
            <w:tcW w:w="2945" w:type="dxa"/>
            <w:vAlign w:val="center"/>
          </w:tcPr>
          <w:p>
            <w:pPr>
              <w:rPr>
                <w:rFonts w:ascii="宋体" w:hAnsi="宋体"/>
                <w:color w:val="auto"/>
                <w:szCs w:val="22"/>
                <w:highlight w:val="none"/>
              </w:rPr>
            </w:pPr>
            <w:r>
              <w:rPr>
                <w:rFonts w:hint="eastAsia"/>
                <w:color w:val="auto"/>
                <w:highlight w:val="none"/>
              </w:rPr>
              <w:t>1946.11.12至1950.4.4停刊</w:t>
            </w:r>
          </w:p>
        </w:tc>
        <w:tc>
          <w:tcPr>
            <w:tcW w:w="1095" w:type="dxa"/>
            <w:vAlign w:val="center"/>
          </w:tcPr>
          <w:p>
            <w:pPr>
              <w:jc w:val="center"/>
              <w:rPr>
                <w:rFonts w:ascii="宋体" w:hAnsi="宋体"/>
                <w:color w:val="auto"/>
                <w:szCs w:val="22"/>
                <w:highlight w:val="none"/>
              </w:rPr>
            </w:pPr>
            <w:r>
              <w:rPr>
                <w:rFonts w:hint="eastAsia"/>
                <w:color w:val="auto"/>
                <w:highlight w:val="none"/>
                <w:shd w:val="clear" w:color="auto" w:fill="FFFFFF"/>
              </w:rPr>
              <w:t>2032版</w:t>
            </w:r>
          </w:p>
        </w:tc>
        <w:tc>
          <w:tcPr>
            <w:tcW w:w="992" w:type="dxa"/>
            <w:vMerge w:val="continue"/>
            <w:vAlign w:val="center"/>
          </w:tcPr>
          <w:p>
            <w:pPr>
              <w:jc w:val="center"/>
              <w:rPr>
                <w:color w:val="auto"/>
                <w:highlight w:val="none"/>
              </w:rPr>
            </w:pPr>
          </w:p>
        </w:tc>
        <w:tc>
          <w:tcPr>
            <w:tcW w:w="767" w:type="dxa"/>
            <w:vMerge w:val="continue"/>
            <w:vAlign w:val="center"/>
          </w:tcPr>
          <w:p>
            <w:pPr>
              <w:rPr>
                <w:color w:val="auto"/>
                <w:highlight w:val="none"/>
              </w:rPr>
            </w:pPr>
          </w:p>
        </w:tc>
        <w:tc>
          <w:tcPr>
            <w:tcW w:w="1160" w:type="dxa"/>
            <w:vMerge w:val="continue"/>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Merge w:val="continue"/>
            <w:vAlign w:val="center"/>
          </w:tcPr>
          <w:p>
            <w:pPr>
              <w:jc w:val="center"/>
              <w:rPr>
                <w:color w:val="auto"/>
                <w:highlight w:val="none"/>
              </w:rPr>
            </w:pPr>
          </w:p>
        </w:tc>
        <w:tc>
          <w:tcPr>
            <w:tcW w:w="2945" w:type="dxa"/>
            <w:vAlign w:val="center"/>
          </w:tcPr>
          <w:p>
            <w:pPr>
              <w:rPr>
                <w:color w:val="auto"/>
                <w:highlight w:val="none"/>
              </w:rPr>
            </w:pPr>
            <w:r>
              <w:rPr>
                <w:rFonts w:hint="eastAsia"/>
                <w:color w:val="auto"/>
                <w:highlight w:val="none"/>
              </w:rPr>
              <w:t>1951.9.25复刊至</w:t>
            </w:r>
          </w:p>
          <w:p>
            <w:pPr>
              <w:rPr>
                <w:rFonts w:ascii="宋体" w:hAnsi="宋体"/>
                <w:color w:val="auto"/>
                <w:szCs w:val="22"/>
                <w:highlight w:val="none"/>
              </w:rPr>
            </w:pPr>
            <w:r>
              <w:rPr>
                <w:rFonts w:hint="eastAsia"/>
                <w:color w:val="auto"/>
                <w:highlight w:val="none"/>
              </w:rPr>
              <w:t>1952.11.15城市版改名</w:t>
            </w:r>
          </w:p>
        </w:tc>
        <w:tc>
          <w:tcPr>
            <w:tcW w:w="1095" w:type="dxa"/>
            <w:vAlign w:val="center"/>
          </w:tcPr>
          <w:p>
            <w:pPr>
              <w:jc w:val="center"/>
              <w:rPr>
                <w:rFonts w:ascii="宋体" w:hAnsi="宋体"/>
                <w:color w:val="auto"/>
                <w:szCs w:val="22"/>
                <w:highlight w:val="none"/>
              </w:rPr>
            </w:pPr>
            <w:r>
              <w:rPr>
                <w:rFonts w:hint="eastAsia"/>
                <w:color w:val="auto"/>
                <w:highlight w:val="none"/>
                <w:shd w:val="clear" w:color="auto" w:fill="FFFFFF"/>
              </w:rPr>
              <w:t>480版</w:t>
            </w:r>
          </w:p>
        </w:tc>
        <w:tc>
          <w:tcPr>
            <w:tcW w:w="992" w:type="dxa"/>
            <w:vMerge w:val="continue"/>
            <w:vAlign w:val="center"/>
          </w:tcPr>
          <w:p>
            <w:pPr>
              <w:jc w:val="center"/>
              <w:rPr>
                <w:color w:val="auto"/>
                <w:highlight w:val="none"/>
              </w:rPr>
            </w:pPr>
          </w:p>
        </w:tc>
        <w:tc>
          <w:tcPr>
            <w:tcW w:w="767" w:type="dxa"/>
            <w:vMerge w:val="continue"/>
            <w:vAlign w:val="center"/>
          </w:tcPr>
          <w:p>
            <w:pPr>
              <w:rPr>
                <w:color w:val="auto"/>
                <w:highlight w:val="none"/>
              </w:rPr>
            </w:pPr>
          </w:p>
        </w:tc>
        <w:tc>
          <w:tcPr>
            <w:tcW w:w="1160" w:type="dxa"/>
            <w:vMerge w:val="continue"/>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jc w:val="center"/>
              <w:rPr>
                <w:color w:val="auto"/>
                <w:highlight w:val="none"/>
              </w:rPr>
            </w:pPr>
            <w:r>
              <w:rPr>
                <w:rFonts w:hint="eastAsia"/>
                <w:color w:val="auto"/>
                <w:highlight w:val="none"/>
              </w:rPr>
              <w:t>《江海报》</w:t>
            </w:r>
          </w:p>
          <w:p>
            <w:pPr>
              <w:jc w:val="center"/>
              <w:rPr>
                <w:color w:val="auto"/>
                <w:highlight w:val="none"/>
              </w:rPr>
            </w:pPr>
            <w:r>
              <w:rPr>
                <w:rFonts w:hint="eastAsia"/>
                <w:color w:val="auto"/>
                <w:highlight w:val="none"/>
              </w:rPr>
              <w:t>农村版</w:t>
            </w:r>
          </w:p>
        </w:tc>
        <w:tc>
          <w:tcPr>
            <w:tcW w:w="2945" w:type="dxa"/>
            <w:vAlign w:val="center"/>
          </w:tcPr>
          <w:p>
            <w:pPr>
              <w:rPr>
                <w:rFonts w:ascii="宋体" w:hAnsi="宋体"/>
                <w:color w:val="auto"/>
                <w:szCs w:val="22"/>
                <w:highlight w:val="none"/>
              </w:rPr>
            </w:pPr>
            <w:r>
              <w:rPr>
                <w:rFonts w:hint="eastAsia"/>
                <w:color w:val="auto"/>
                <w:highlight w:val="none"/>
              </w:rPr>
              <w:t>1952.11.16至1957.5.1停刊</w:t>
            </w:r>
          </w:p>
        </w:tc>
        <w:tc>
          <w:tcPr>
            <w:tcW w:w="1095" w:type="dxa"/>
            <w:vAlign w:val="center"/>
          </w:tcPr>
          <w:p>
            <w:pPr>
              <w:jc w:val="center"/>
              <w:rPr>
                <w:rFonts w:ascii="宋体" w:hAnsi="宋体"/>
                <w:color w:val="auto"/>
                <w:szCs w:val="22"/>
                <w:highlight w:val="none"/>
              </w:rPr>
            </w:pPr>
            <w:r>
              <w:rPr>
                <w:rFonts w:hint="eastAsia"/>
                <w:color w:val="auto"/>
                <w:highlight w:val="none"/>
              </w:rPr>
              <w:t>2136版</w:t>
            </w:r>
          </w:p>
        </w:tc>
        <w:tc>
          <w:tcPr>
            <w:tcW w:w="992" w:type="dxa"/>
            <w:vMerge w:val="continue"/>
            <w:vAlign w:val="center"/>
          </w:tcPr>
          <w:p>
            <w:pPr>
              <w:jc w:val="center"/>
              <w:rPr>
                <w:color w:val="auto"/>
                <w:highlight w:val="none"/>
              </w:rPr>
            </w:pPr>
          </w:p>
        </w:tc>
        <w:tc>
          <w:tcPr>
            <w:tcW w:w="767" w:type="dxa"/>
            <w:vMerge w:val="continue"/>
            <w:vAlign w:val="center"/>
          </w:tcPr>
          <w:p>
            <w:pPr>
              <w:rPr>
                <w:color w:val="auto"/>
                <w:highlight w:val="none"/>
              </w:rPr>
            </w:pPr>
          </w:p>
        </w:tc>
        <w:tc>
          <w:tcPr>
            <w:tcW w:w="1160" w:type="dxa"/>
            <w:vMerge w:val="continue"/>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5" w:type="dxa"/>
            <w:gridSpan w:val="2"/>
            <w:vAlign w:val="center"/>
          </w:tcPr>
          <w:p>
            <w:pPr>
              <w:jc w:val="center"/>
              <w:rPr>
                <w:color w:val="auto"/>
                <w:highlight w:val="none"/>
              </w:rPr>
            </w:pPr>
            <w:r>
              <w:rPr>
                <w:rFonts w:hint="eastAsia"/>
                <w:color w:val="auto"/>
                <w:highlight w:val="none"/>
              </w:rPr>
              <w:t>合计</w:t>
            </w:r>
          </w:p>
        </w:tc>
        <w:tc>
          <w:tcPr>
            <w:tcW w:w="1095" w:type="dxa"/>
            <w:vAlign w:val="center"/>
          </w:tcPr>
          <w:p>
            <w:pPr>
              <w:jc w:val="center"/>
              <w:rPr>
                <w:rFonts w:ascii="宋体" w:hAnsi="宋体"/>
                <w:color w:val="auto"/>
                <w:szCs w:val="22"/>
                <w:highlight w:val="none"/>
              </w:rPr>
            </w:pPr>
            <w:r>
              <w:rPr>
                <w:rFonts w:hint="eastAsia"/>
                <w:color w:val="auto"/>
                <w:highlight w:val="none"/>
              </w:rPr>
              <w:t>8152版</w:t>
            </w:r>
          </w:p>
        </w:tc>
        <w:tc>
          <w:tcPr>
            <w:tcW w:w="992" w:type="dxa"/>
            <w:vAlign w:val="center"/>
          </w:tcPr>
          <w:p>
            <w:pPr>
              <w:jc w:val="center"/>
              <w:rPr>
                <w:color w:val="auto"/>
                <w:highlight w:val="none"/>
              </w:rPr>
            </w:pPr>
            <w:r>
              <w:rPr>
                <w:rFonts w:hint="eastAsia"/>
                <w:color w:val="auto"/>
                <w:highlight w:val="none"/>
              </w:rPr>
              <w:t>4000版</w:t>
            </w:r>
          </w:p>
        </w:tc>
        <w:tc>
          <w:tcPr>
            <w:tcW w:w="767" w:type="dxa"/>
            <w:vAlign w:val="center"/>
          </w:tcPr>
          <w:p>
            <w:pPr>
              <w:rPr>
                <w:color w:val="auto"/>
                <w:highlight w:val="none"/>
              </w:rPr>
            </w:pPr>
          </w:p>
        </w:tc>
        <w:tc>
          <w:tcPr>
            <w:tcW w:w="1160" w:type="dxa"/>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8519"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color w:val="auto"/>
                <w:highlight w:val="none"/>
              </w:rPr>
              <w:t>说明：战争年代的《江海报》严重缺失，报社实际可以找到的版面数量暂未知，本项目《江海报》加工数量和报价按4000版估算。该部分单价需包括</w:t>
            </w:r>
            <w:r>
              <w:rPr>
                <w:rFonts w:hint="eastAsia"/>
                <w:color w:val="auto"/>
                <w:highlight w:val="none"/>
                <w:lang w:eastAsia="zh-CN"/>
              </w:rPr>
              <w:t>国图等</w:t>
            </w:r>
            <w:r>
              <w:rPr>
                <w:rFonts w:hint="eastAsia"/>
                <w:color w:val="auto"/>
                <w:highlight w:val="none"/>
              </w:rPr>
              <w:t>第三方</w:t>
            </w:r>
            <w:r>
              <w:rPr>
                <w:rFonts w:hint="eastAsia"/>
                <w:color w:val="auto"/>
                <w:highlight w:val="none"/>
                <w:lang w:eastAsia="zh-CN"/>
              </w:rPr>
              <w:t>提供的</w:t>
            </w:r>
            <w:r>
              <w:rPr>
                <w:rFonts w:hint="eastAsia"/>
                <w:color w:val="auto"/>
                <w:highlight w:val="none"/>
              </w:rPr>
              <w:t>微缩胶卷版面图像、报纸扫描后图像</w:t>
            </w:r>
            <w:r>
              <w:rPr>
                <w:rFonts w:hint="eastAsia"/>
                <w:color w:val="auto"/>
                <w:highlight w:val="none"/>
                <w:lang w:eastAsia="zh-CN"/>
              </w:rPr>
              <w:t>的复制</w:t>
            </w:r>
            <w:r>
              <w:rPr>
                <w:rFonts w:hint="eastAsia"/>
                <w:color w:val="auto"/>
                <w:highlight w:val="none"/>
              </w:rPr>
              <w:t>费用</w:t>
            </w:r>
            <w:r>
              <w:rPr>
                <w:rFonts w:hint="eastAsia"/>
                <w:color w:val="auto"/>
                <w:highlight w:val="none"/>
                <w:lang w:eastAsia="zh-CN"/>
              </w:rPr>
              <w:t>和数字化加工费用</w:t>
            </w:r>
            <w:r>
              <w:rPr>
                <w:rFonts w:hint="eastAsia"/>
                <w:color w:val="auto"/>
                <w:highlight w:val="none"/>
              </w:rPr>
              <w:t>。</w:t>
            </w:r>
          </w:p>
        </w:tc>
      </w:tr>
    </w:tbl>
    <w:p>
      <w:pPr>
        <w:rPr>
          <w:color w:val="auto"/>
          <w:highlight w:val="none"/>
        </w:rPr>
      </w:pPr>
    </w:p>
    <w:tbl>
      <w:tblPr>
        <w:tblStyle w:val="23"/>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859"/>
        <w:gridCol w:w="2554"/>
        <w:gridCol w:w="1027"/>
        <w:gridCol w:w="672"/>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vAlign w:val="center"/>
          </w:tcPr>
          <w:p>
            <w:pPr>
              <w:jc w:val="center"/>
              <w:rPr>
                <w:color w:val="auto"/>
                <w:highlight w:val="none"/>
              </w:rPr>
            </w:pPr>
            <w:r>
              <w:rPr>
                <w:rFonts w:hint="eastAsia"/>
                <w:color w:val="auto"/>
                <w:highlight w:val="none"/>
              </w:rPr>
              <w:t>报纸名称</w:t>
            </w:r>
          </w:p>
        </w:tc>
        <w:tc>
          <w:tcPr>
            <w:tcW w:w="1859" w:type="dxa"/>
            <w:vAlign w:val="center"/>
          </w:tcPr>
          <w:p>
            <w:pPr>
              <w:jc w:val="center"/>
              <w:rPr>
                <w:color w:val="auto"/>
                <w:highlight w:val="none"/>
              </w:rPr>
            </w:pPr>
            <w:r>
              <w:rPr>
                <w:rFonts w:hint="eastAsia"/>
                <w:color w:val="auto"/>
                <w:highlight w:val="none"/>
              </w:rPr>
              <w:t>报头名称</w:t>
            </w:r>
          </w:p>
        </w:tc>
        <w:tc>
          <w:tcPr>
            <w:tcW w:w="2554" w:type="dxa"/>
            <w:vAlign w:val="center"/>
          </w:tcPr>
          <w:p>
            <w:pPr>
              <w:jc w:val="center"/>
              <w:rPr>
                <w:color w:val="auto"/>
                <w:highlight w:val="none"/>
              </w:rPr>
            </w:pPr>
            <w:r>
              <w:rPr>
                <w:rFonts w:hint="eastAsia"/>
                <w:color w:val="auto"/>
                <w:highlight w:val="none"/>
              </w:rPr>
              <w:t>时间范围</w:t>
            </w:r>
          </w:p>
        </w:tc>
        <w:tc>
          <w:tcPr>
            <w:tcW w:w="1027" w:type="dxa"/>
            <w:vAlign w:val="center"/>
          </w:tcPr>
          <w:p>
            <w:pPr>
              <w:jc w:val="center"/>
              <w:rPr>
                <w:color w:val="auto"/>
                <w:highlight w:val="none"/>
              </w:rPr>
            </w:pPr>
            <w:r>
              <w:rPr>
                <w:rFonts w:hint="eastAsia"/>
                <w:color w:val="auto"/>
                <w:highlight w:val="none"/>
              </w:rPr>
              <w:t>加工</w:t>
            </w:r>
          </w:p>
          <w:p>
            <w:pPr>
              <w:jc w:val="center"/>
              <w:rPr>
                <w:color w:val="auto"/>
                <w:highlight w:val="none"/>
              </w:rPr>
            </w:pPr>
            <w:r>
              <w:rPr>
                <w:rFonts w:hint="eastAsia"/>
                <w:color w:val="auto"/>
                <w:highlight w:val="none"/>
              </w:rPr>
              <w:t>数量</w:t>
            </w:r>
          </w:p>
        </w:tc>
        <w:tc>
          <w:tcPr>
            <w:tcW w:w="672" w:type="dxa"/>
            <w:vAlign w:val="center"/>
          </w:tcPr>
          <w:p>
            <w:pPr>
              <w:jc w:val="center"/>
              <w:rPr>
                <w:color w:val="auto"/>
                <w:highlight w:val="none"/>
              </w:rPr>
            </w:pPr>
            <w:r>
              <w:rPr>
                <w:rFonts w:hint="eastAsia"/>
                <w:color w:val="auto"/>
                <w:highlight w:val="none"/>
              </w:rPr>
              <w:t>开本</w:t>
            </w:r>
          </w:p>
        </w:tc>
        <w:tc>
          <w:tcPr>
            <w:tcW w:w="1128" w:type="dxa"/>
            <w:vAlign w:val="center"/>
          </w:tcPr>
          <w:p>
            <w:pPr>
              <w:jc w:val="center"/>
              <w:rPr>
                <w:color w:val="auto"/>
                <w:highlight w:val="none"/>
              </w:rPr>
            </w:pPr>
            <w:r>
              <w:rPr>
                <w:rFonts w:hint="eastAsia"/>
                <w:color w:val="auto"/>
                <w:highlight w:val="none"/>
              </w:rPr>
              <w:t>字体版式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vMerge w:val="restart"/>
            <w:vAlign w:val="center"/>
          </w:tcPr>
          <w:p>
            <w:pPr>
              <w:jc w:val="center"/>
              <w:rPr>
                <w:color w:val="auto"/>
                <w:highlight w:val="none"/>
              </w:rPr>
            </w:pPr>
            <w:r>
              <w:rPr>
                <w:rFonts w:hint="eastAsia"/>
                <w:color w:val="auto"/>
                <w:highlight w:val="none"/>
              </w:rPr>
              <w:t>《南通日报》</w:t>
            </w:r>
          </w:p>
        </w:tc>
        <w:tc>
          <w:tcPr>
            <w:tcW w:w="1859" w:type="dxa"/>
            <w:vAlign w:val="center"/>
          </w:tcPr>
          <w:p>
            <w:pPr>
              <w:jc w:val="center"/>
              <w:rPr>
                <w:color w:val="auto"/>
                <w:highlight w:val="none"/>
              </w:rPr>
            </w:pPr>
            <w:r>
              <w:rPr>
                <w:rFonts w:hint="eastAsia"/>
                <w:color w:val="auto"/>
                <w:highlight w:val="none"/>
              </w:rPr>
              <w:t>《南通市报》</w:t>
            </w:r>
          </w:p>
          <w:p>
            <w:pPr>
              <w:jc w:val="center"/>
              <w:rPr>
                <w:color w:val="auto"/>
                <w:highlight w:val="none"/>
              </w:rPr>
            </w:pPr>
            <w:r>
              <w:rPr>
                <w:rFonts w:hint="eastAsia"/>
                <w:color w:val="auto"/>
                <w:highlight w:val="none"/>
              </w:rPr>
              <w:t>临时版</w:t>
            </w:r>
          </w:p>
        </w:tc>
        <w:tc>
          <w:tcPr>
            <w:tcW w:w="2554" w:type="dxa"/>
            <w:vAlign w:val="center"/>
          </w:tcPr>
          <w:p>
            <w:pPr>
              <w:jc w:val="center"/>
              <w:rPr>
                <w:color w:val="auto"/>
                <w:highlight w:val="none"/>
              </w:rPr>
            </w:pPr>
            <w:r>
              <w:rPr>
                <w:rFonts w:hint="eastAsia"/>
                <w:color w:val="auto"/>
                <w:highlight w:val="none"/>
              </w:rPr>
              <w:t>1951.8.6</w:t>
            </w:r>
            <w:r>
              <w:rPr>
                <w:rFonts w:hint="eastAsia"/>
                <w:color w:val="auto"/>
                <w:sz w:val="22"/>
                <w:highlight w:val="none"/>
              </w:rPr>
              <w:t>至</w:t>
            </w:r>
            <w:r>
              <w:rPr>
                <w:rFonts w:hint="eastAsia"/>
                <w:color w:val="auto"/>
                <w:highlight w:val="none"/>
              </w:rPr>
              <w:t>1951.8.17试刊</w:t>
            </w:r>
          </w:p>
        </w:tc>
        <w:tc>
          <w:tcPr>
            <w:tcW w:w="1027" w:type="dxa"/>
            <w:vAlign w:val="center"/>
          </w:tcPr>
          <w:p>
            <w:pPr>
              <w:jc w:val="center"/>
              <w:rPr>
                <w:color w:val="auto"/>
                <w:highlight w:val="none"/>
              </w:rPr>
            </w:pPr>
            <w:r>
              <w:rPr>
                <w:rFonts w:hint="eastAsia"/>
                <w:color w:val="auto"/>
                <w:highlight w:val="none"/>
              </w:rPr>
              <w:t>48版</w:t>
            </w:r>
          </w:p>
        </w:tc>
        <w:tc>
          <w:tcPr>
            <w:tcW w:w="672" w:type="dxa"/>
            <w:vAlign w:val="center"/>
          </w:tcPr>
          <w:p>
            <w:pPr>
              <w:jc w:val="center"/>
              <w:rPr>
                <w:color w:val="auto"/>
                <w:highlight w:val="none"/>
              </w:rPr>
            </w:pPr>
            <w:r>
              <w:rPr>
                <w:rFonts w:hint="eastAsia"/>
                <w:color w:val="auto"/>
                <w:highlight w:val="none"/>
              </w:rPr>
              <w:t>四开</w:t>
            </w:r>
          </w:p>
        </w:tc>
        <w:tc>
          <w:tcPr>
            <w:tcW w:w="1128" w:type="dxa"/>
            <w:vAlign w:val="center"/>
          </w:tcPr>
          <w:p>
            <w:pPr>
              <w:jc w:val="center"/>
              <w:rPr>
                <w:color w:val="auto"/>
                <w:highlight w:val="none"/>
              </w:rPr>
            </w:pPr>
            <w:r>
              <w:rPr>
                <w:rFonts w:hint="eastAsia"/>
                <w:color w:val="auto"/>
                <w:highlight w:val="none"/>
              </w:rPr>
              <w:t>繁体竖排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vMerge w:val="continue"/>
            <w:vAlign w:val="center"/>
          </w:tcPr>
          <w:p>
            <w:pPr>
              <w:jc w:val="center"/>
              <w:rPr>
                <w:color w:val="auto"/>
                <w:highlight w:val="none"/>
              </w:rPr>
            </w:pPr>
          </w:p>
        </w:tc>
        <w:tc>
          <w:tcPr>
            <w:tcW w:w="1859" w:type="dxa"/>
            <w:vMerge w:val="restart"/>
            <w:vAlign w:val="center"/>
          </w:tcPr>
          <w:p>
            <w:pPr>
              <w:jc w:val="center"/>
              <w:rPr>
                <w:color w:val="auto"/>
                <w:highlight w:val="none"/>
              </w:rPr>
            </w:pPr>
            <w:r>
              <w:rPr>
                <w:rFonts w:hint="eastAsia"/>
                <w:color w:val="auto"/>
                <w:highlight w:val="none"/>
              </w:rPr>
              <w:t>《南通市报》</w:t>
            </w:r>
          </w:p>
          <w:p>
            <w:pPr>
              <w:jc w:val="center"/>
              <w:rPr>
                <w:color w:val="auto"/>
                <w:highlight w:val="none"/>
              </w:rPr>
            </w:pPr>
            <w:r>
              <w:rPr>
                <w:rFonts w:hint="eastAsia"/>
                <w:color w:val="auto"/>
                <w:highlight w:val="none"/>
              </w:rPr>
              <w:t>《南通日报》</w:t>
            </w:r>
          </w:p>
          <w:p>
            <w:pPr>
              <w:jc w:val="center"/>
              <w:rPr>
                <w:color w:val="auto"/>
                <w:highlight w:val="none"/>
              </w:rPr>
            </w:pPr>
            <w:r>
              <w:rPr>
                <w:rFonts w:hint="eastAsia"/>
                <w:color w:val="auto"/>
                <w:highlight w:val="none"/>
              </w:rPr>
              <w:t>《南通市报快报》</w:t>
            </w:r>
          </w:p>
          <w:p>
            <w:pPr>
              <w:jc w:val="center"/>
              <w:rPr>
                <w:color w:val="auto"/>
                <w:highlight w:val="none"/>
              </w:rPr>
            </w:pPr>
            <w:r>
              <w:rPr>
                <w:rFonts w:hint="eastAsia"/>
                <w:color w:val="auto"/>
                <w:highlight w:val="none"/>
              </w:rPr>
              <w:t>《学大庆战报》</w:t>
            </w:r>
          </w:p>
          <w:p>
            <w:pPr>
              <w:jc w:val="center"/>
              <w:rPr>
                <w:color w:val="auto"/>
                <w:highlight w:val="none"/>
              </w:rPr>
            </w:pPr>
            <w:r>
              <w:rPr>
                <w:rFonts w:hint="eastAsia"/>
                <w:color w:val="auto"/>
                <w:highlight w:val="none"/>
              </w:rPr>
              <w:t>《南通报》</w:t>
            </w:r>
          </w:p>
        </w:tc>
        <w:tc>
          <w:tcPr>
            <w:tcW w:w="2554" w:type="dxa"/>
            <w:vAlign w:val="center"/>
          </w:tcPr>
          <w:p>
            <w:pPr>
              <w:jc w:val="center"/>
              <w:rPr>
                <w:color w:val="auto"/>
                <w:sz w:val="22"/>
                <w:highlight w:val="none"/>
              </w:rPr>
            </w:pPr>
            <w:r>
              <w:rPr>
                <w:rFonts w:hint="eastAsia"/>
                <w:color w:val="auto"/>
                <w:highlight w:val="none"/>
              </w:rPr>
              <w:t>1952.11.16—1955.12.30</w:t>
            </w:r>
          </w:p>
        </w:tc>
        <w:tc>
          <w:tcPr>
            <w:tcW w:w="1027" w:type="dxa"/>
            <w:vAlign w:val="center"/>
          </w:tcPr>
          <w:p>
            <w:pPr>
              <w:jc w:val="center"/>
              <w:rPr>
                <w:color w:val="auto"/>
                <w:highlight w:val="none"/>
              </w:rPr>
            </w:pPr>
            <w:r>
              <w:rPr>
                <w:rFonts w:hint="eastAsia"/>
                <w:color w:val="auto"/>
                <w:highlight w:val="none"/>
              </w:rPr>
              <w:t>1304版</w:t>
            </w:r>
          </w:p>
        </w:tc>
        <w:tc>
          <w:tcPr>
            <w:tcW w:w="672" w:type="dxa"/>
            <w:vAlign w:val="center"/>
          </w:tcPr>
          <w:p>
            <w:pPr>
              <w:jc w:val="center"/>
              <w:rPr>
                <w:color w:val="auto"/>
                <w:highlight w:val="none"/>
              </w:rPr>
            </w:pPr>
            <w:r>
              <w:rPr>
                <w:rFonts w:hint="eastAsia"/>
                <w:color w:val="auto"/>
                <w:highlight w:val="none"/>
              </w:rPr>
              <w:t>四开</w:t>
            </w:r>
          </w:p>
        </w:tc>
        <w:tc>
          <w:tcPr>
            <w:tcW w:w="1128" w:type="dxa"/>
            <w:vAlign w:val="center"/>
          </w:tcPr>
          <w:p>
            <w:pPr>
              <w:jc w:val="center"/>
              <w:rPr>
                <w:color w:val="auto"/>
                <w:highlight w:val="none"/>
              </w:rPr>
            </w:pPr>
            <w:r>
              <w:rPr>
                <w:rFonts w:hint="eastAsia"/>
                <w:color w:val="auto"/>
                <w:highlight w:val="none"/>
              </w:rPr>
              <w:t>繁体竖排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vMerge w:val="continue"/>
            <w:vAlign w:val="center"/>
          </w:tcPr>
          <w:p>
            <w:pPr>
              <w:jc w:val="center"/>
              <w:rPr>
                <w:color w:val="auto"/>
                <w:highlight w:val="none"/>
              </w:rPr>
            </w:pPr>
          </w:p>
        </w:tc>
        <w:tc>
          <w:tcPr>
            <w:tcW w:w="1859" w:type="dxa"/>
            <w:vMerge w:val="continue"/>
            <w:vAlign w:val="center"/>
          </w:tcPr>
          <w:p>
            <w:pPr>
              <w:jc w:val="center"/>
              <w:rPr>
                <w:color w:val="auto"/>
                <w:highlight w:val="none"/>
              </w:rPr>
            </w:pPr>
          </w:p>
        </w:tc>
        <w:tc>
          <w:tcPr>
            <w:tcW w:w="2554" w:type="dxa"/>
            <w:vAlign w:val="center"/>
          </w:tcPr>
          <w:p>
            <w:pPr>
              <w:jc w:val="center"/>
              <w:rPr>
                <w:color w:val="auto"/>
                <w:sz w:val="22"/>
                <w:highlight w:val="none"/>
              </w:rPr>
            </w:pPr>
            <w:r>
              <w:rPr>
                <w:rFonts w:hint="eastAsia"/>
                <w:color w:val="auto"/>
                <w:highlight w:val="none"/>
              </w:rPr>
              <w:t>1956.1.1-1964.5.31</w:t>
            </w:r>
          </w:p>
        </w:tc>
        <w:tc>
          <w:tcPr>
            <w:tcW w:w="1027" w:type="dxa"/>
            <w:vAlign w:val="center"/>
          </w:tcPr>
          <w:p>
            <w:pPr>
              <w:jc w:val="center"/>
              <w:rPr>
                <w:color w:val="auto"/>
                <w:highlight w:val="none"/>
              </w:rPr>
            </w:pPr>
            <w:r>
              <w:rPr>
                <w:rFonts w:hint="eastAsia"/>
                <w:color w:val="auto"/>
                <w:highlight w:val="none"/>
              </w:rPr>
              <w:t>8474</w:t>
            </w:r>
            <w:r>
              <w:rPr>
                <w:rFonts w:hint="eastAsia"/>
                <w:color w:val="auto"/>
                <w:sz w:val="22"/>
                <w:highlight w:val="none"/>
              </w:rPr>
              <w:t>版</w:t>
            </w:r>
          </w:p>
        </w:tc>
        <w:tc>
          <w:tcPr>
            <w:tcW w:w="672" w:type="dxa"/>
            <w:vAlign w:val="center"/>
          </w:tcPr>
          <w:p>
            <w:pPr>
              <w:jc w:val="center"/>
              <w:rPr>
                <w:color w:val="auto"/>
                <w:sz w:val="22"/>
                <w:highlight w:val="none"/>
              </w:rPr>
            </w:pPr>
            <w:r>
              <w:rPr>
                <w:rFonts w:hint="eastAsia"/>
                <w:color w:val="auto"/>
                <w:highlight w:val="none"/>
              </w:rPr>
              <w:t>四开</w:t>
            </w:r>
          </w:p>
        </w:tc>
        <w:tc>
          <w:tcPr>
            <w:tcW w:w="1128" w:type="dxa"/>
            <w:vAlign w:val="center"/>
          </w:tcPr>
          <w:p>
            <w:pPr>
              <w:jc w:val="center"/>
              <w:rPr>
                <w:color w:val="auto"/>
                <w:sz w:val="22"/>
                <w:highlight w:val="none"/>
              </w:rPr>
            </w:pPr>
            <w:r>
              <w:rPr>
                <w:rFonts w:hint="eastAsia"/>
                <w:color w:val="auto"/>
                <w:highlight w:val="none"/>
              </w:rPr>
              <w:t>繁体横排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vMerge w:val="continue"/>
            <w:vAlign w:val="center"/>
          </w:tcPr>
          <w:p>
            <w:pPr>
              <w:jc w:val="center"/>
              <w:rPr>
                <w:color w:val="auto"/>
                <w:highlight w:val="none"/>
              </w:rPr>
            </w:pPr>
          </w:p>
        </w:tc>
        <w:tc>
          <w:tcPr>
            <w:tcW w:w="1859" w:type="dxa"/>
            <w:vMerge w:val="continue"/>
            <w:vAlign w:val="center"/>
          </w:tcPr>
          <w:p>
            <w:pPr>
              <w:jc w:val="center"/>
              <w:rPr>
                <w:color w:val="auto"/>
                <w:highlight w:val="none"/>
              </w:rPr>
            </w:pPr>
          </w:p>
        </w:tc>
        <w:tc>
          <w:tcPr>
            <w:tcW w:w="2554" w:type="dxa"/>
            <w:vAlign w:val="center"/>
          </w:tcPr>
          <w:p>
            <w:pPr>
              <w:jc w:val="center"/>
              <w:rPr>
                <w:color w:val="auto"/>
                <w:highlight w:val="none"/>
              </w:rPr>
            </w:pPr>
            <w:r>
              <w:rPr>
                <w:rFonts w:hint="eastAsia"/>
                <w:color w:val="auto"/>
                <w:highlight w:val="none"/>
              </w:rPr>
              <w:t>1964.6.1-1971.8.31</w:t>
            </w:r>
          </w:p>
        </w:tc>
        <w:tc>
          <w:tcPr>
            <w:tcW w:w="1027" w:type="dxa"/>
            <w:vAlign w:val="center"/>
          </w:tcPr>
          <w:p>
            <w:pPr>
              <w:jc w:val="center"/>
              <w:rPr>
                <w:color w:val="auto"/>
                <w:highlight w:val="none"/>
              </w:rPr>
            </w:pPr>
            <w:r>
              <w:rPr>
                <w:rFonts w:hint="eastAsia"/>
                <w:color w:val="auto"/>
                <w:highlight w:val="none"/>
              </w:rPr>
              <w:t>9048</w:t>
            </w:r>
            <w:r>
              <w:rPr>
                <w:rFonts w:hint="eastAsia"/>
                <w:color w:val="auto"/>
                <w:sz w:val="22"/>
                <w:highlight w:val="none"/>
              </w:rPr>
              <w:t>版</w:t>
            </w:r>
          </w:p>
        </w:tc>
        <w:tc>
          <w:tcPr>
            <w:tcW w:w="672" w:type="dxa"/>
            <w:vAlign w:val="center"/>
          </w:tcPr>
          <w:p>
            <w:pPr>
              <w:jc w:val="center"/>
              <w:rPr>
                <w:color w:val="auto"/>
                <w:highlight w:val="none"/>
              </w:rPr>
            </w:pPr>
            <w:r>
              <w:rPr>
                <w:rFonts w:hint="eastAsia"/>
                <w:color w:val="auto"/>
                <w:highlight w:val="none"/>
              </w:rPr>
              <w:t>四开</w:t>
            </w:r>
          </w:p>
        </w:tc>
        <w:tc>
          <w:tcPr>
            <w:tcW w:w="1128" w:type="dxa"/>
            <w:vAlign w:val="center"/>
          </w:tcPr>
          <w:p>
            <w:pPr>
              <w:jc w:val="center"/>
              <w:rPr>
                <w:color w:val="auto"/>
                <w:highlight w:val="none"/>
              </w:rPr>
            </w:pPr>
            <w:r>
              <w:rPr>
                <w:rFonts w:hint="eastAsia"/>
                <w:color w:val="auto"/>
                <w:highlight w:val="none"/>
              </w:rPr>
              <w:t>繁简混排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vMerge w:val="continue"/>
            <w:vAlign w:val="center"/>
          </w:tcPr>
          <w:p>
            <w:pPr>
              <w:jc w:val="center"/>
              <w:rPr>
                <w:color w:val="auto"/>
                <w:highlight w:val="none"/>
              </w:rPr>
            </w:pPr>
          </w:p>
        </w:tc>
        <w:tc>
          <w:tcPr>
            <w:tcW w:w="1859" w:type="dxa"/>
            <w:vMerge w:val="continue"/>
            <w:vAlign w:val="center"/>
          </w:tcPr>
          <w:p>
            <w:pPr>
              <w:jc w:val="center"/>
              <w:rPr>
                <w:color w:val="auto"/>
                <w:highlight w:val="none"/>
              </w:rPr>
            </w:pPr>
          </w:p>
        </w:tc>
        <w:tc>
          <w:tcPr>
            <w:tcW w:w="2554" w:type="dxa"/>
            <w:vAlign w:val="center"/>
          </w:tcPr>
          <w:p>
            <w:pPr>
              <w:jc w:val="center"/>
              <w:rPr>
                <w:color w:val="auto"/>
                <w:highlight w:val="none"/>
              </w:rPr>
            </w:pPr>
            <w:r>
              <w:rPr>
                <w:rFonts w:hint="eastAsia"/>
                <w:color w:val="auto"/>
                <w:highlight w:val="none"/>
              </w:rPr>
              <w:t>1977.6.25-1981.12.31</w:t>
            </w:r>
          </w:p>
        </w:tc>
        <w:tc>
          <w:tcPr>
            <w:tcW w:w="1027" w:type="dxa"/>
            <w:vAlign w:val="center"/>
          </w:tcPr>
          <w:p>
            <w:pPr>
              <w:jc w:val="center"/>
              <w:rPr>
                <w:color w:val="auto"/>
                <w:highlight w:val="none"/>
              </w:rPr>
            </w:pPr>
            <w:r>
              <w:rPr>
                <w:rFonts w:hint="eastAsia"/>
                <w:color w:val="auto"/>
                <w:highlight w:val="none"/>
              </w:rPr>
              <w:t>1836</w:t>
            </w:r>
            <w:r>
              <w:rPr>
                <w:rFonts w:hint="eastAsia"/>
                <w:color w:val="auto"/>
                <w:sz w:val="22"/>
                <w:highlight w:val="none"/>
              </w:rPr>
              <w:t>版</w:t>
            </w:r>
          </w:p>
        </w:tc>
        <w:tc>
          <w:tcPr>
            <w:tcW w:w="672" w:type="dxa"/>
            <w:vAlign w:val="center"/>
          </w:tcPr>
          <w:p>
            <w:pPr>
              <w:jc w:val="center"/>
              <w:rPr>
                <w:color w:val="auto"/>
                <w:highlight w:val="none"/>
              </w:rPr>
            </w:pPr>
            <w:r>
              <w:rPr>
                <w:rFonts w:hint="eastAsia"/>
                <w:color w:val="auto"/>
                <w:highlight w:val="none"/>
              </w:rPr>
              <w:t>四开</w:t>
            </w:r>
          </w:p>
        </w:tc>
        <w:tc>
          <w:tcPr>
            <w:tcW w:w="1128" w:type="dxa"/>
            <w:vAlign w:val="center"/>
          </w:tcPr>
          <w:p>
            <w:pPr>
              <w:jc w:val="center"/>
              <w:rPr>
                <w:color w:val="auto"/>
                <w:highlight w:val="none"/>
              </w:rPr>
            </w:pPr>
            <w:r>
              <w:rPr>
                <w:rFonts w:hint="eastAsia"/>
                <w:color w:val="auto"/>
                <w:highlight w:val="none"/>
              </w:rPr>
              <w:t>简体横排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vMerge w:val="continue"/>
            <w:vAlign w:val="center"/>
          </w:tcPr>
          <w:p>
            <w:pPr>
              <w:jc w:val="center"/>
              <w:rPr>
                <w:color w:val="auto"/>
                <w:highlight w:val="none"/>
              </w:rPr>
            </w:pPr>
          </w:p>
        </w:tc>
        <w:tc>
          <w:tcPr>
            <w:tcW w:w="1859" w:type="dxa"/>
            <w:vMerge w:val="continue"/>
            <w:vAlign w:val="center"/>
          </w:tcPr>
          <w:p>
            <w:pPr>
              <w:jc w:val="center"/>
              <w:rPr>
                <w:color w:val="auto"/>
                <w:highlight w:val="none"/>
              </w:rPr>
            </w:pPr>
          </w:p>
        </w:tc>
        <w:tc>
          <w:tcPr>
            <w:tcW w:w="2554" w:type="dxa"/>
            <w:vAlign w:val="center"/>
          </w:tcPr>
          <w:p>
            <w:pPr>
              <w:jc w:val="center"/>
              <w:rPr>
                <w:color w:val="auto"/>
                <w:highlight w:val="none"/>
              </w:rPr>
            </w:pPr>
            <w:r>
              <w:rPr>
                <w:rFonts w:hint="eastAsia"/>
                <w:color w:val="auto"/>
                <w:highlight w:val="none"/>
              </w:rPr>
              <w:t>补缺预估</w:t>
            </w:r>
          </w:p>
        </w:tc>
        <w:tc>
          <w:tcPr>
            <w:tcW w:w="1027" w:type="dxa"/>
            <w:vAlign w:val="center"/>
          </w:tcPr>
          <w:p>
            <w:pPr>
              <w:jc w:val="center"/>
              <w:rPr>
                <w:color w:val="auto"/>
                <w:highlight w:val="none"/>
              </w:rPr>
            </w:pPr>
            <w:r>
              <w:rPr>
                <w:rFonts w:hint="eastAsia"/>
                <w:color w:val="auto"/>
                <w:highlight w:val="none"/>
              </w:rPr>
              <w:t>300</w:t>
            </w:r>
            <w:r>
              <w:rPr>
                <w:rFonts w:hint="eastAsia"/>
                <w:color w:val="auto"/>
                <w:sz w:val="22"/>
                <w:highlight w:val="none"/>
              </w:rPr>
              <w:t>版</w:t>
            </w:r>
          </w:p>
        </w:tc>
        <w:tc>
          <w:tcPr>
            <w:tcW w:w="672" w:type="dxa"/>
            <w:vAlign w:val="center"/>
          </w:tcPr>
          <w:p>
            <w:pPr>
              <w:jc w:val="center"/>
              <w:rPr>
                <w:color w:val="auto"/>
                <w:highlight w:val="none"/>
              </w:rPr>
            </w:pPr>
            <w:r>
              <w:rPr>
                <w:rFonts w:hint="eastAsia"/>
                <w:color w:val="auto"/>
                <w:highlight w:val="none"/>
              </w:rPr>
              <w:t>四开</w:t>
            </w:r>
          </w:p>
        </w:tc>
        <w:tc>
          <w:tcPr>
            <w:tcW w:w="1128" w:type="dxa"/>
            <w:vAlign w:val="center"/>
          </w:tcPr>
          <w:p>
            <w:pPr>
              <w:jc w:val="center"/>
              <w:rPr>
                <w:color w:val="auto"/>
                <w:highlight w:val="none"/>
              </w:rPr>
            </w:pPr>
            <w:r>
              <w:rPr>
                <w:rFonts w:hint="eastAsia"/>
                <w:color w:val="auto"/>
                <w:highlight w:val="none"/>
              </w:rPr>
              <w:t>繁体横排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vMerge w:val="continue"/>
            <w:vAlign w:val="center"/>
          </w:tcPr>
          <w:p>
            <w:pPr>
              <w:jc w:val="center"/>
              <w:rPr>
                <w:color w:val="auto"/>
                <w:highlight w:val="none"/>
              </w:rPr>
            </w:pPr>
          </w:p>
        </w:tc>
        <w:tc>
          <w:tcPr>
            <w:tcW w:w="1859" w:type="dxa"/>
            <w:vMerge w:val="continue"/>
            <w:vAlign w:val="center"/>
          </w:tcPr>
          <w:p>
            <w:pPr>
              <w:jc w:val="center"/>
              <w:rPr>
                <w:color w:val="auto"/>
                <w:highlight w:val="none"/>
              </w:rPr>
            </w:pPr>
          </w:p>
        </w:tc>
        <w:tc>
          <w:tcPr>
            <w:tcW w:w="2554" w:type="dxa"/>
            <w:vAlign w:val="center"/>
          </w:tcPr>
          <w:p>
            <w:pPr>
              <w:jc w:val="center"/>
              <w:rPr>
                <w:color w:val="auto"/>
                <w:highlight w:val="none"/>
              </w:rPr>
            </w:pPr>
            <w:r>
              <w:rPr>
                <w:rFonts w:hint="eastAsia"/>
                <w:color w:val="auto"/>
                <w:highlight w:val="none"/>
              </w:rPr>
              <w:t>补缺预估</w:t>
            </w:r>
          </w:p>
        </w:tc>
        <w:tc>
          <w:tcPr>
            <w:tcW w:w="1027" w:type="dxa"/>
            <w:vAlign w:val="center"/>
          </w:tcPr>
          <w:p>
            <w:pPr>
              <w:jc w:val="center"/>
              <w:rPr>
                <w:color w:val="auto"/>
                <w:highlight w:val="none"/>
              </w:rPr>
            </w:pPr>
            <w:r>
              <w:rPr>
                <w:rFonts w:hint="eastAsia"/>
                <w:color w:val="auto"/>
                <w:highlight w:val="none"/>
              </w:rPr>
              <w:t>200</w:t>
            </w:r>
            <w:r>
              <w:rPr>
                <w:rFonts w:hint="eastAsia"/>
                <w:color w:val="auto"/>
                <w:sz w:val="22"/>
                <w:highlight w:val="none"/>
              </w:rPr>
              <w:t>版</w:t>
            </w:r>
          </w:p>
        </w:tc>
        <w:tc>
          <w:tcPr>
            <w:tcW w:w="672" w:type="dxa"/>
            <w:vAlign w:val="center"/>
          </w:tcPr>
          <w:p>
            <w:pPr>
              <w:jc w:val="center"/>
              <w:rPr>
                <w:color w:val="auto"/>
                <w:highlight w:val="none"/>
              </w:rPr>
            </w:pPr>
            <w:r>
              <w:rPr>
                <w:rFonts w:hint="eastAsia"/>
                <w:color w:val="auto"/>
                <w:highlight w:val="none"/>
              </w:rPr>
              <w:t>四开</w:t>
            </w:r>
          </w:p>
        </w:tc>
        <w:tc>
          <w:tcPr>
            <w:tcW w:w="1128" w:type="dxa"/>
            <w:vAlign w:val="center"/>
          </w:tcPr>
          <w:p>
            <w:pPr>
              <w:jc w:val="center"/>
              <w:rPr>
                <w:color w:val="auto"/>
                <w:highlight w:val="none"/>
              </w:rPr>
            </w:pPr>
            <w:r>
              <w:rPr>
                <w:rFonts w:hint="eastAsia"/>
                <w:color w:val="auto"/>
                <w:highlight w:val="none"/>
              </w:rPr>
              <w:t>简体横排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vMerge w:val="continue"/>
            <w:vAlign w:val="center"/>
          </w:tcPr>
          <w:p>
            <w:pPr>
              <w:jc w:val="center"/>
              <w:rPr>
                <w:color w:val="auto"/>
                <w:highlight w:val="none"/>
              </w:rPr>
            </w:pPr>
          </w:p>
        </w:tc>
        <w:tc>
          <w:tcPr>
            <w:tcW w:w="4413" w:type="dxa"/>
            <w:gridSpan w:val="2"/>
            <w:vAlign w:val="center"/>
          </w:tcPr>
          <w:p>
            <w:pPr>
              <w:jc w:val="center"/>
              <w:rPr>
                <w:color w:val="auto"/>
                <w:highlight w:val="none"/>
              </w:rPr>
            </w:pPr>
            <w:r>
              <w:rPr>
                <w:rFonts w:hint="eastAsia"/>
                <w:color w:val="auto"/>
                <w:highlight w:val="none"/>
              </w:rPr>
              <w:t>合计</w:t>
            </w:r>
          </w:p>
        </w:tc>
        <w:tc>
          <w:tcPr>
            <w:tcW w:w="1027" w:type="dxa"/>
            <w:vAlign w:val="center"/>
          </w:tcPr>
          <w:p>
            <w:pPr>
              <w:jc w:val="center"/>
              <w:rPr>
                <w:color w:val="auto"/>
                <w:highlight w:val="none"/>
              </w:rPr>
            </w:pPr>
            <w:r>
              <w:rPr>
                <w:rFonts w:hint="eastAsia"/>
                <w:color w:val="auto"/>
                <w:highlight w:val="none"/>
              </w:rPr>
              <w:t>21210</w:t>
            </w:r>
            <w:r>
              <w:rPr>
                <w:rFonts w:hint="eastAsia"/>
                <w:color w:val="auto"/>
                <w:sz w:val="22"/>
                <w:highlight w:val="none"/>
              </w:rPr>
              <w:t>版</w:t>
            </w:r>
          </w:p>
        </w:tc>
        <w:tc>
          <w:tcPr>
            <w:tcW w:w="672" w:type="dxa"/>
            <w:vAlign w:val="center"/>
          </w:tcPr>
          <w:p>
            <w:pPr>
              <w:jc w:val="center"/>
              <w:rPr>
                <w:color w:val="auto"/>
                <w:highlight w:val="none"/>
              </w:rPr>
            </w:pPr>
          </w:p>
        </w:tc>
        <w:tc>
          <w:tcPr>
            <w:tcW w:w="1128" w:type="dxa"/>
            <w:vAlign w:val="center"/>
          </w:tcPr>
          <w:p>
            <w:pPr>
              <w:jc w:val="center"/>
              <w:rPr>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6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须根据历史报纸加工类型、简繁体字体和版式进行数字化加工的分项报价。</w:t>
      </w:r>
    </w:p>
    <w:p>
      <w:pPr>
        <w:pStyle w:val="6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以上版面数量为估算数，可能存在误差，以实际加工情况为准进行项目的最终结算，按实际版面数量乘以对应单价进行核算。</w:t>
      </w:r>
    </w:p>
    <w:p>
      <w:pPr>
        <w:pStyle w:val="6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《江海报》《南通日报》</w:t>
      </w:r>
      <w:r>
        <w:rPr>
          <w:rFonts w:hint="eastAsia" w:ascii="宋体" w:hAnsi="宋体" w:eastAsia="宋体" w:cs="宋体"/>
          <w:color w:val="auto"/>
          <w:sz w:val="24"/>
          <w:szCs w:val="24"/>
          <w:highlight w:val="none"/>
        </w:rPr>
        <w:t>纸质报纸如有缺报纸、缺角、破损、开天窗等情况，</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需协助寻找原报，补齐缺陷，如</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全权委托</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寻找原报等事项，涉及第三方费用，该部分费用</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按成本价收取。</w:t>
      </w:r>
    </w:p>
    <w:p>
      <w:pPr>
        <w:keepNext/>
        <w:keepLines/>
        <w:pageBreakBefore w:val="0"/>
        <w:widowControl w:val="0"/>
        <w:numPr>
          <w:ilvl w:val="1"/>
          <w:numId w:val="4"/>
        </w:numPr>
        <w:kinsoku/>
        <w:wordWrap/>
        <w:overflowPunct/>
        <w:topLinePunct w:val="0"/>
        <w:autoSpaceDE/>
        <w:autoSpaceDN/>
        <w:bidi w:val="0"/>
        <w:adjustRightInd/>
        <w:snapToGrid/>
        <w:spacing w:line="360" w:lineRule="auto"/>
        <w:ind w:left="0" w:leftChars="0" w:firstLine="202" w:firstLineChars="84"/>
        <w:jc w:val="both"/>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数字化加工成果交付内容（技术指标序号1）</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本项目数字化成果数据须符合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文件中所有加工质量规范要求，数据不加密，导入检索数据库系统可正常使用，并可无缝对接采购人相关应用系统，实现数据的共享应用。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1.2.2数字化成果数据要求交付入库的成品数据、存档级成品数据、项目工程中间数据。具体规范如下：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《江海报》数字化成果数据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1）入库成品数据：即导入到数据库中的版面 PDF、图片、XML的结构化数据。包括版面大图（150DPI/JPG）；版面缩略图（100DPI/JPG）；版面图像PDF（150DPI/JPG）；新闻图（100DPI/JPG）；新闻原图（300DPI/JPG）；XML文件。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存档级成品数据：高精度的、用于存档的成品数据。包括：纸质报纸原始扫描版面图像（400DPI/TIF）、缩微胶卷原始扫描版面图像（黑白二值/600DPI/TIF）；修图后的版面图像（300DPI/TIF）；修图后裁出的新闻图（300DPI/TIF）； XML文件。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3）项目工程中间数据：加工过程中产生的工程数据。包括标题成品OCR工程文件。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 《南通日报》数字化成果数据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1）入库成品数据：即导入到数据库中的版面 PDF、图片、XML的结构化数据。包括版面大图（150DPI/JPG）；版面缩略图（100DPI/JPG）；版面图像PDF（150DPI/JPG）；版面重构PDF（矢量PDF，新闻图、插图、广告图等为150DPI/JPG）；版面双层PDF（图像层为150DPI/JPG）；新闻图（100DPI/JPG）；新闻原图（300DPI/JPG）；XML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2）存档级成品数据：高精度的、用于存档的成品数据。包括：原始扫描版面图像（400DPI/TIF）；修图后的版面图像（300DPI/TIF）；版面重构矢量 PDF（新闻图、插图、广告图等为300DPI/JPG）；版面双层PDF（图像层为300DPI/JPG）；反解后的版面矢量PDF（新闻图、广告图300DPI/JPG）；修图后裁出的新闻图（300DPI/TIF）、XML文件。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3）项目工程中间数据：加工过程中产生的工程数据。包括成品OCR工程文件。</w:t>
      </w:r>
    </w:p>
    <w:p>
      <w:pPr>
        <w:keepNext/>
        <w:keepLines/>
        <w:pageBreakBefore w:val="0"/>
        <w:widowControl w:val="0"/>
        <w:numPr>
          <w:ilvl w:val="1"/>
          <w:numId w:val="4"/>
        </w:numPr>
        <w:kinsoku/>
        <w:wordWrap/>
        <w:overflowPunct/>
        <w:topLinePunct w:val="0"/>
        <w:autoSpaceDE/>
        <w:autoSpaceDN/>
        <w:bidi w:val="0"/>
        <w:adjustRightInd/>
        <w:snapToGrid/>
        <w:spacing w:line="360" w:lineRule="auto"/>
        <w:ind w:left="0" w:leftChars="0" w:firstLine="482" w:firstLineChars="200"/>
        <w:jc w:val="both"/>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历史报纸数字化质量规范要求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《江海报》（1942—1957年）</w:t>
      </w:r>
      <w:r>
        <w:rPr>
          <w:rFonts w:hint="eastAsia" w:ascii="宋体" w:hAnsi="宋体" w:eastAsia="宋体" w:cs="宋体"/>
          <w:color w:val="auto"/>
          <w:sz w:val="24"/>
          <w:szCs w:val="24"/>
          <w:highlight w:val="none"/>
          <w:lang w:eastAsia="zh-CN"/>
        </w:rPr>
        <w:t>需</w:t>
      </w:r>
      <w:r>
        <w:rPr>
          <w:rFonts w:hint="eastAsia" w:ascii="宋体" w:hAnsi="宋体" w:eastAsia="宋体" w:cs="宋体"/>
          <w:color w:val="auto"/>
          <w:sz w:val="24"/>
          <w:szCs w:val="24"/>
          <w:highlight w:val="none"/>
        </w:rPr>
        <w:t>进行版名、栏目、标题的数字化处理。包括：</w:t>
      </w:r>
      <w:r>
        <w:rPr>
          <w:rFonts w:hint="eastAsia" w:ascii="宋体" w:hAnsi="宋体" w:eastAsia="宋体" w:cs="宋体"/>
          <w:color w:val="auto"/>
          <w:sz w:val="24"/>
          <w:szCs w:val="24"/>
          <w:highlight w:val="none"/>
          <w:lang w:eastAsia="zh-CN"/>
        </w:rPr>
        <w:t>纸质报纸扫描、</w:t>
      </w:r>
      <w:r>
        <w:rPr>
          <w:rFonts w:hint="eastAsia" w:ascii="宋体" w:hAnsi="宋体" w:eastAsia="宋体" w:cs="宋体"/>
          <w:color w:val="auto"/>
          <w:sz w:val="24"/>
          <w:szCs w:val="24"/>
          <w:highlight w:val="none"/>
        </w:rPr>
        <w:t>图像处理、文章标题OCR识别和校对、简单标引和制作版面图像PDF等一系列数字化流程。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《南通日报》（1951—1981年）的历史报纸进行全信息数字化处理，包括：纸质报纸扫描、图像处理、版面OCR识别、文字校对、标引分类、制作版面重构PDF和双层PDF等一系列数字化流程。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具体质量规范如下：</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报纸交接、清点、拆开和装订（技术指标序号2）</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在采购人存放《南通日报》历史报纸的地点书面交接报纸，需协助采购人对报纸进行清理，尽量找出品相最好的报纸，以保证扫描效果。</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可将报纸运回办公地点进行扫描，要防止在运输过程和加工过程中损毁。对于部分孤本或珍品的历史报纸，采购人可要求成交人自带扫描等相关设备、派工作人员到采购人现场指定地点扫描报纸。</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对纸质报纸逐版进行详细清查，包括：历史报纸出版数量、对应版面数量、通版和增刊数量，报纸字体、版式和开本，清查报纸期号的连续性（包括缺期缺版、跳期重期、期数印刷错误），记录报纸残缺破损、开天窗、印刷模糊、污渍严重、涂抹等信息。以日为单位将数据整理成册交付给采购人，以便进行核对和补缺。</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纸合订本可以拆开进行扫描，项目完成后由成交人负责按顺序装订复原。在拆分及装订过程中，需保证报纸不损坏、不折页、版面内容完整、页码顺序正确、页面整齐，装订效果尽量贴近拆分前样式，进行修复性装订，确保报纸在项目完成后完整归还。</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对于特别老旧的报纸，因纸的韧度不够，再次装订容易发生损坏，成交人应做评估后，按顺序装盒封存，确保报纸在项目完成后完整归还。</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报纸扫描（技术指标序号3）</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纸质报纸按400dpi高精度整版扫描，报纸如有中缝必须扫描，确保版面文件的完整性。黑白版面采用灰度技术扫描，套红、彩色版面采用彩色技术扫描；须根据不同年代报纸保存状况，设置相对应的扫描参数，严禁以低精度冒充高精度或使用插值方式更改精度信息。</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《江海报》用缩微胶卷扫描的版面图像参数为：黑白二值、600DPI、TIF格式。</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报纸扫描要求在报纸外加一层保护膜，按报纸版面原尺寸进行扫描，版心居中，尽可能好的色彩、对比度还原，必须确保版面文件的完整性，扫描时遇到空白、缺损、不清晰、不能铺平的版面时须登记。</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扫描数据存储：扫描影像作为保存级别的图像数据，存储为未压缩的TIF和未压缩的JPG两种格式，同时进行双备份。</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图像文件命名规则：news-报名-期号-日期-早晚刊-版次-分辨率-文件格式（示例：news-ntrb-00001-19490715-m-001-400.tif）。文件名必须正确，不允许有错误的文件名。</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版面图像处理（技术指标序号4）</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对扫描的报纸版面图像进行纠斜、去污去噪、图像调整优化等修图处理，要求基于每版色彩及清晰度特点，逐版进行精修图处理，不允许批处理，修图后的版面图像满足重新再版印刷。</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扫描的版面图进行纠斜调整，纠正后倾斜度不超过0.5度；去掉扫描过程中可能出现的噪音（污斑、黑点）；调整图像的模式、倾斜度、色彩、分辨率、亮度/对比度，使图像色彩和原始媒介基本相同；图像处理后的文件要求版面文件内容完整无缺，图像清晰、平直、干净，版心居中，版面大小统一，无明显倾斜，无污点，无颜色失真现象，版面和文字不可太白或太黑，文字不可断线。</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全部图片（含广告）应单独裁切，经标引后以原扫描像素和原色彩交付。</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报纸如有中缝须与双数版面拼接在一起。</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图数据存储：修图后的文件保存为原始图像和发布级图像两种格式标准。保存级别的图像数据采用未压缩的TIF格式存储保留，图像精度为不低于300dpi；根据应用需求进行压缩或转换的应用级别图像数据，采用JPG压缩格式存储保留，JPEG压缩时要将品质参数选到最高（100%），版面缩略图精度为不低于150dpi精度，版面图像PDF精度为不低于300dpi，所有图像数据需双备份。</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文字处理（技术指标序号5）</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《江海报》对版名、栏目、标题进行全文数字化；《南通日报》为版面全文数字化，软文广告全文数字化，中缝为新闻文章的全文数字化。</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对修图后的版面图像进行OCR识别和文字校对修正。要求识别版面文章顺序，精准划分每篇文章区域，实现入库后文章、图片在版面上有热区定位。</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OCR识别文字进行校对修正，保证《江海报》的版名、栏目、标题的文字正确率，和《南通日报》版面全文的正确率。文字差错率要求在万分之一以内。漏字、错字、标点符号错误、分段换行不对等均计入差错。因报纸印刷模糊或保存情况不好，无法辨识清楚的文字，包括文字模糊无法辨认、字体残缺、版面有空白等，用方框符标记，方框符不计入差错率；</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文章按照日期、版次、栏目等层次组织。</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《南通日报》转版文章，应连成一篇文章，入库后在两个版面上，点击都能看到整篇文章全文。</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《南通日报》特定文章的文字须准确无误。包含：</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历届党和国家领导人名单，历届省/市委和省/市政府领导人名单，全国人大、政协领导人名单，省/市人大、政协的领导人和主席团人员名单，须正确无误。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国家及本省、市领导人的讲话、报告，党章、政府工作报告，国家及本省颁布的法令法规、行政条例、规章（含公告），须正确无误。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易引起国际、地区、民族、宗教等纠纷的国名、地区名、人名等词句，须正确无误。</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加工时如发现原文</w:t>
      </w:r>
      <w:r>
        <w:rPr>
          <w:rFonts w:hint="eastAsia" w:ascii="宋体" w:hAnsi="宋体" w:eastAsia="宋体" w:cs="宋体"/>
          <w:color w:val="auto"/>
          <w:sz w:val="24"/>
          <w:szCs w:val="24"/>
          <w:highlight w:val="none"/>
          <w:lang w:val="en-US" w:eastAsia="zh-CN"/>
        </w:rPr>
        <w:t>错误</w:t>
      </w:r>
      <w:r>
        <w:rPr>
          <w:rFonts w:hint="eastAsia" w:ascii="宋体" w:hAnsi="宋体" w:eastAsia="宋体" w:cs="宋体"/>
          <w:color w:val="auto"/>
          <w:sz w:val="24"/>
          <w:szCs w:val="24"/>
          <w:highlight w:val="none"/>
        </w:rPr>
        <w:t>，需登记造册提交采购人，如采购人以书面确认修改，成交人要修改原文错误。</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版面文章制作（技术指标序号6）</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本项目《江海报》要求制作版面图像PDF文件；《南通日报》要求制作版面重构PDF格式和双层PDF格式。版面数据完整性要求达到100%。</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《江海报》版面图像PDF：要求为150DPI、JPG格式，其中版名、栏目、标题为双层PDF。</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作版面双层PDF的要求：在完成版面图精修、文字校正后，导出生成版面双层PDF文件。版面双层PDF具有两层结构，上层为版面图像层，下层为透明的文本层。每个版面双层PDF应当完全符合下列质量标准，如有一项不符合，即视该版为不合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A.版面双层PDF的版面图像层与文字层必须对准，对准率≧98%；有特殊效果的文字（艺术效果、手写文字或铅印非等间距的文字）偏差不得超过1/3个字。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B.版面双层PDF须版心居中，版心四周空白均匀，需制作版面图像层精度为300DPI（存档级）和150DPI（应用级）的两个级别的版面双层PDF文件。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C.双层PDF须兼容Adobe Reader软件的所有版本。</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D.采用Adobe公司统一的PDF生成标准，双层PDF中的文字可以复制并正确显示，文字层的文字差错率≤万分之一，所有字体要求内嵌（包括补字），不依赖于任何字库。</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E.文章坐标：每篇文章的坐标应精确展示，版式为矩形的文章以矩形展示，版式不规则的文章以不规则多边形展示。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F.提供每版的双层PDF版面XML格式描述文件，对版面结构内容和版面文字属性进行相关描述。</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作版面重构PDF的要求：对纸质报纸的版面结构（包括字坐标、行坐标、段落坐标、文章区域坐标等）和版面内容（文字的内容、字体、字号、颜色等）全部信息进行数字化处理，形成版面矢量PDF文件，保证重构PDF版面与原报版面效果基本一致，文字可任意倍数放大无锯齿现象。每个版面重构PDF应当完全符合下列质量标准，如有一项不符合，即视该版为不合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A.重构PDF兼容Adobe Reader软件的所有版本。</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B.采用Adobe公司统一的PDF生成标准，重构PDF中的文字可以复制并正确显示，文字层的文字差错率≤万分之一，所有字体要求内嵌（包括补字），不依赖于任何字库。</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C.文章坐标：每篇文章的坐标应精确展示，版式为矩形的文章以矩形展示，版式不规则的文章以不规则多边形展示。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D.重构PDF与原版版面要求完全一致的内容有：版面尺寸、正文文字栏两端版式、文字与文字之间的字间距、行与行之间的行间距、文字颜色。</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E.重构PDF版面内容和版式要完整正确，并不能有漏字、多字、错字，不能有污点。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F.重构PDF版面线条粗细与原报接近，大小偏差≤0.2磅；文章区域和文字位置应与原报版面位置大小偏差≤0.2个字；标题文字字号与原报字号大小偏差≤1磅；正文文字字号与原报字号大小偏差≤0.5磅。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G.报纸版面中有艺术效果的文字（包含标题、作者、栏目、印章、题字），在制作版面重构PDF时，原版艺术效果做图像处理，将文字置于图像下方用于检索，下方文字不能超出上层图像范围。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H.提供每版的重构PDF版面XML格式描述文件，对版面结构内容和版面文字属性进行相关描述。</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链接要求：版面和文本能够相互链接，文本文件中包含图片。文本和报纸原版式建立一一对应的关系，可相互转换阅读，版面上对应文章区应加框显示。</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标引制作（技术指标序号7）</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《江海报》标引字段项要求包含：报名、期号、出版日期、当日版面数、版次、版名、栏目、标题（引题、正题、副题）、坐标、版面大图、版面缩略图、版面尺寸。</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《南通日报》以版面、文章、图片、广告为单位进行标引，标引字段</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rPr>
        <w:t>包括：报名/期号/出版日期/当日版面数/版次/版名/版条/栏目/文章来源/文章引题/文章标题/文章副题/文章作者/文章体裁/文章分类/文章正文/文章字数/人物/地区/图片来源/图片标题/图片作者/图片说明/图片数量/广告产品/广告主/广告类型/广告色彩/广告面积/坐标。</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标引的文字差错率要求在万分之一以内。版名、出版日期须正确无误。版面上文章标引顺序规则为：先从上到下、再从左到右。</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最新颁布的国家新闻分类法并结合《南通日报》新闻报道的特色，以采购人为主导进行标引分类。分类规则依据国家标准《中文新闻信息分类与代码》（GB/T20093-2022），国际国内新闻分到3级，对当地新闻或专题新闻分到5级。要求对新闻文章通读理解，根据文章主题，匹配适合的分类类目，标出类目名称和代码；文章内容涉及多个主题、多重学科时要求复分；同时有主要和次要主题的，要提取出主要的主题进行分类；主题在类目表中没有专指类可入，需将信息归入到最直接的上位类目中。</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根据采购人提供的专题列表，增加特色类目，进行专题的编制。</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在项目加工前，采购人可根据实际需求微调标引内容或增加不超过五项标引，在没有实质性增加加工难度时，成交人不得加价或拒绝。</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其他规范要求（技术指标序号8）</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《南通日报》的硬广告按图像处理，只做扫描和简单标引；软文广告做新闻文章处理，需全文数字化，制作、标引与正常版面保持一致。</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通日报》报纸中缝为新闻文章的，需全文数字化，制作、标引与正常版面保持一致；中缝为广告的，硬广告按图像处理，只做扫描和简单标引；软文广告作新闻文章处理，需全文数字化，制作、标引与正常版面保持一致。中缝处有正常版面的新闻转文信息，需要提取中缝新闻转文内容到正版文章中进行合并处理。</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漏字、错字、标点符号错误、分段换行不对等、坐标错误（热区是否准确）、标引错误、文章划分错误、文件对应关系错误（文章、新闻图、PDF版面、版面大图、版面缩略图）等情况均计入差错。同样差错出现多次，按次数计差错。</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要求获得高质量和标准格式的成品数据，且数据接口规范（数据的存储结构、格式、技术参数等）都需要符合采购人各应用系统的技术要求，以满足采购人各个生产系统对接调用和共享，并支持每天新产生的报纸数据与各系统的对接更新。</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0" w:firstLineChars="0"/>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缺报情况的处理（技术指标序号9）</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本项目历史报纸如有缺失、缺角、破损、开天窗等情况，</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需配合寻找原报，补齐缺陷。如需到采购人或相关图书馆、档案馆等机构扫描的，由成交人安排工作人员进场扫描。如扫描时相关机构需收取费用的，由采购人支付，或采购人和成交人根据实际情况进行协商解决。</w:t>
      </w:r>
    </w:p>
    <w:p>
      <w:pPr>
        <w:keepNext/>
        <w:keepLines/>
        <w:pageBreakBefore w:val="0"/>
        <w:widowControl w:val="0"/>
        <w:numPr>
          <w:ilvl w:val="0"/>
          <w:numId w:val="3"/>
        </w:numPr>
        <w:tabs>
          <w:tab w:val="left" w:pos="420"/>
        </w:tabs>
        <w:kinsoku/>
        <w:wordWrap/>
        <w:overflowPunct/>
        <w:topLinePunct w:val="0"/>
        <w:autoSpaceDE/>
        <w:autoSpaceDN/>
        <w:bidi w:val="0"/>
        <w:adjustRightInd/>
        <w:snapToGrid/>
        <w:spacing w:line="360" w:lineRule="auto"/>
        <w:ind w:left="0" w:leftChars="0" w:firstLine="482" w:firstLineChars="200"/>
        <w:jc w:val="both"/>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《南通日报》全文检索数据库系统</w:t>
      </w:r>
    </w:p>
    <w:p>
      <w:pPr>
        <w:keepNext/>
        <w:keepLines/>
        <w:pageBreakBefore w:val="0"/>
        <w:widowControl w:val="0"/>
        <w:numPr>
          <w:ilvl w:val="1"/>
          <w:numId w:val="3"/>
        </w:numPr>
        <w:tabs>
          <w:tab w:val="left" w:pos="420"/>
        </w:tabs>
        <w:kinsoku/>
        <w:wordWrap/>
        <w:overflowPunct/>
        <w:topLinePunct w:val="0"/>
        <w:autoSpaceDE/>
        <w:autoSpaceDN/>
        <w:bidi w:val="0"/>
        <w:adjustRightInd/>
        <w:snapToGrid/>
        <w:spacing w:line="36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数据库产品交付内容</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交付本项目建设的《江海报》《南通日报》检索数据库，数据库应包括本项目《江海报》《南通日报》的所有入库数据，并能逐日或逐月或逐年增添新内容；数据库的功能须满足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文件全部技术要求。</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交付按报社各种要求入库的个性化专题成品数据库。</w:t>
      </w:r>
    </w:p>
    <w:p>
      <w:pPr>
        <w:keepNext/>
        <w:keepLines/>
        <w:pageBreakBefore w:val="0"/>
        <w:widowControl w:val="0"/>
        <w:numPr>
          <w:ilvl w:val="1"/>
          <w:numId w:val="3"/>
        </w:numPr>
        <w:tabs>
          <w:tab w:val="left" w:pos="420"/>
        </w:tabs>
        <w:kinsoku/>
        <w:wordWrap/>
        <w:overflowPunct/>
        <w:topLinePunct w:val="0"/>
        <w:autoSpaceDE/>
        <w:autoSpaceDN/>
        <w:bidi w:val="0"/>
        <w:adjustRightInd/>
        <w:snapToGrid/>
        <w:spacing w:line="36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数据库系统总体技术要求</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本项目建设的</w:t>
      </w:r>
      <w:r>
        <w:rPr>
          <w:rFonts w:hint="eastAsia" w:ascii="宋体" w:hAnsi="宋体" w:eastAsia="宋体" w:cs="宋体"/>
          <w:color w:val="auto"/>
          <w:sz w:val="24"/>
          <w:szCs w:val="24"/>
          <w:highlight w:val="none"/>
        </w:rPr>
        <w:t>检索数据库</w:t>
      </w:r>
      <w:r>
        <w:rPr>
          <w:rFonts w:hint="eastAsia" w:ascii="宋体" w:hAnsi="宋体" w:eastAsia="宋体" w:cs="宋体"/>
          <w:bCs/>
          <w:color w:val="auto"/>
          <w:kern w:val="10"/>
          <w:sz w:val="24"/>
          <w:szCs w:val="24"/>
          <w:highlight w:val="none"/>
        </w:rPr>
        <w:t>具备浏览、检索、统计、复制、下载、打印等功能，并能逐日或逐月或逐年增添新内容，实现报纸内容资源的整合和管理。</w:t>
      </w:r>
    </w:p>
    <w:p>
      <w:pPr>
        <w:pageBreakBefore w:val="0"/>
        <w:widowControl w:val="0"/>
        <w:numPr>
          <w:ilvl w:val="2"/>
          <w:numId w:val="1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建立“版面库”“文章库”“图片库”“广告库”“作者库”“专题库”等子库，支持单子库检索和跨库检索。实现对海量报纸数据的统一规范与存储、统一管理与维护，统一检索与服务等能力。数据发布标准化，且各库实现产品化，可单独拆分部署。</w:t>
      </w:r>
    </w:p>
    <w:p>
      <w:pPr>
        <w:pageBreakBefore w:val="0"/>
        <w:widowControl w:val="0"/>
        <w:numPr>
          <w:ilvl w:val="2"/>
          <w:numId w:val="1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台系统要求采用B/S体系架构，系统前端兼容Chrome、Safari、360、QQ、Edge、搜狗、IE、百度、谷歌等主流浏览器，纯WEB页面风格，能实现检索、显示及输出等功能。检索用户端访问数据库，不受用户操作系统语种的影响。实现在线访问服务，进行浏览、检索、下载、分享，自适应不同终端屏幕进行展示。</w:t>
      </w:r>
    </w:p>
    <w:p>
      <w:pPr>
        <w:pageBreakBefore w:val="0"/>
        <w:widowControl w:val="0"/>
        <w:numPr>
          <w:ilvl w:val="2"/>
          <w:numId w:val="1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平台数据可下载输出，数据类型包括XML、JPG、PDF、TXT、WORD、EXCEL等格式。</w:t>
      </w:r>
    </w:p>
    <w:p>
      <w:pPr>
        <w:pageBreakBefore w:val="0"/>
        <w:widowControl w:val="0"/>
        <w:numPr>
          <w:ilvl w:val="2"/>
          <w:numId w:val="1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平台系统具有公共管理功能，包括机构与用户管理；用户权限管理；敏感词库管理；用户行为监控、统计、评分和排行；用户意见反馈等功能。</w:t>
      </w:r>
    </w:p>
    <w:p>
      <w:pPr>
        <w:pageBreakBefore w:val="0"/>
        <w:widowControl w:val="0"/>
        <w:numPr>
          <w:ilvl w:val="2"/>
          <w:numId w:val="1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eastAsia="zh-CN"/>
        </w:rPr>
        <w:t>要求具备</w:t>
      </w:r>
      <w:r>
        <w:rPr>
          <w:rFonts w:hint="eastAsia" w:ascii="宋体" w:hAnsi="宋体" w:eastAsia="宋体" w:cs="宋体"/>
          <w:color w:val="auto"/>
          <w:sz w:val="24"/>
          <w:szCs w:val="24"/>
          <w:highlight w:val="none"/>
        </w:rPr>
        <w:t>标准、开放、完整的API接口，能够与第三方系统对接，实现数据交互。</w:t>
      </w:r>
    </w:p>
    <w:p>
      <w:pPr>
        <w:keepNext/>
        <w:keepLines/>
        <w:pageBreakBefore w:val="0"/>
        <w:widowControl w:val="0"/>
        <w:numPr>
          <w:ilvl w:val="1"/>
          <w:numId w:val="3"/>
        </w:numPr>
        <w:tabs>
          <w:tab w:val="left" w:pos="420"/>
        </w:tabs>
        <w:kinsoku/>
        <w:wordWrap/>
        <w:overflowPunct/>
        <w:topLinePunct w:val="0"/>
        <w:autoSpaceDE/>
        <w:autoSpaceDN/>
        <w:bidi w:val="0"/>
        <w:adjustRightInd/>
        <w:snapToGrid/>
        <w:spacing w:line="36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数据库系统功能要求</w:t>
      </w:r>
    </w:p>
    <w:p>
      <w:pPr>
        <w:pageBreakBefore w:val="0"/>
        <w:widowControl w:val="0"/>
        <w:numPr>
          <w:ilvl w:val="2"/>
          <w:numId w:val="15"/>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浏览功能</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可通过快速导航或检索方式，快速查询及浏览报纸版面、文章和图片，且文本、图片与版面实现相互关联。可按年份、月份、日期查找浏览报纸；可按报纸专题、专栏查找浏览报纸；可按整版版面PDF和单篇文章浏览等。</w:t>
      </w:r>
    </w:p>
    <w:p>
      <w:pPr>
        <w:pageBreakBefore w:val="0"/>
        <w:widowControl w:val="0"/>
        <w:numPr>
          <w:ilvl w:val="2"/>
          <w:numId w:val="15"/>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检索功能</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1）具备模糊检索和高级检索功能，可实现全库综合检索、版面检索、文章检索、图片检索、广告检索、作者检索、专题检索、二次递进检索、渐进检索、同（反）义词检索、与或非表达式检索、跨库检索等全方位检索功能支持。以上检索均支持任意词及其组合（与或非运算）检索，支持同义（反义）词扩展检索，系统提供基本的同义（反义）词列表，并可按指定格式自行扩充。检索结果提供相关性排序，并可按字段进行升降排序。</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2）检索后，版面缩略图中的文章区用色块定位显示，检索关键词在文本和PDF版面上进行反显；文本、图片和版面应实现相互关联，版面有转版时可以直接跳转，并将下转上接的文章内容需拼接在一起。</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3）检索到的信息要求准确，不漏查；检索速度最优化；检索结果提供相关性排序，并可按字段进行升降排序。</w:t>
      </w:r>
    </w:p>
    <w:p>
      <w:pPr>
        <w:pageBreakBefore w:val="0"/>
        <w:widowControl w:val="0"/>
        <w:numPr>
          <w:ilvl w:val="2"/>
          <w:numId w:val="15"/>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统计功能</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对检索的内容能进行分类统计，包括总记录数、版面数量、文章篇数与字数、图片数量、广告数量与面积等，统计结果支持柱状、饼状、曲线图等显示方式，统计结果可导出表格及图形。</w:t>
      </w:r>
    </w:p>
    <w:p>
      <w:pPr>
        <w:pageBreakBefore w:val="0"/>
        <w:widowControl w:val="0"/>
        <w:numPr>
          <w:ilvl w:val="2"/>
          <w:numId w:val="15"/>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显示、打印、下载输出功能</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版面、文章和图片数据及相关检索结果均可以显示、打印和下载输出。</w:t>
      </w:r>
    </w:p>
    <w:p>
      <w:pPr>
        <w:pageBreakBefore w:val="0"/>
        <w:widowControl w:val="0"/>
        <w:numPr>
          <w:ilvl w:val="2"/>
          <w:numId w:val="15"/>
        </w:numPr>
        <w:kinsoku/>
        <w:wordWrap/>
        <w:overflowPunct/>
        <w:topLinePunct w:val="0"/>
        <w:autoSpaceDE/>
        <w:autoSpaceDN/>
        <w:bidi w:val="0"/>
        <w:adjustRightInd/>
        <w:snapToGrid/>
        <w:spacing w:line="360" w:lineRule="auto"/>
        <w:ind w:left="0" w:leftChars="0" w:firstLine="482" w:firstLineChars="200"/>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子数据库生成功能（检索包生成功能）</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可将检索结果导出、并自主选择数据库各项功能配套，导出生成检索专题子数据库。可建立版面库、文章库、图片库、人物库、作者库等子库，也可以形成单独的个性化专题库。生成的子数据库，可具备数据库全部功能或选择后的部分功能。可用来制作数据库衍生产品，如制作专题资源库产品，制作单机版或网络版产品，制作数字剪报、专题集产品、影印版产品等。</w:t>
      </w:r>
    </w:p>
    <w:p>
      <w:pPr>
        <w:keepNext/>
        <w:keepLines/>
        <w:pageBreakBefore w:val="0"/>
        <w:widowControl w:val="0"/>
        <w:numPr>
          <w:ilvl w:val="1"/>
          <w:numId w:val="3"/>
        </w:numPr>
        <w:tabs>
          <w:tab w:val="left" w:pos="420"/>
        </w:tabs>
        <w:kinsoku/>
        <w:wordWrap/>
        <w:overflowPunct/>
        <w:topLinePunct w:val="0"/>
        <w:autoSpaceDE/>
        <w:autoSpaceDN/>
        <w:bidi w:val="0"/>
        <w:adjustRightInd/>
        <w:snapToGrid/>
        <w:spacing w:line="36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报纸数据库网络在线服务平台的构建要求</w:t>
      </w:r>
    </w:p>
    <w:p>
      <w:pPr>
        <w:pageBreakBefore w:val="0"/>
        <w:widowControl w:val="0"/>
        <w:numPr>
          <w:ilvl w:val="2"/>
          <w:numId w:val="1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本项目报纸数据库建成后，要求根据报社软硬件实际情况和对报纸数据库运营模式规划，完成数据库内网和外网的在线访问、发布应用的技术架构部署。</w:t>
      </w:r>
    </w:p>
    <w:p>
      <w:pPr>
        <w:pageBreakBefore w:val="0"/>
        <w:widowControl w:val="0"/>
        <w:numPr>
          <w:ilvl w:val="2"/>
          <w:numId w:val="1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采用分层隔离的安全防卫控制架构技术，具有报社内外网使用的权限管理功能、用户信息管理、用户行为管理功能和敏感词库管理功能。</w:t>
      </w:r>
    </w:p>
    <w:p>
      <w:pPr>
        <w:pageBreakBefore w:val="0"/>
        <w:widowControl/>
        <w:numPr>
          <w:ilvl w:val="0"/>
          <w:numId w:val="1"/>
        </w:numPr>
        <w:tabs>
          <w:tab w:val="left" w:pos="0"/>
          <w:tab w:val="center" w:pos="420"/>
        </w:tabs>
        <w:kinsoku/>
        <w:wordWrap/>
        <w:overflowPunct/>
        <w:topLinePunct w:val="0"/>
        <w:autoSpaceDE/>
        <w:autoSpaceDN/>
        <w:bidi w:val="0"/>
        <w:adjustRightInd/>
        <w:snapToGrid/>
        <w:spacing w:line="360" w:lineRule="auto"/>
        <w:ind w:left="0" w:leftChars="0" w:firstLine="482" w:firstLineChars="200"/>
        <w:jc w:val="both"/>
        <w:textAlignment w:val="auto"/>
        <w:outlineLvl w:val="0"/>
        <w:rPr>
          <w:rFonts w:hint="eastAsia" w:ascii="宋体" w:hAnsi="宋体" w:eastAsia="宋体" w:cs="宋体"/>
          <w:b/>
          <w:bCs/>
          <w:color w:val="auto"/>
          <w:kern w:val="36"/>
          <w:sz w:val="24"/>
          <w:szCs w:val="24"/>
          <w:highlight w:val="none"/>
        </w:rPr>
      </w:pPr>
      <w:r>
        <w:rPr>
          <w:rFonts w:hint="eastAsia" w:ascii="宋体" w:hAnsi="宋体" w:eastAsia="宋体" w:cs="宋体"/>
          <w:b/>
          <w:bCs/>
          <w:color w:val="auto"/>
          <w:kern w:val="36"/>
          <w:sz w:val="24"/>
          <w:szCs w:val="24"/>
          <w:highlight w:val="none"/>
        </w:rPr>
        <w:t>项目其他要求</w:t>
      </w:r>
    </w:p>
    <w:p>
      <w:pPr>
        <w:keepNext/>
        <w:keepLines/>
        <w:pageBreakBefore w:val="0"/>
        <w:numPr>
          <w:ilvl w:val="0"/>
          <w:numId w:val="17"/>
        </w:numPr>
        <w:tabs>
          <w:tab w:val="left" w:pos="420"/>
        </w:tabs>
        <w:kinsoku/>
        <w:wordWrap/>
        <w:overflowPunct/>
        <w:topLinePunct w:val="0"/>
        <w:autoSpaceDE/>
        <w:autoSpaceDN/>
        <w:bidi w:val="0"/>
        <w:adjustRightInd/>
        <w:snapToGrid/>
        <w:spacing w:line="360" w:lineRule="auto"/>
        <w:ind w:left="0" w:leftChars="0" w:firstLine="482" w:firstLineChars="200"/>
        <w:jc w:val="both"/>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项目技术响应方案。</w:t>
      </w:r>
    </w:p>
    <w:p>
      <w:pPr>
        <w:pageBreakBefore w:val="0"/>
        <w:numPr>
          <w:ilvl w:val="1"/>
          <w:numId w:val="18"/>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lang w:eastAsia="zh-CN"/>
        </w:rPr>
        <w:t>要求</w:t>
      </w:r>
      <w:r>
        <w:rPr>
          <w:rFonts w:hint="eastAsia" w:ascii="宋体" w:hAnsi="宋体" w:eastAsia="宋体" w:cs="宋体"/>
          <w:bCs/>
          <w:color w:val="auto"/>
          <w:kern w:val="10"/>
          <w:sz w:val="24"/>
          <w:szCs w:val="24"/>
          <w:highlight w:val="none"/>
        </w:rPr>
        <w:t>对应</w:t>
      </w:r>
      <w:r>
        <w:rPr>
          <w:rFonts w:hint="eastAsia" w:ascii="宋体" w:hAnsi="宋体" w:eastAsia="宋体" w:cs="宋体"/>
          <w:bCs/>
          <w:color w:val="auto"/>
          <w:kern w:val="10"/>
          <w:sz w:val="24"/>
          <w:szCs w:val="24"/>
          <w:highlight w:val="none"/>
          <w:lang w:val="en-US" w:eastAsia="zh-CN"/>
        </w:rPr>
        <w:t>采购</w:t>
      </w:r>
      <w:r>
        <w:rPr>
          <w:rFonts w:hint="eastAsia" w:ascii="宋体" w:hAnsi="宋体" w:eastAsia="宋体" w:cs="宋体"/>
          <w:bCs/>
          <w:color w:val="auto"/>
          <w:kern w:val="10"/>
          <w:sz w:val="24"/>
          <w:szCs w:val="24"/>
          <w:highlight w:val="none"/>
        </w:rPr>
        <w:t>文件对数字化质量规范要求，逐项进行实质性响应；加工工艺流程和生产方式的详细技术说明；加工质量保证手段；安全生产方案；数据交付方案；数据对接方案；报纸补缺方案等。</w:t>
      </w:r>
    </w:p>
    <w:p>
      <w:pPr>
        <w:pageBreakBefore w:val="0"/>
        <w:numPr>
          <w:ilvl w:val="1"/>
          <w:numId w:val="18"/>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lang w:eastAsia="zh-CN"/>
        </w:rPr>
        <w:t>要求</w:t>
      </w:r>
      <w:r>
        <w:rPr>
          <w:rFonts w:hint="eastAsia" w:ascii="宋体" w:hAnsi="宋体" w:eastAsia="宋体" w:cs="宋体"/>
          <w:bCs/>
          <w:color w:val="auto"/>
          <w:kern w:val="10"/>
          <w:sz w:val="24"/>
          <w:szCs w:val="24"/>
          <w:highlight w:val="none"/>
        </w:rPr>
        <w:t>对应</w:t>
      </w:r>
      <w:r>
        <w:rPr>
          <w:rFonts w:hint="eastAsia" w:ascii="宋体" w:hAnsi="宋体" w:eastAsia="宋体" w:cs="宋体"/>
          <w:bCs/>
          <w:color w:val="auto"/>
          <w:kern w:val="10"/>
          <w:sz w:val="24"/>
          <w:szCs w:val="24"/>
          <w:highlight w:val="none"/>
          <w:lang w:val="en-US" w:eastAsia="zh-CN"/>
        </w:rPr>
        <w:t>采购</w:t>
      </w:r>
      <w:r>
        <w:rPr>
          <w:rFonts w:hint="eastAsia" w:ascii="宋体" w:hAnsi="宋体" w:eastAsia="宋体" w:cs="宋体"/>
          <w:bCs/>
          <w:color w:val="auto"/>
          <w:kern w:val="10"/>
          <w:sz w:val="24"/>
          <w:szCs w:val="24"/>
          <w:highlight w:val="none"/>
        </w:rPr>
        <w:t>文件对数据库的技术要求，逐项进行实质性响应；对系统性能和功能详细描述；产品交付方案等。</w:t>
      </w:r>
    </w:p>
    <w:p>
      <w:pPr>
        <w:pageBreakBefore w:val="0"/>
        <w:numPr>
          <w:ilvl w:val="1"/>
          <w:numId w:val="18"/>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lang w:eastAsia="zh-CN"/>
        </w:rPr>
        <w:t>要求</w:t>
      </w:r>
      <w:r>
        <w:rPr>
          <w:rFonts w:hint="eastAsia" w:ascii="宋体" w:hAnsi="宋体" w:eastAsia="宋体" w:cs="宋体"/>
          <w:bCs/>
          <w:color w:val="auto"/>
          <w:kern w:val="10"/>
          <w:sz w:val="24"/>
          <w:szCs w:val="24"/>
          <w:highlight w:val="none"/>
        </w:rPr>
        <w:t>对应采购文件对平台构建要求，逐项进行实质性响应；对内外网发布、用户权限管理、安全防护控制等构建规划说明等。</w:t>
      </w:r>
    </w:p>
    <w:p>
      <w:pPr>
        <w:keepNext/>
        <w:keepLines/>
        <w:pageBreakBefore w:val="0"/>
        <w:numPr>
          <w:ilvl w:val="0"/>
          <w:numId w:val="17"/>
        </w:numPr>
        <w:tabs>
          <w:tab w:val="left" w:pos="420"/>
        </w:tabs>
        <w:kinsoku/>
        <w:wordWrap/>
        <w:overflowPunct/>
        <w:topLinePunct w:val="0"/>
        <w:autoSpaceDE/>
        <w:autoSpaceDN/>
        <w:bidi w:val="0"/>
        <w:adjustRightInd/>
        <w:snapToGrid/>
        <w:spacing w:line="360" w:lineRule="auto"/>
        <w:ind w:left="0" w:leftChars="0" w:firstLine="482" w:firstLineChars="200"/>
        <w:jc w:val="both"/>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项目实施方案</w:t>
      </w:r>
    </w:p>
    <w:p>
      <w:pPr>
        <w:pageBreakBefore w:val="0"/>
        <w:numPr>
          <w:ilvl w:val="1"/>
          <w:numId w:val="19"/>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项目工程进度计划及保证措施。</w:t>
      </w:r>
    </w:p>
    <w:p>
      <w:pPr>
        <w:pageBreakBefore w:val="0"/>
        <w:numPr>
          <w:ilvl w:val="1"/>
          <w:numId w:val="19"/>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项目组织与管理。包括：项目管理机构设置，项目管理和技术人员配备，项目生产人员、生产设备和生产场地投入情况，项目管理制度等。</w:t>
      </w:r>
    </w:p>
    <w:p>
      <w:pPr>
        <w:pageBreakBefore w:val="0"/>
        <w:numPr>
          <w:ilvl w:val="1"/>
          <w:numId w:val="19"/>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产品和数据交付方案。</w:t>
      </w:r>
    </w:p>
    <w:p>
      <w:pPr>
        <w:pageBreakBefore w:val="0"/>
        <w:numPr>
          <w:ilvl w:val="1"/>
          <w:numId w:val="19"/>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项目验收方案。</w:t>
      </w:r>
    </w:p>
    <w:p>
      <w:pPr>
        <w:keepNext/>
        <w:keepLines/>
        <w:pageBreakBefore w:val="0"/>
        <w:numPr>
          <w:ilvl w:val="0"/>
          <w:numId w:val="17"/>
        </w:numPr>
        <w:tabs>
          <w:tab w:val="left" w:pos="420"/>
        </w:tabs>
        <w:kinsoku/>
        <w:wordWrap/>
        <w:overflowPunct/>
        <w:topLinePunct w:val="0"/>
        <w:autoSpaceDE/>
        <w:autoSpaceDN/>
        <w:bidi w:val="0"/>
        <w:adjustRightInd/>
        <w:snapToGrid/>
        <w:spacing w:line="360" w:lineRule="auto"/>
        <w:ind w:left="0" w:leftChars="0" w:firstLine="482" w:firstLineChars="200"/>
        <w:jc w:val="both"/>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项目承诺</w:t>
      </w:r>
      <w:r>
        <w:rPr>
          <w:rFonts w:hint="eastAsia" w:ascii="宋体" w:hAnsi="宋体" w:eastAsia="宋体" w:cs="宋体"/>
          <w:b/>
          <w:color w:val="auto"/>
          <w:sz w:val="24"/>
          <w:szCs w:val="24"/>
          <w:highlight w:val="none"/>
          <w:lang w:eastAsia="zh-CN"/>
        </w:rPr>
        <w:t>（格式自拟）</w:t>
      </w:r>
    </w:p>
    <w:p>
      <w:pPr>
        <w:pageBreakBefore w:val="0"/>
        <w:numPr>
          <w:ilvl w:val="1"/>
          <w:numId w:val="2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提供保证产品和数据质量的承诺。</w:t>
      </w:r>
    </w:p>
    <w:p>
      <w:pPr>
        <w:pageBreakBefore w:val="0"/>
        <w:numPr>
          <w:ilvl w:val="1"/>
          <w:numId w:val="2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提供免费技术培训的承诺</w:t>
      </w:r>
      <w:r>
        <w:rPr>
          <w:rFonts w:hint="eastAsia" w:ascii="宋体" w:hAnsi="宋体" w:eastAsia="宋体" w:cs="宋体"/>
          <w:bCs/>
          <w:color w:val="auto"/>
          <w:kern w:val="10"/>
          <w:sz w:val="24"/>
          <w:szCs w:val="24"/>
          <w:highlight w:val="none"/>
          <w:lang w:eastAsia="zh-CN"/>
        </w:rPr>
        <w:t>。</w:t>
      </w:r>
      <w:r>
        <w:rPr>
          <w:rFonts w:hint="eastAsia" w:ascii="宋体" w:hAnsi="宋体" w:eastAsia="宋体" w:cs="宋体"/>
          <w:bCs/>
          <w:color w:val="auto"/>
          <w:kern w:val="10"/>
          <w:sz w:val="24"/>
          <w:szCs w:val="24"/>
          <w:highlight w:val="none"/>
        </w:rPr>
        <w:t>包括但不限于培训时间、培训地点、受培训人员数量、培训内容、培训效果等。</w:t>
      </w:r>
    </w:p>
    <w:p>
      <w:pPr>
        <w:pageBreakBefore w:val="0"/>
        <w:numPr>
          <w:ilvl w:val="1"/>
          <w:numId w:val="2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提供报纸保护承诺</w:t>
      </w:r>
      <w:r>
        <w:rPr>
          <w:rFonts w:hint="eastAsia" w:ascii="宋体" w:hAnsi="宋体" w:eastAsia="宋体" w:cs="宋体"/>
          <w:bCs/>
          <w:color w:val="auto"/>
          <w:kern w:val="10"/>
          <w:sz w:val="24"/>
          <w:szCs w:val="24"/>
          <w:highlight w:val="none"/>
          <w:lang w:eastAsia="zh-CN"/>
        </w:rPr>
        <w:t>。包括</w:t>
      </w:r>
      <w:r>
        <w:rPr>
          <w:rFonts w:hint="eastAsia" w:ascii="宋体" w:hAnsi="宋体" w:eastAsia="宋体" w:cs="宋体"/>
          <w:bCs/>
          <w:color w:val="auto"/>
          <w:kern w:val="10"/>
          <w:sz w:val="24"/>
          <w:szCs w:val="24"/>
          <w:highlight w:val="none"/>
        </w:rPr>
        <w:t>防止在运输过程和加工过程中损毁运输保障</w:t>
      </w:r>
      <w:r>
        <w:rPr>
          <w:rFonts w:hint="eastAsia" w:ascii="宋体" w:hAnsi="宋体" w:eastAsia="宋体" w:cs="宋体"/>
          <w:bCs/>
          <w:color w:val="auto"/>
          <w:kern w:val="10"/>
          <w:sz w:val="24"/>
          <w:szCs w:val="24"/>
          <w:highlight w:val="none"/>
          <w:lang w:eastAsia="zh-CN"/>
        </w:rPr>
        <w:t>说明</w:t>
      </w:r>
      <w:r>
        <w:rPr>
          <w:rFonts w:hint="eastAsia" w:ascii="宋体" w:hAnsi="宋体" w:eastAsia="宋体" w:cs="宋体"/>
          <w:bCs/>
          <w:color w:val="auto"/>
          <w:kern w:val="10"/>
          <w:sz w:val="24"/>
          <w:szCs w:val="24"/>
          <w:highlight w:val="none"/>
        </w:rPr>
        <w:t>，成交人负责报纸往返运输费用和投保费用</w:t>
      </w:r>
      <w:r>
        <w:rPr>
          <w:rFonts w:hint="eastAsia" w:ascii="宋体" w:hAnsi="宋体" w:eastAsia="宋体" w:cs="宋体"/>
          <w:bCs/>
          <w:color w:val="auto"/>
          <w:kern w:val="10"/>
          <w:sz w:val="24"/>
          <w:szCs w:val="24"/>
          <w:highlight w:val="none"/>
          <w:lang w:eastAsia="zh-CN"/>
        </w:rPr>
        <w:t>，</w:t>
      </w:r>
      <w:r>
        <w:rPr>
          <w:rFonts w:hint="eastAsia" w:ascii="宋体" w:hAnsi="宋体" w:eastAsia="宋体" w:cs="宋体"/>
          <w:bCs/>
          <w:color w:val="auto"/>
          <w:kern w:val="10"/>
          <w:sz w:val="24"/>
          <w:szCs w:val="24"/>
          <w:highlight w:val="none"/>
        </w:rPr>
        <w:t>如发生损坏或丢失报纸，按500元/版赔偿。</w:t>
      </w:r>
    </w:p>
    <w:p>
      <w:pPr>
        <w:pageBreakBefore w:val="0"/>
        <w:numPr>
          <w:ilvl w:val="1"/>
          <w:numId w:val="2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提供数据安全保护承诺。成交人应承诺保护本项目全部数据和产品安全，保证项目数据不泄露、不外传，保证本项目工程中间数据和结果数据在成交人内部不被非法复制；与参与本项目工作人员签署保密协议，如成交人工作人员发生侵权行为，成交人公司承担一切责任；成交人应保证加工过程及最终产品数据不对采购人加密，承诺备份2套本项目制作过程中产生的工程中间数据和成品数据给采购人。</w:t>
      </w:r>
    </w:p>
    <w:p>
      <w:pPr>
        <w:pageBreakBefore w:val="0"/>
        <w:numPr>
          <w:ilvl w:val="1"/>
          <w:numId w:val="2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lang w:eastAsia="zh-CN"/>
        </w:rPr>
        <w:t>提供知识产权保护承诺。包括</w:t>
      </w:r>
      <w:r>
        <w:rPr>
          <w:rFonts w:hint="eastAsia" w:ascii="宋体" w:hAnsi="宋体" w:eastAsia="宋体" w:cs="宋体"/>
          <w:bCs/>
          <w:color w:val="auto"/>
          <w:kern w:val="10"/>
          <w:sz w:val="24"/>
          <w:szCs w:val="24"/>
          <w:highlight w:val="none"/>
        </w:rPr>
        <w:t>“无重大知识产权纠纷”，保证成交人没有侵犯知识产权行为或因侵犯报社著作权被诉讼的情况；保证采购人拥有本项目加工报纸和数据内容的全部版权；成交人必须具备有效措施保护采购人的知识产权，未经采购人书面许可，不得以任何方式将加工资料及其所涉及的所有信息用于本采购项目之外，一经发现，终止合同，停止继续加工，不得要求支付加工费，已支付的应退还，并赔偿采购人的直接和间接损失，包括但不限于经济损失、诉讼/仲裁费用、律师费、鉴定费、公证费等。</w:t>
      </w:r>
    </w:p>
    <w:p>
      <w:pPr>
        <w:pageBreakBefore w:val="0"/>
        <w:numPr>
          <w:ilvl w:val="1"/>
          <w:numId w:val="2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lang w:eastAsia="zh-CN"/>
        </w:rPr>
        <w:t>提供不转包不分包承诺。包括如</w:t>
      </w:r>
      <w:r>
        <w:rPr>
          <w:rFonts w:hint="eastAsia" w:ascii="宋体" w:hAnsi="宋体" w:eastAsia="宋体" w:cs="宋体"/>
          <w:bCs/>
          <w:color w:val="auto"/>
          <w:kern w:val="10"/>
          <w:sz w:val="24"/>
          <w:szCs w:val="24"/>
          <w:highlight w:val="none"/>
        </w:rPr>
        <w:t>有转包分包行为，采购人有权终止合同，并要求合同总额的双倍赔偿。</w:t>
      </w:r>
    </w:p>
    <w:p>
      <w:pPr>
        <w:pageBreakBefore w:val="0"/>
        <w:numPr>
          <w:ilvl w:val="1"/>
          <w:numId w:val="2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lang w:eastAsia="zh-CN"/>
        </w:rPr>
        <w:t>提供生产过程接受采购人监督的承诺。</w:t>
      </w:r>
      <w:r>
        <w:rPr>
          <w:rFonts w:hint="eastAsia" w:ascii="宋体" w:hAnsi="宋体" w:eastAsia="宋体" w:cs="宋体"/>
          <w:bCs/>
          <w:color w:val="auto"/>
          <w:kern w:val="10"/>
          <w:sz w:val="24"/>
          <w:szCs w:val="24"/>
          <w:highlight w:val="none"/>
        </w:rPr>
        <w:t>生产过程要确保采购人能够有效地监控，保持畅通的沟通渠道。在生产过程中采购人提出的必要的修改要确保得到执行。</w:t>
      </w:r>
    </w:p>
    <w:p>
      <w:pPr>
        <w:pageBreakBefore w:val="0"/>
        <w:numPr>
          <w:ilvl w:val="1"/>
          <w:numId w:val="2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10"/>
          <w:sz w:val="24"/>
          <w:szCs w:val="24"/>
          <w:highlight w:val="none"/>
        </w:rPr>
        <w:t>提供售后服务承诺</w:t>
      </w:r>
      <w:r>
        <w:rPr>
          <w:rFonts w:hint="eastAsia" w:ascii="宋体" w:hAnsi="宋体" w:eastAsia="宋体" w:cs="宋体"/>
          <w:bCs/>
          <w:color w:val="auto"/>
          <w:kern w:val="10"/>
          <w:sz w:val="24"/>
          <w:szCs w:val="24"/>
          <w:highlight w:val="none"/>
          <w:lang w:eastAsia="zh-CN"/>
        </w:rPr>
        <w:t>。</w:t>
      </w:r>
      <w:r>
        <w:rPr>
          <w:rFonts w:hint="eastAsia" w:ascii="宋体" w:hAnsi="宋体" w:eastAsia="宋体" w:cs="宋体"/>
          <w:bCs/>
          <w:color w:val="auto"/>
          <w:kern w:val="10"/>
          <w:sz w:val="24"/>
          <w:szCs w:val="24"/>
          <w:highlight w:val="none"/>
        </w:rPr>
        <w:t>质保运维期为3年（自验收合格之日起计算）。项目自启动至验收完成，全程专人技术服务和沟通联络；项目验收完成后3年内免费跟踪服务并提供技术服务，3年内免费软件版本升级；服务期内保证售后服务全天候7*24小时免费服务响应支持，服务方式包括电话技术支持热线、技术支持邮件、传真、客户服务中心网站、上门服务等方式，数据问题8个小时内响应解决，非特殊情况的重要问题24小时内须处理完毕。</w:t>
      </w:r>
    </w:p>
    <w:p>
      <w:pPr>
        <w:keepNext w:val="0"/>
        <w:keepLines w:val="0"/>
        <w:pageBreakBefore w:val="0"/>
        <w:widowControl/>
        <w:numPr>
          <w:ilvl w:val="0"/>
          <w:numId w:val="1"/>
        </w:numPr>
        <w:tabs>
          <w:tab w:val="left" w:pos="0"/>
          <w:tab w:val="center" w:pos="420"/>
        </w:tabs>
        <w:kinsoku/>
        <w:wordWrap/>
        <w:overflowPunct/>
        <w:topLinePunct w:val="0"/>
        <w:autoSpaceDE/>
        <w:autoSpaceDN/>
        <w:bidi w:val="0"/>
        <w:adjustRightInd/>
        <w:snapToGrid/>
        <w:spacing w:line="360" w:lineRule="auto"/>
        <w:ind w:left="0" w:leftChars="0" w:firstLine="482" w:firstLineChars="200"/>
        <w:jc w:val="both"/>
        <w:textAlignment w:val="auto"/>
        <w:outlineLvl w:val="0"/>
        <w:rPr>
          <w:rFonts w:hint="eastAsia" w:ascii="宋体" w:hAnsi="宋体" w:eastAsia="宋体" w:cs="宋体"/>
          <w:b/>
          <w:bCs/>
          <w:color w:val="auto"/>
          <w:kern w:val="36"/>
          <w:sz w:val="24"/>
          <w:szCs w:val="24"/>
          <w:highlight w:val="none"/>
        </w:rPr>
      </w:pPr>
      <w:r>
        <w:rPr>
          <w:rFonts w:hint="eastAsia" w:ascii="宋体" w:hAnsi="宋体" w:eastAsia="宋体" w:cs="宋体"/>
          <w:b/>
          <w:bCs/>
          <w:color w:val="auto"/>
          <w:kern w:val="36"/>
          <w:sz w:val="24"/>
          <w:szCs w:val="24"/>
          <w:highlight w:val="none"/>
        </w:rPr>
        <w:t>项目商务要求</w:t>
      </w:r>
    </w:p>
    <w:p>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项目工期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本项目要求合同生效之日起6个月内完成。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除不可抗力外，如果成交人没有按照合同规定的时间交货，每延误一天的赔偿费按迟交货物交货价或未提供服务的服务费用的千分之一（1‰）计收，直至交货或提供服务为止。误期赔偿费最高限额为合同价的百分之五（5%）。一旦达到误期赔偿费的最高限额，采购人可终止合同。</w:t>
      </w:r>
    </w:p>
    <w:p>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付款方式</w:t>
      </w:r>
    </w:p>
    <w:p>
      <w:pPr>
        <w:keepNext w:val="0"/>
        <w:keepLines w:val="0"/>
        <w:pageBreakBefore w:val="0"/>
        <w:widowControl w:val="0"/>
        <w:numPr>
          <w:ilvl w:val="1"/>
          <w:numId w:val="2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自合同签订生效之日起15日内，采购人支付合同总价的30%作为预付款；</w:t>
      </w:r>
    </w:p>
    <w:p>
      <w:pPr>
        <w:keepNext w:val="0"/>
        <w:keepLines w:val="0"/>
        <w:pageBreakBefore w:val="0"/>
        <w:widowControl w:val="0"/>
        <w:numPr>
          <w:ilvl w:val="1"/>
          <w:numId w:val="2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完成数据库交付、并将南通日报全部报纸版面图入库，支付合同总价的30%作为进度款；</w:t>
      </w:r>
    </w:p>
    <w:p>
      <w:pPr>
        <w:keepNext w:val="0"/>
        <w:keepLines w:val="0"/>
        <w:pageBreakBefore w:val="0"/>
        <w:widowControl w:val="0"/>
        <w:numPr>
          <w:ilvl w:val="1"/>
          <w:numId w:val="2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10"/>
          <w:sz w:val="24"/>
          <w:szCs w:val="24"/>
          <w:highlight w:val="none"/>
        </w:rPr>
      </w:pPr>
      <w:r>
        <w:rPr>
          <w:rFonts w:hint="eastAsia" w:ascii="宋体" w:hAnsi="宋体" w:eastAsia="宋体" w:cs="宋体"/>
          <w:bCs/>
          <w:color w:val="auto"/>
          <w:kern w:val="10"/>
          <w:sz w:val="24"/>
          <w:szCs w:val="24"/>
          <w:highlight w:val="none"/>
        </w:rPr>
        <w:t>项目内容全部完成并交付采购人，验收合格后采购人支付合同总价的35%；剩余5%作为质保金，一年后无息退还。</w:t>
      </w:r>
    </w:p>
    <w:p>
      <w:pPr>
        <w:snapToGrid w:val="0"/>
        <w:spacing w:line="480" w:lineRule="exact"/>
        <w:ind w:firstLine="482" w:firstLineChars="200"/>
        <w:rPr>
          <w:rFonts w:asciiTheme="minorEastAsia" w:hAnsiTheme="minorEastAsia" w:eastAsiaTheme="minorEastAsia" w:cstheme="minorEastAsia"/>
          <w:b/>
          <w:color w:val="auto"/>
          <w:sz w:val="24"/>
          <w:highlight w:val="none"/>
        </w:rPr>
      </w:pPr>
    </w:p>
    <w:p>
      <w:pPr>
        <w:ind w:firstLine="723"/>
        <w:rPr>
          <w:rFonts w:asciiTheme="minorEastAsia" w:hAnsiTheme="minorEastAsia" w:eastAsiaTheme="minorEastAsia" w:cstheme="minorEastAsia"/>
          <w:b/>
          <w:bCs/>
          <w:color w:val="auto"/>
          <w:sz w:val="36"/>
          <w:szCs w:val="36"/>
          <w:highlight w:val="none"/>
          <w:lang w:val="zh-CN"/>
        </w:rPr>
      </w:pPr>
      <w:r>
        <w:rPr>
          <w:rFonts w:hint="eastAsia" w:asciiTheme="minorEastAsia" w:hAnsiTheme="minorEastAsia" w:eastAsiaTheme="minorEastAsia" w:cstheme="minorEastAsia"/>
          <w:b/>
          <w:bCs/>
          <w:color w:val="auto"/>
          <w:sz w:val="36"/>
          <w:szCs w:val="36"/>
          <w:highlight w:val="none"/>
          <w:lang w:val="zh-CN"/>
        </w:rPr>
        <w:br w:type="page"/>
      </w:r>
    </w:p>
    <w:p>
      <w:pPr>
        <w:autoSpaceDE w:val="0"/>
        <w:autoSpaceDN w:val="0"/>
        <w:adjustRightInd w:val="0"/>
        <w:snapToGrid w:val="0"/>
        <w:spacing w:line="300" w:lineRule="auto"/>
        <w:jc w:val="center"/>
        <w:outlineLvl w:val="0"/>
        <w:rPr>
          <w:rFonts w:asciiTheme="minorEastAsia" w:hAnsiTheme="minorEastAsia" w:eastAsiaTheme="minorEastAsia"/>
          <w:b/>
          <w:bCs/>
          <w:color w:val="auto"/>
          <w:sz w:val="36"/>
          <w:szCs w:val="36"/>
          <w:highlight w:val="none"/>
          <w:lang w:val="zh-CN"/>
        </w:rPr>
      </w:pPr>
      <w:r>
        <w:rPr>
          <w:rFonts w:hint="eastAsia" w:asciiTheme="minorEastAsia" w:hAnsiTheme="minorEastAsia" w:eastAsiaTheme="minorEastAsia"/>
          <w:b/>
          <w:bCs/>
          <w:color w:val="auto"/>
          <w:sz w:val="36"/>
          <w:szCs w:val="36"/>
          <w:highlight w:val="none"/>
          <w:lang w:val="zh-CN"/>
        </w:rPr>
        <w:t>第四部分  评审程序和内容</w:t>
      </w:r>
    </w:p>
    <w:p>
      <w:pPr>
        <w:autoSpaceDE w:val="0"/>
        <w:autoSpaceDN w:val="0"/>
        <w:adjustRightInd w:val="0"/>
        <w:snapToGrid w:val="0"/>
        <w:spacing w:line="480" w:lineRule="exact"/>
        <w:ind w:right="210" w:firstLine="472" w:firstLineChars="196"/>
        <w:rPr>
          <w:b/>
          <w:color w:val="auto"/>
          <w:sz w:val="24"/>
          <w:highlight w:val="none"/>
          <w:lang w:val="zh-CN"/>
        </w:rPr>
      </w:pPr>
      <w:r>
        <w:rPr>
          <w:b/>
          <w:color w:val="auto"/>
          <w:sz w:val="24"/>
          <w:highlight w:val="none"/>
          <w:lang w:val="zh-CN"/>
        </w:rPr>
        <w:t>一、</w:t>
      </w:r>
      <w:r>
        <w:rPr>
          <w:rFonts w:hint="eastAsia"/>
          <w:b/>
          <w:color w:val="auto"/>
          <w:sz w:val="24"/>
          <w:highlight w:val="none"/>
          <w:lang w:val="zh-CN"/>
        </w:rPr>
        <w:t>采购人委托</w:t>
      </w:r>
      <w:r>
        <w:rPr>
          <w:b/>
          <w:color w:val="auto"/>
          <w:sz w:val="24"/>
          <w:highlight w:val="none"/>
          <w:lang w:val="zh-CN"/>
        </w:rPr>
        <w:t>采购代理机构组织磋商活动</w:t>
      </w:r>
    </w:p>
    <w:p>
      <w:pPr>
        <w:snapToGrid w:val="0"/>
        <w:spacing w:line="480" w:lineRule="exact"/>
        <w:ind w:firstLine="482" w:firstLineChars="200"/>
        <w:rPr>
          <w:color w:val="auto"/>
          <w:kern w:val="0"/>
          <w:sz w:val="24"/>
          <w:highlight w:val="none"/>
          <w:lang w:val="zh-CN"/>
        </w:rPr>
      </w:pPr>
      <w:r>
        <w:rPr>
          <w:b/>
          <w:color w:val="auto"/>
          <w:kern w:val="0"/>
          <w:sz w:val="24"/>
          <w:highlight w:val="none"/>
          <w:lang w:val="zh-CN"/>
        </w:rPr>
        <w:t>1、成立竞争性磋商小组。</w:t>
      </w:r>
      <w:r>
        <w:rPr>
          <w:color w:val="auto"/>
          <w:kern w:val="0"/>
          <w:sz w:val="24"/>
          <w:highlight w:val="none"/>
          <w:lang w:val="zh-CN"/>
        </w:rPr>
        <w:t>竞争性磋商小组由</w:t>
      </w:r>
      <w:r>
        <w:rPr>
          <w:rFonts w:hint="eastAsia"/>
          <w:color w:val="auto"/>
          <w:kern w:val="0"/>
          <w:sz w:val="24"/>
          <w:highlight w:val="none"/>
          <w:lang w:val="zh-CN"/>
        </w:rPr>
        <w:t>采购人代表和评审专家共计</w:t>
      </w:r>
      <w:r>
        <w:rPr>
          <w:rFonts w:hint="eastAsia"/>
          <w:color w:val="auto"/>
          <w:kern w:val="0"/>
          <w:sz w:val="24"/>
          <w:highlight w:val="none"/>
        </w:rPr>
        <w:t>3</w:t>
      </w:r>
      <w:r>
        <w:rPr>
          <w:rFonts w:hint="eastAsia"/>
          <w:color w:val="auto"/>
          <w:kern w:val="0"/>
          <w:sz w:val="24"/>
          <w:highlight w:val="none"/>
          <w:lang w:val="zh-CN"/>
        </w:rPr>
        <w:t>人组成，其中评审专家</w:t>
      </w:r>
      <w:r>
        <w:rPr>
          <w:rFonts w:hint="eastAsia"/>
          <w:color w:val="auto"/>
          <w:kern w:val="0"/>
          <w:sz w:val="24"/>
          <w:highlight w:val="none"/>
        </w:rPr>
        <w:t>2</w:t>
      </w:r>
      <w:r>
        <w:rPr>
          <w:rFonts w:hint="eastAsia"/>
          <w:color w:val="auto"/>
          <w:kern w:val="0"/>
          <w:sz w:val="24"/>
          <w:highlight w:val="none"/>
          <w:lang w:val="zh-CN"/>
        </w:rPr>
        <w:t>人，采购人代表1人</w:t>
      </w:r>
      <w:r>
        <w:rPr>
          <w:color w:val="auto"/>
          <w:kern w:val="0"/>
          <w:sz w:val="24"/>
          <w:highlight w:val="none"/>
          <w:lang w:val="zh-CN"/>
        </w:rPr>
        <w:t>。</w:t>
      </w:r>
      <w:r>
        <w:rPr>
          <w:rFonts w:hint="eastAsia" w:ascii="宋体" w:hAnsi="宋体"/>
          <w:bCs/>
          <w:color w:val="auto"/>
          <w:sz w:val="24"/>
          <w:highlight w:val="none"/>
        </w:rPr>
        <w:t>评审专家在专家库中随机抽取。</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超过公开限额标准的项目，竞争性磋商小组应当由5人以上单数组成。</w:t>
      </w:r>
    </w:p>
    <w:p>
      <w:pPr>
        <w:spacing w:line="480" w:lineRule="exact"/>
        <w:ind w:firstLine="482" w:firstLineChars="200"/>
        <w:rPr>
          <w:b/>
          <w:color w:val="auto"/>
          <w:kern w:val="0"/>
          <w:sz w:val="24"/>
          <w:highlight w:val="none"/>
          <w:lang w:val="zh-CN"/>
        </w:rPr>
      </w:pPr>
      <w:r>
        <w:rPr>
          <w:b/>
          <w:color w:val="auto"/>
          <w:kern w:val="0"/>
          <w:sz w:val="24"/>
          <w:highlight w:val="none"/>
          <w:lang w:val="zh-CN"/>
        </w:rPr>
        <w:t>2、竞争性磋商小组的职责：</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评审专家应当遵守评审工作纪律，不得泄露评审情况和评审中获悉的商业秘密。</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磋商小组在评审过程中发现供应商有行贿、提供虚假材料或者串通等违法行为的，应当及时向</w:t>
      </w:r>
      <w:r>
        <w:rPr>
          <w:rFonts w:hint="eastAsia" w:ascii="Times New Roman" w:hAnsi="Times New Roman" w:eastAsia="宋体"/>
          <w:color w:val="auto"/>
          <w:kern w:val="0"/>
          <w:sz w:val="24"/>
          <w:szCs w:val="24"/>
          <w:highlight w:val="none"/>
          <w:lang w:val="zh-CN"/>
        </w:rPr>
        <w:t>有关</w:t>
      </w:r>
      <w:r>
        <w:rPr>
          <w:rFonts w:ascii="Times New Roman" w:hAnsi="Times New Roman" w:eastAsia="宋体"/>
          <w:color w:val="auto"/>
          <w:kern w:val="0"/>
          <w:sz w:val="24"/>
          <w:szCs w:val="24"/>
          <w:highlight w:val="none"/>
          <w:lang w:val="zh-CN"/>
        </w:rPr>
        <w:t>部门报告。</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rPr>
      </w:pPr>
      <w:r>
        <w:rPr>
          <w:rFonts w:ascii="Times New Roman" w:hAnsi="Times New Roman" w:eastAsia="宋体"/>
          <w:color w:val="auto"/>
          <w:kern w:val="0"/>
          <w:sz w:val="24"/>
          <w:szCs w:val="24"/>
          <w:highlight w:val="none"/>
          <w:lang w:val="zh-CN"/>
        </w:rPr>
        <w:t>评审专家在评审过程中受到非法干涉的，应当及时向监察等部门举报。</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磋商文件内容违反国家有关强制性规定的，磋商小组应当停止评审并向采购人或者采购代理机构说明情况。</w:t>
      </w:r>
    </w:p>
    <w:p>
      <w:pPr>
        <w:pStyle w:val="46"/>
        <w:snapToGrid w:val="0"/>
        <w:spacing w:line="480" w:lineRule="exact"/>
        <w:ind w:firstLine="482" w:firstLineChars="200"/>
        <w:contextualSpacing/>
        <w:rPr>
          <w:rFonts w:ascii="Times New Roman" w:hAnsi="Times New Roman" w:eastAsia="宋体"/>
          <w:b/>
          <w:color w:val="auto"/>
          <w:kern w:val="0"/>
          <w:sz w:val="24"/>
          <w:szCs w:val="24"/>
          <w:highlight w:val="none"/>
          <w:lang w:val="zh-CN"/>
        </w:rPr>
      </w:pPr>
      <w:r>
        <w:rPr>
          <w:rFonts w:ascii="Times New Roman" w:hAnsi="Times New Roman" w:eastAsia="宋体"/>
          <w:b/>
          <w:color w:val="auto"/>
          <w:kern w:val="0"/>
          <w:sz w:val="24"/>
          <w:szCs w:val="24"/>
          <w:highlight w:val="none"/>
          <w:lang w:val="zh-CN"/>
        </w:rPr>
        <w:t>3、竞争性磋商小组成员的义务：</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遵纪守法，客观、公正、廉洁地履行职责；根据采购文件的规定独立进行评审，对个人的评审意见承担法律责任；参与</w:t>
      </w:r>
      <w:r>
        <w:rPr>
          <w:rFonts w:hint="eastAsia" w:ascii="Times New Roman" w:hAnsi="Times New Roman" w:eastAsia="宋体"/>
          <w:color w:val="auto"/>
          <w:kern w:val="0"/>
          <w:sz w:val="24"/>
          <w:szCs w:val="24"/>
          <w:highlight w:val="none"/>
          <w:lang w:val="zh-CN"/>
        </w:rPr>
        <w:t>完成</w:t>
      </w:r>
      <w:r>
        <w:rPr>
          <w:rFonts w:ascii="Times New Roman" w:hAnsi="Times New Roman" w:eastAsia="宋体"/>
          <w:color w:val="auto"/>
          <w:kern w:val="0"/>
          <w:sz w:val="24"/>
          <w:szCs w:val="24"/>
          <w:highlight w:val="none"/>
          <w:lang w:val="zh-CN"/>
        </w:rPr>
        <w:t>评审报告；配合采购人、</w:t>
      </w:r>
      <w:r>
        <w:rPr>
          <w:rFonts w:hint="eastAsia" w:ascii="Times New Roman" w:hAnsi="Times New Roman" w:eastAsia="宋体"/>
          <w:color w:val="auto"/>
          <w:kern w:val="0"/>
          <w:sz w:val="24"/>
          <w:szCs w:val="24"/>
          <w:highlight w:val="none"/>
          <w:lang w:val="zh-CN"/>
        </w:rPr>
        <w:t>采购代理机构</w:t>
      </w:r>
      <w:r>
        <w:rPr>
          <w:rFonts w:ascii="Times New Roman" w:hAnsi="Times New Roman" w:eastAsia="宋体"/>
          <w:color w:val="auto"/>
          <w:kern w:val="0"/>
          <w:sz w:val="24"/>
          <w:szCs w:val="24"/>
          <w:highlight w:val="none"/>
          <w:lang w:val="zh-CN"/>
        </w:rPr>
        <w:t>答复供应商提出的质疑；配合</w:t>
      </w:r>
      <w:r>
        <w:rPr>
          <w:rFonts w:hint="eastAsia" w:ascii="Times New Roman" w:hAnsi="Times New Roman" w:eastAsia="宋体"/>
          <w:color w:val="auto"/>
          <w:kern w:val="0"/>
          <w:sz w:val="24"/>
          <w:szCs w:val="24"/>
          <w:highlight w:val="none"/>
          <w:lang w:val="zh-CN"/>
        </w:rPr>
        <w:t>有</w:t>
      </w:r>
      <w:r>
        <w:rPr>
          <w:rFonts w:ascii="Times New Roman" w:hAnsi="Times New Roman" w:eastAsia="宋体"/>
          <w:color w:val="auto"/>
          <w:kern w:val="0"/>
          <w:sz w:val="24"/>
          <w:szCs w:val="24"/>
          <w:highlight w:val="none"/>
          <w:lang w:val="zh-CN"/>
        </w:rPr>
        <w:t>关部门的投诉处理和监督检查工作。</w:t>
      </w:r>
    </w:p>
    <w:p>
      <w:pPr>
        <w:pStyle w:val="46"/>
        <w:snapToGrid w:val="0"/>
        <w:spacing w:line="480" w:lineRule="exact"/>
        <w:ind w:firstLine="482" w:firstLineChars="200"/>
        <w:contextualSpacing/>
        <w:rPr>
          <w:rFonts w:ascii="Times New Roman" w:hAnsi="Times New Roman" w:eastAsia="宋体"/>
          <w:b/>
          <w:color w:val="auto"/>
          <w:kern w:val="0"/>
          <w:sz w:val="24"/>
          <w:szCs w:val="24"/>
          <w:highlight w:val="none"/>
          <w:lang w:val="zh-CN"/>
        </w:rPr>
      </w:pPr>
      <w:r>
        <w:rPr>
          <w:rFonts w:ascii="Times New Roman" w:hAnsi="Times New Roman" w:eastAsia="宋体"/>
          <w:b/>
          <w:color w:val="auto"/>
          <w:kern w:val="0"/>
          <w:sz w:val="24"/>
          <w:szCs w:val="24"/>
          <w:highlight w:val="none"/>
          <w:lang w:val="zh-CN"/>
        </w:rPr>
        <w:t>二、供应商参加磋商活动。</w:t>
      </w:r>
    </w:p>
    <w:p>
      <w:pPr>
        <w:tabs>
          <w:tab w:val="left" w:pos="3585"/>
        </w:tabs>
        <w:snapToGrid w:val="0"/>
        <w:spacing w:line="480" w:lineRule="exact"/>
        <w:ind w:firstLine="460" w:firstLineChars="192"/>
        <w:rPr>
          <w:color w:val="auto"/>
          <w:kern w:val="0"/>
          <w:sz w:val="24"/>
          <w:highlight w:val="none"/>
          <w:lang w:val="zh-CN"/>
        </w:rPr>
      </w:pPr>
      <w:r>
        <w:rPr>
          <w:color w:val="auto"/>
          <w:kern w:val="0"/>
          <w:sz w:val="24"/>
          <w:highlight w:val="none"/>
          <w:lang w:val="zh-CN"/>
        </w:rPr>
        <w:t>响应供应商在采购文件指定地点参加磋商会。</w:t>
      </w:r>
    </w:p>
    <w:p>
      <w:pPr>
        <w:autoSpaceDE w:val="0"/>
        <w:autoSpaceDN w:val="0"/>
        <w:adjustRightInd w:val="0"/>
        <w:snapToGrid w:val="0"/>
        <w:spacing w:line="480" w:lineRule="exact"/>
        <w:ind w:right="210" w:firstLine="482" w:firstLineChars="200"/>
        <w:rPr>
          <w:b/>
          <w:color w:val="auto"/>
          <w:sz w:val="24"/>
          <w:highlight w:val="none"/>
        </w:rPr>
      </w:pPr>
      <w:r>
        <w:rPr>
          <w:b/>
          <w:color w:val="auto"/>
          <w:sz w:val="24"/>
          <w:highlight w:val="none"/>
        </w:rPr>
        <w:t>三、评审程序、内容</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2、磋商小组所有成员应当集中与单一供应商分别进行磋商，并给予所有参加磋商的供应商平等的磋商机会。</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3、在磋商过程中，磋商小组可以根据磋商文件和磋商情况实质性变动采购需求中的技术、服务要求以及合同草案条款，但不得变动磋商文件中的其他内容。实质性变动的内容，须经采购人代表确认。</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对磋商文件作出的实质性变动是磋商文件的有效组成部分，磋商小组应当及时以书面形式同时通知所有参加磋商的供应商。</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供应商应当按照磋商文件的变动情况和磋商小组的要求重新提交响应文件，并由其法定代表人或</w:t>
      </w:r>
      <w:r>
        <w:rPr>
          <w:rFonts w:hint="eastAsia" w:ascii="Times New Roman" w:hAnsi="Times New Roman" w:eastAsia="宋体"/>
          <w:color w:val="auto"/>
          <w:kern w:val="0"/>
          <w:sz w:val="24"/>
          <w:szCs w:val="24"/>
          <w:highlight w:val="none"/>
          <w:lang w:val="zh-CN"/>
        </w:rPr>
        <w:t>其</w:t>
      </w:r>
      <w:r>
        <w:rPr>
          <w:rFonts w:ascii="Times New Roman" w:hAnsi="Times New Roman" w:eastAsia="宋体"/>
          <w:color w:val="auto"/>
          <w:kern w:val="0"/>
          <w:sz w:val="24"/>
          <w:szCs w:val="24"/>
          <w:highlight w:val="none"/>
          <w:lang w:val="zh-CN"/>
        </w:rPr>
        <w:t>授权代表签字或者加盖公章。由授权代表签字的，应当附法定代表人授权书。供应商为自然人的，应当由本人签字并附身份证明。</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4、磋商文件能够详细列明采购标的的技术、服务要求的，磋商结束后，磋商小组应当要求所有实质性响应的供应商在规定时间内提交最后报价，提交最后报价的供应商不得少于3家。</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市场竞争不充分的科研项目，以及需要扶持的科技成果转化项目，提交最后报价的供应商可以是2家。</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5、最后报价是供应商响应文件的有效组成部分。</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6、已提交响应文件的供应商，在提交最后报价之前，可以根据磋商情况退出磋商。</w:t>
      </w:r>
    </w:p>
    <w:p>
      <w:pPr>
        <w:pStyle w:val="4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磋商时间由磋商小组掌握。</w:t>
      </w:r>
    </w:p>
    <w:p>
      <w:pPr>
        <w:pStyle w:val="46"/>
        <w:snapToGrid w:val="0"/>
        <w:spacing w:line="480" w:lineRule="exact"/>
        <w:ind w:firstLine="496"/>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四、评审方法</w:t>
      </w:r>
      <w:r>
        <w:rPr>
          <w:rFonts w:hint="eastAsia" w:ascii="Times New Roman" w:hAnsi="Times New Roman" w:eastAsia="宋体"/>
          <w:b/>
          <w:color w:val="auto"/>
          <w:sz w:val="24"/>
          <w:szCs w:val="24"/>
          <w:highlight w:val="none"/>
        </w:rPr>
        <w:t>－</w:t>
      </w:r>
      <w:r>
        <w:rPr>
          <w:rFonts w:ascii="Times New Roman" w:hAnsi="Times New Roman" w:eastAsia="宋体"/>
          <w:b/>
          <w:color w:val="auto"/>
          <w:sz w:val="24"/>
          <w:szCs w:val="24"/>
          <w:highlight w:val="none"/>
        </w:rPr>
        <w:t>综合评分法</w:t>
      </w:r>
    </w:p>
    <w:p>
      <w:pPr>
        <w:pStyle w:val="46"/>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经磋商确定最终采购需求和提交最后报价的供应商后，由磋商小组采用综合评分法对提交最后报价的供应商的响应文件和最后报价进行综合评分。</w:t>
      </w:r>
    </w:p>
    <w:p>
      <w:pPr>
        <w:pStyle w:val="46"/>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综合评分法，是指响应文件满足磋商文件全部实质性要求且按评审因素的量化指标评审得分最高的供应商为成交候选供应商的评审方法。</w:t>
      </w:r>
    </w:p>
    <w:p>
      <w:pPr>
        <w:pStyle w:val="46"/>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评审时，磋商小组各成员应当独立对每个有效响应的文件进行评价、打分，然后汇总每个供应商每项评分因素的得分。</w:t>
      </w:r>
    </w:p>
    <w:p>
      <w:pPr>
        <w:snapToGrid w:val="0"/>
        <w:spacing w:line="480" w:lineRule="exact"/>
        <w:ind w:firstLine="482" w:firstLineChars="200"/>
        <w:rPr>
          <w:b/>
          <w:color w:val="auto"/>
          <w:sz w:val="24"/>
          <w:highlight w:val="none"/>
        </w:rPr>
      </w:pPr>
      <w:r>
        <w:rPr>
          <w:b/>
          <w:color w:val="auto"/>
          <w:sz w:val="24"/>
          <w:highlight w:val="none"/>
        </w:rPr>
        <w:t>（一）审查响应文件的有效性、完整性、响应程度</w:t>
      </w:r>
    </w:p>
    <w:p>
      <w:pPr>
        <w:snapToGrid w:val="0"/>
        <w:spacing w:line="480" w:lineRule="exact"/>
        <w:ind w:firstLine="482" w:firstLineChars="200"/>
        <w:rPr>
          <w:b/>
          <w:color w:val="auto"/>
          <w:sz w:val="24"/>
          <w:highlight w:val="none"/>
        </w:rPr>
      </w:pPr>
      <w:r>
        <w:rPr>
          <w:b/>
          <w:color w:val="auto"/>
          <w:sz w:val="24"/>
          <w:highlight w:val="none"/>
        </w:rPr>
        <w:t>1、供应商资格是否符合</w:t>
      </w:r>
      <w:r>
        <w:rPr>
          <w:rFonts w:hint="eastAsia"/>
          <w:b/>
          <w:color w:val="auto"/>
          <w:sz w:val="24"/>
          <w:highlight w:val="none"/>
        </w:rPr>
        <w:t>；</w:t>
      </w:r>
    </w:p>
    <w:p>
      <w:pPr>
        <w:snapToGrid w:val="0"/>
        <w:spacing w:line="480" w:lineRule="exact"/>
        <w:ind w:firstLine="480" w:firstLineChars="200"/>
        <w:rPr>
          <w:color w:val="auto"/>
          <w:sz w:val="24"/>
          <w:highlight w:val="none"/>
        </w:rPr>
      </w:pPr>
      <w:r>
        <w:rPr>
          <w:color w:val="auto"/>
          <w:sz w:val="24"/>
          <w:highlight w:val="none"/>
        </w:rPr>
        <w:t>2、响应文件是否完整；</w:t>
      </w:r>
    </w:p>
    <w:p>
      <w:pPr>
        <w:snapToGrid w:val="0"/>
        <w:spacing w:line="480" w:lineRule="exact"/>
        <w:ind w:firstLine="480" w:firstLineChars="200"/>
        <w:rPr>
          <w:color w:val="auto"/>
          <w:sz w:val="24"/>
          <w:highlight w:val="none"/>
        </w:rPr>
      </w:pPr>
      <w:r>
        <w:rPr>
          <w:color w:val="auto"/>
          <w:sz w:val="24"/>
          <w:highlight w:val="none"/>
        </w:rPr>
        <w:t>3、响应文件是否恰当地签署；</w:t>
      </w:r>
    </w:p>
    <w:p>
      <w:pPr>
        <w:snapToGrid w:val="0"/>
        <w:spacing w:line="480" w:lineRule="exact"/>
        <w:ind w:firstLine="480"/>
        <w:rPr>
          <w:b/>
          <w:color w:val="auto"/>
          <w:sz w:val="24"/>
          <w:highlight w:val="none"/>
        </w:rPr>
      </w:pPr>
      <w:r>
        <w:rPr>
          <w:color w:val="auto"/>
          <w:sz w:val="24"/>
          <w:highlight w:val="none"/>
        </w:rPr>
        <w:t>4、是否作出实质性响应（</w:t>
      </w:r>
      <w:r>
        <w:rPr>
          <w:b/>
          <w:color w:val="auto"/>
          <w:sz w:val="24"/>
          <w:highlight w:val="none"/>
        </w:rPr>
        <w:t>是否有实质性响应，只根据响应文件本身，而不寻求外部证据）；</w:t>
      </w:r>
    </w:p>
    <w:p>
      <w:pPr>
        <w:snapToGrid w:val="0"/>
        <w:spacing w:line="480" w:lineRule="exact"/>
        <w:ind w:firstLine="480" w:firstLineChars="200"/>
        <w:rPr>
          <w:color w:val="auto"/>
          <w:sz w:val="24"/>
          <w:highlight w:val="none"/>
        </w:rPr>
      </w:pPr>
      <w:r>
        <w:rPr>
          <w:color w:val="auto"/>
          <w:sz w:val="24"/>
          <w:highlight w:val="none"/>
        </w:rPr>
        <w:t>5、是否有计算错误。</w:t>
      </w:r>
    </w:p>
    <w:p>
      <w:pPr>
        <w:snapToGrid w:val="0"/>
        <w:spacing w:line="480" w:lineRule="exact"/>
        <w:ind w:firstLine="482" w:firstLineChars="200"/>
        <w:rPr>
          <w:b/>
          <w:bCs/>
          <w:color w:val="auto"/>
          <w:sz w:val="24"/>
          <w:highlight w:val="none"/>
        </w:rPr>
      </w:pPr>
      <w:r>
        <w:rPr>
          <w:b/>
          <w:bCs/>
          <w:color w:val="auto"/>
          <w:sz w:val="24"/>
          <w:highlight w:val="none"/>
        </w:rPr>
        <w:t>（二）误差纠正</w:t>
      </w:r>
    </w:p>
    <w:p>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1、响应文件中报价表内容与响应文件中相应内容不一致的，以报价表为准；</w:t>
      </w:r>
    </w:p>
    <w:p>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2、大写金额和小写金额不一致的，以大写金额为准；</w:t>
      </w:r>
    </w:p>
    <w:p>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3、单价金额小数点或者百分比有明显错位的，以总价为准，并修改单价；</w:t>
      </w:r>
    </w:p>
    <w:p>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4、总价金额与按单价汇总金额不一致的，以单价金额计算结果为准。</w:t>
      </w:r>
    </w:p>
    <w:p>
      <w:pPr>
        <w:snapToGrid w:val="0"/>
        <w:spacing w:line="480" w:lineRule="exact"/>
        <w:ind w:firstLine="480" w:firstLineChars="200"/>
        <w:rPr>
          <w:color w:val="auto"/>
          <w:sz w:val="24"/>
          <w:highlight w:val="none"/>
        </w:rPr>
      </w:pPr>
      <w:r>
        <w:rPr>
          <w:rFonts w:hint="eastAsia" w:ascii="宋体" w:hAnsi="宋体"/>
          <w:color w:val="auto"/>
          <w:sz w:val="24"/>
          <w:highlight w:val="none"/>
        </w:rPr>
        <w:t>同时出现两种以上不一致的，按照前款规定的顺序修正。修正后的报价经供应商确认后产生约束力，供应商不确认的，其响应无效。</w:t>
      </w:r>
    </w:p>
    <w:p>
      <w:pPr>
        <w:tabs>
          <w:tab w:val="left" w:pos="6555"/>
          <w:tab w:val="right" w:pos="8306"/>
        </w:tabs>
        <w:snapToGrid w:val="0"/>
        <w:spacing w:line="480" w:lineRule="exact"/>
        <w:ind w:firstLine="482" w:firstLineChars="200"/>
        <w:rPr>
          <w:b/>
          <w:color w:val="auto"/>
          <w:sz w:val="24"/>
          <w:highlight w:val="none"/>
        </w:rPr>
      </w:pPr>
      <w:r>
        <w:rPr>
          <w:b/>
          <w:color w:val="auto"/>
          <w:sz w:val="24"/>
          <w:highlight w:val="none"/>
        </w:rPr>
        <w:t>（三）出现下列情形之一的，作无效响应处理</w:t>
      </w:r>
      <w:r>
        <w:rPr>
          <w:rFonts w:hint="eastAsia"/>
          <w:b/>
          <w:color w:val="auto"/>
          <w:sz w:val="24"/>
          <w:highlight w:val="none"/>
        </w:rPr>
        <w:t>；</w:t>
      </w:r>
    </w:p>
    <w:p>
      <w:pPr>
        <w:snapToGrid w:val="0"/>
        <w:spacing w:line="480" w:lineRule="exact"/>
        <w:ind w:firstLine="482"/>
        <w:rPr>
          <w:b/>
          <w:bCs/>
          <w:color w:val="auto"/>
          <w:sz w:val="24"/>
          <w:highlight w:val="none"/>
        </w:rPr>
      </w:pPr>
      <w:r>
        <w:rPr>
          <w:b/>
          <w:bCs/>
          <w:color w:val="auto"/>
          <w:sz w:val="24"/>
          <w:highlight w:val="none"/>
        </w:rPr>
        <w:t>1、未按照磋商文件规定要求</w:t>
      </w:r>
      <w:r>
        <w:rPr>
          <w:rFonts w:hint="eastAsia"/>
          <w:b/>
          <w:bCs/>
          <w:color w:val="auto"/>
          <w:sz w:val="24"/>
          <w:highlight w:val="none"/>
        </w:rPr>
        <w:t>密封、</w:t>
      </w:r>
      <w:r>
        <w:rPr>
          <w:b/>
          <w:bCs/>
          <w:color w:val="auto"/>
          <w:sz w:val="24"/>
          <w:highlight w:val="none"/>
        </w:rPr>
        <w:t>签署、盖章的；</w:t>
      </w:r>
    </w:p>
    <w:p>
      <w:pPr>
        <w:snapToGrid w:val="0"/>
        <w:spacing w:line="480" w:lineRule="exact"/>
        <w:ind w:firstLine="482"/>
        <w:rPr>
          <w:b/>
          <w:bCs/>
          <w:color w:val="auto"/>
          <w:sz w:val="24"/>
          <w:highlight w:val="none"/>
        </w:rPr>
      </w:pPr>
      <w:r>
        <w:rPr>
          <w:b/>
          <w:bCs/>
          <w:color w:val="auto"/>
          <w:sz w:val="24"/>
          <w:highlight w:val="none"/>
        </w:rPr>
        <w:t>2、不具备磋商文件中规定的资格要求的；</w:t>
      </w:r>
    </w:p>
    <w:p>
      <w:pPr>
        <w:snapToGrid w:val="0"/>
        <w:spacing w:line="480" w:lineRule="exact"/>
        <w:ind w:firstLine="482"/>
        <w:rPr>
          <w:b/>
          <w:bCs/>
          <w:color w:val="auto"/>
          <w:sz w:val="24"/>
          <w:highlight w:val="none"/>
        </w:rPr>
      </w:pPr>
      <w:r>
        <w:rPr>
          <w:b/>
          <w:bCs/>
          <w:color w:val="auto"/>
          <w:sz w:val="24"/>
          <w:highlight w:val="none"/>
        </w:rPr>
        <w:t>3、响应报价超出预算的；</w:t>
      </w:r>
    </w:p>
    <w:p>
      <w:pPr>
        <w:snapToGrid w:val="0"/>
        <w:spacing w:line="480" w:lineRule="exact"/>
        <w:ind w:firstLine="482"/>
        <w:rPr>
          <w:rFonts w:ascii="宋体" w:hAnsi="宋体" w:cs="宋体"/>
          <w:b/>
          <w:bCs/>
          <w:color w:val="auto"/>
          <w:sz w:val="24"/>
          <w:highlight w:val="none"/>
        </w:rPr>
      </w:pPr>
      <w:r>
        <w:rPr>
          <w:rFonts w:hint="eastAsia" w:ascii="宋体" w:hAnsi="宋体" w:cs="宋体"/>
          <w:b/>
          <w:bCs/>
          <w:color w:val="auto"/>
          <w:sz w:val="24"/>
          <w:highlight w:val="none"/>
        </w:rPr>
        <w:t>4、响应文件含有采购人不能接受的附加条件的；</w:t>
      </w:r>
    </w:p>
    <w:p>
      <w:pPr>
        <w:snapToGrid w:val="0"/>
        <w:spacing w:line="480" w:lineRule="exact"/>
        <w:ind w:firstLine="482"/>
        <w:rPr>
          <w:b/>
          <w:bCs/>
          <w:color w:val="auto"/>
          <w:sz w:val="24"/>
          <w:highlight w:val="none"/>
        </w:rPr>
      </w:pPr>
      <w:r>
        <w:rPr>
          <w:rFonts w:hint="eastAsia" w:ascii="宋体" w:hAnsi="宋体" w:cs="宋体"/>
          <w:b/>
          <w:bCs/>
          <w:color w:val="auto"/>
          <w:sz w:val="24"/>
          <w:highlight w:val="none"/>
        </w:rPr>
        <w:t>5、</w:t>
      </w:r>
      <w:r>
        <w:rPr>
          <w:b/>
          <w:bCs/>
          <w:color w:val="auto"/>
          <w:sz w:val="24"/>
          <w:highlight w:val="none"/>
        </w:rPr>
        <w:t>不符合</w:t>
      </w:r>
      <w:r>
        <w:rPr>
          <w:rFonts w:hint="eastAsia"/>
          <w:b/>
          <w:bCs/>
          <w:color w:val="auto"/>
          <w:sz w:val="24"/>
          <w:highlight w:val="none"/>
        </w:rPr>
        <w:t>法律法规</w:t>
      </w:r>
      <w:r>
        <w:rPr>
          <w:b/>
          <w:bCs/>
          <w:color w:val="auto"/>
          <w:sz w:val="24"/>
          <w:highlight w:val="none"/>
        </w:rPr>
        <w:t>和磋商文件中规定的其他实质性要求的</w:t>
      </w:r>
      <w:r>
        <w:rPr>
          <w:rFonts w:hint="eastAsia"/>
          <w:b/>
          <w:bCs/>
          <w:color w:val="auto"/>
          <w:sz w:val="24"/>
          <w:highlight w:val="none"/>
        </w:rPr>
        <w:t>；</w:t>
      </w:r>
    </w:p>
    <w:p>
      <w:pPr>
        <w:snapToGrid w:val="0"/>
        <w:spacing w:line="480" w:lineRule="exact"/>
        <w:ind w:firstLine="482"/>
        <w:rPr>
          <w:rFonts w:ascii="宋体" w:hAnsi="宋体" w:cs="宋体"/>
          <w:b/>
          <w:bCs/>
          <w:color w:val="auto"/>
          <w:sz w:val="24"/>
          <w:highlight w:val="none"/>
        </w:rPr>
      </w:pPr>
      <w:r>
        <w:rPr>
          <w:rFonts w:hint="eastAsia" w:ascii="宋体" w:hAnsi="宋体" w:cs="宋体"/>
          <w:b/>
          <w:bCs/>
          <w:color w:val="auto"/>
          <w:sz w:val="24"/>
          <w:highlight w:val="none"/>
        </w:rPr>
        <w:t>6、同一供应商的不同响应文件（资格审查文件、商务技术文件、</w:t>
      </w:r>
      <w:r>
        <w:rPr>
          <w:rFonts w:hint="eastAsia" w:ascii="宋体" w:hAnsi="宋体" w:cs="宋体"/>
          <w:b/>
          <w:bCs/>
          <w:color w:val="auto"/>
          <w:sz w:val="24"/>
          <w:highlight w:val="none"/>
          <w:lang w:val="en-US" w:eastAsia="zh-CN"/>
        </w:rPr>
        <w:t>U盘文件、</w:t>
      </w:r>
      <w:r>
        <w:rPr>
          <w:rFonts w:hint="eastAsia" w:ascii="宋体" w:hAnsi="宋体" w:cs="宋体"/>
          <w:b/>
          <w:bCs/>
          <w:color w:val="auto"/>
          <w:sz w:val="24"/>
          <w:highlight w:val="none"/>
        </w:rPr>
        <w:t>报价文件）相互混装的。</w:t>
      </w:r>
    </w:p>
    <w:p>
      <w:pPr>
        <w:snapToGrid w:val="0"/>
        <w:spacing w:line="480" w:lineRule="exact"/>
        <w:ind w:firstLine="482"/>
        <w:rPr>
          <w:rFonts w:ascii="宋体" w:hAnsi="宋体" w:cs="宋体"/>
          <w:b/>
          <w:bCs/>
          <w:color w:val="auto"/>
          <w:sz w:val="24"/>
          <w:highlight w:val="none"/>
        </w:rPr>
      </w:pPr>
      <w:r>
        <w:rPr>
          <w:rFonts w:hint="eastAsia" w:ascii="宋体" w:hAnsi="宋体" w:cs="宋体"/>
          <w:b/>
          <w:bCs/>
          <w:color w:val="auto"/>
          <w:sz w:val="24"/>
          <w:highlight w:val="none"/>
        </w:rPr>
        <w:t>7、响应报价超过采购文件中规定的预算金额或者最高限价的；</w:t>
      </w:r>
    </w:p>
    <w:p>
      <w:pPr>
        <w:snapToGrid w:val="0"/>
        <w:spacing w:line="480" w:lineRule="exact"/>
        <w:ind w:firstLine="482"/>
        <w:rPr>
          <w:rFonts w:ascii="宋体" w:hAnsi="宋体" w:cs="宋体"/>
          <w:b/>
          <w:bCs/>
          <w:color w:val="auto"/>
          <w:sz w:val="24"/>
          <w:highlight w:val="none"/>
        </w:rPr>
      </w:pPr>
      <w:r>
        <w:rPr>
          <w:rFonts w:hint="eastAsia" w:ascii="宋体" w:hAnsi="宋体" w:cs="宋体"/>
          <w:b/>
          <w:bCs/>
          <w:color w:val="auto"/>
          <w:sz w:val="24"/>
          <w:highlight w:val="none"/>
        </w:rPr>
        <w:t>8、最后报价中的税率与首次报价中的税率不相同的；</w:t>
      </w:r>
    </w:p>
    <w:p>
      <w:pPr>
        <w:snapToGrid w:val="0"/>
        <w:spacing w:line="480" w:lineRule="exact"/>
        <w:ind w:firstLine="482"/>
        <w:rPr>
          <w:rFonts w:ascii="宋体" w:hAnsi="宋体" w:cs="宋体"/>
          <w:b/>
          <w:bCs/>
          <w:color w:val="auto"/>
          <w:sz w:val="24"/>
          <w:highlight w:val="none"/>
        </w:rPr>
      </w:pPr>
      <w:r>
        <w:rPr>
          <w:rFonts w:hint="eastAsia" w:ascii="宋体" w:hAnsi="宋体" w:cs="宋体"/>
          <w:b/>
          <w:bCs/>
          <w:color w:val="auto"/>
          <w:sz w:val="24"/>
          <w:highlight w:val="none"/>
        </w:rPr>
        <w:t>9、最终报价高于自身单位首次报价的。</w:t>
      </w:r>
    </w:p>
    <w:p>
      <w:pPr>
        <w:snapToGrid w:val="0"/>
        <w:spacing w:line="480" w:lineRule="exact"/>
        <w:ind w:firstLine="482"/>
        <w:rPr>
          <w:b/>
          <w:color w:val="auto"/>
          <w:sz w:val="24"/>
          <w:highlight w:val="none"/>
        </w:rPr>
      </w:pPr>
      <w:r>
        <w:rPr>
          <w:b/>
          <w:color w:val="auto"/>
          <w:sz w:val="24"/>
          <w:highlight w:val="none"/>
        </w:rPr>
        <w:t>（四）出现下列情形之一的，</w:t>
      </w:r>
      <w:r>
        <w:rPr>
          <w:rFonts w:hint="eastAsia"/>
          <w:b/>
          <w:color w:val="auto"/>
          <w:sz w:val="24"/>
          <w:highlight w:val="none"/>
        </w:rPr>
        <w:t>作</w:t>
      </w:r>
      <w:r>
        <w:rPr>
          <w:b/>
          <w:color w:val="auto"/>
          <w:sz w:val="24"/>
          <w:highlight w:val="none"/>
        </w:rPr>
        <w:t>磋商失败</w:t>
      </w:r>
      <w:r>
        <w:rPr>
          <w:rFonts w:hint="eastAsia"/>
          <w:b/>
          <w:color w:val="auto"/>
          <w:sz w:val="24"/>
          <w:highlight w:val="none"/>
        </w:rPr>
        <w:t>处理；</w:t>
      </w:r>
    </w:p>
    <w:p>
      <w:pPr>
        <w:snapToGrid w:val="0"/>
        <w:spacing w:line="480" w:lineRule="exact"/>
        <w:ind w:firstLine="480"/>
        <w:rPr>
          <w:color w:val="auto"/>
          <w:sz w:val="24"/>
          <w:highlight w:val="none"/>
        </w:rPr>
      </w:pPr>
      <w:r>
        <w:rPr>
          <w:color w:val="auto"/>
          <w:sz w:val="24"/>
          <w:highlight w:val="none"/>
        </w:rPr>
        <w:t>1、符合条件的供应商或者对磋商文件作实质响应的供应商不足3家的（市场竞争不充分的科研项目，以及需要扶持的科技成果转化项目可以是2家）；</w:t>
      </w:r>
    </w:p>
    <w:p>
      <w:pPr>
        <w:snapToGrid w:val="0"/>
        <w:spacing w:line="480" w:lineRule="exact"/>
        <w:ind w:firstLine="480"/>
        <w:rPr>
          <w:color w:val="auto"/>
          <w:sz w:val="24"/>
          <w:highlight w:val="none"/>
        </w:rPr>
      </w:pPr>
      <w:r>
        <w:rPr>
          <w:color w:val="auto"/>
          <w:sz w:val="24"/>
          <w:highlight w:val="none"/>
        </w:rPr>
        <w:t>2、出现影响采购公正的违法违规行为的；</w:t>
      </w:r>
    </w:p>
    <w:p>
      <w:pPr>
        <w:snapToGrid w:val="0"/>
        <w:spacing w:line="480" w:lineRule="exact"/>
        <w:ind w:firstLine="480"/>
        <w:rPr>
          <w:color w:val="auto"/>
          <w:sz w:val="24"/>
          <w:highlight w:val="none"/>
        </w:rPr>
      </w:pPr>
      <w:r>
        <w:rPr>
          <w:color w:val="auto"/>
          <w:sz w:val="24"/>
          <w:highlight w:val="none"/>
        </w:rPr>
        <w:t>3、供应商的最后报价均超过了采购预算，采购人不能支付的；</w:t>
      </w:r>
    </w:p>
    <w:p>
      <w:pPr>
        <w:snapToGrid w:val="0"/>
        <w:spacing w:line="480" w:lineRule="exact"/>
        <w:ind w:firstLine="480"/>
        <w:rPr>
          <w:color w:val="auto"/>
          <w:sz w:val="24"/>
          <w:highlight w:val="none"/>
        </w:rPr>
      </w:pPr>
      <w:r>
        <w:rPr>
          <w:color w:val="auto"/>
          <w:sz w:val="24"/>
          <w:highlight w:val="none"/>
        </w:rPr>
        <w:t>4、因重大变故，采购任务取消的。</w:t>
      </w:r>
    </w:p>
    <w:p>
      <w:pPr>
        <w:spacing w:line="480" w:lineRule="exact"/>
        <w:ind w:firstLine="480"/>
        <w:rPr>
          <w:color w:val="auto"/>
          <w:sz w:val="24"/>
          <w:highlight w:val="none"/>
        </w:rPr>
      </w:pPr>
      <w:r>
        <w:rPr>
          <w:color w:val="auto"/>
          <w:sz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w:t>
      </w:r>
      <w:r>
        <w:rPr>
          <w:rFonts w:hint="eastAsia"/>
          <w:color w:val="auto"/>
          <w:sz w:val="24"/>
          <w:highlight w:val="none"/>
        </w:rPr>
        <w:t>有关</w:t>
      </w:r>
      <w:r>
        <w:rPr>
          <w:color w:val="auto"/>
          <w:sz w:val="24"/>
          <w:highlight w:val="none"/>
        </w:rPr>
        <w:t>部门。</w:t>
      </w:r>
    </w:p>
    <w:p>
      <w:pPr>
        <w:pStyle w:val="46"/>
        <w:spacing w:line="480" w:lineRule="exact"/>
        <w:ind w:firstLine="472" w:firstLineChars="196"/>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五、评审标准</w:t>
      </w:r>
    </w:p>
    <w:p>
      <w:pPr>
        <w:spacing w:line="480" w:lineRule="exact"/>
        <w:ind w:firstLine="480" w:firstLineChars="200"/>
        <w:rPr>
          <w:rFonts w:ascii="宋体" w:hAnsi="宋体" w:cs="宋体"/>
          <w:color w:val="auto"/>
          <w:sz w:val="24"/>
          <w:highlight w:val="none"/>
        </w:rPr>
      </w:pPr>
      <w:r>
        <w:rPr>
          <w:color w:val="auto"/>
          <w:sz w:val="24"/>
          <w:highlight w:val="none"/>
        </w:rPr>
        <w:t>商务技术部分评审结束后，再开启最后报价计算分值。总分值为100分，加分和减分因素除外。</w:t>
      </w:r>
      <w:r>
        <w:rPr>
          <w:rFonts w:hint="eastAsia" w:ascii="宋体" w:hAnsi="宋体" w:cs="宋体"/>
          <w:color w:val="auto"/>
          <w:sz w:val="24"/>
          <w:highlight w:val="none"/>
        </w:rPr>
        <w:t>两部分评审因素比重如下（计算结果均四舍五入保留两位小数）：</w:t>
      </w:r>
    </w:p>
    <w:p>
      <w:pPr>
        <w:spacing w:line="480" w:lineRule="exact"/>
        <w:ind w:firstLine="484" w:firstLineChars="202"/>
        <w:rPr>
          <w:rFonts w:ascii="宋体" w:hAnsi="宋体" w:cs="宋体"/>
          <w:color w:val="auto"/>
          <w:sz w:val="24"/>
          <w:highlight w:val="none"/>
          <w:u w:val="single"/>
        </w:rPr>
      </w:pPr>
      <w:r>
        <w:rPr>
          <w:rFonts w:hint="eastAsia" w:ascii="宋体" w:hAnsi="宋体" w:cs="宋体"/>
          <w:color w:val="auto"/>
          <w:sz w:val="24"/>
          <w:highlight w:val="none"/>
        </w:rPr>
        <w:t>商务技术文件分值占总分值的比重为</w:t>
      </w:r>
      <w:r>
        <w:rPr>
          <w:rFonts w:hint="eastAsia" w:ascii="宋体" w:hAnsi="宋体" w:cs="宋体"/>
          <w:color w:val="auto"/>
          <w:sz w:val="24"/>
          <w:highlight w:val="none"/>
          <w:u w:val="single"/>
        </w:rPr>
        <w:t>70%（权重）</w:t>
      </w:r>
      <w:r>
        <w:rPr>
          <w:rFonts w:hint="eastAsia" w:ascii="宋体" w:hAnsi="宋体" w:cs="宋体"/>
          <w:color w:val="auto"/>
          <w:sz w:val="24"/>
          <w:highlight w:val="none"/>
        </w:rPr>
        <w:t>；</w:t>
      </w:r>
    </w:p>
    <w:p>
      <w:pPr>
        <w:spacing w:line="480" w:lineRule="exact"/>
        <w:ind w:firstLine="484" w:firstLineChars="202"/>
        <w:rPr>
          <w:color w:val="auto"/>
          <w:sz w:val="24"/>
          <w:highlight w:val="none"/>
        </w:rPr>
      </w:pPr>
      <w:r>
        <w:rPr>
          <w:rFonts w:hint="eastAsia" w:ascii="宋体" w:hAnsi="宋体" w:cs="宋体"/>
          <w:color w:val="auto"/>
          <w:sz w:val="24"/>
          <w:highlight w:val="none"/>
        </w:rPr>
        <w:t>报价分分值占总分值的比重为</w:t>
      </w:r>
      <w:r>
        <w:rPr>
          <w:rFonts w:hint="eastAsia" w:ascii="宋体" w:hAnsi="宋体" w:cs="宋体"/>
          <w:color w:val="auto"/>
          <w:sz w:val="24"/>
          <w:highlight w:val="none"/>
          <w:u w:val="single"/>
        </w:rPr>
        <w:t>30%（权重）</w:t>
      </w:r>
      <w:r>
        <w:rPr>
          <w:rFonts w:hint="eastAsia"/>
          <w:color w:val="auto"/>
          <w:sz w:val="24"/>
          <w:highlight w:val="none"/>
        </w:rPr>
        <w:t>。</w:t>
      </w:r>
    </w:p>
    <w:p>
      <w:pPr>
        <w:snapToGrid w:val="0"/>
        <w:spacing w:line="480" w:lineRule="exact"/>
        <w:ind w:firstLine="472" w:firstLineChars="196"/>
        <w:rPr>
          <w:rFonts w:ascii="宋体" w:hAnsi="宋体"/>
          <w:b/>
          <w:color w:val="auto"/>
          <w:sz w:val="24"/>
          <w:highlight w:val="none"/>
        </w:rPr>
      </w:pPr>
      <w:r>
        <w:rPr>
          <w:rFonts w:hint="eastAsia" w:ascii="宋体" w:hAnsi="宋体"/>
          <w:b/>
          <w:color w:val="auto"/>
          <w:sz w:val="24"/>
          <w:highlight w:val="none"/>
        </w:rPr>
        <w:t>（一）</w:t>
      </w:r>
      <w:r>
        <w:rPr>
          <w:rFonts w:hint="eastAsia" w:ascii="宋体" w:hAnsi="宋体"/>
          <w:b/>
          <w:color w:val="auto"/>
          <w:sz w:val="24"/>
          <w:highlight w:val="none"/>
          <w:lang w:val="zh-CN"/>
        </w:rPr>
        <w:t>商务技术分</w:t>
      </w:r>
      <w:r>
        <w:rPr>
          <w:rFonts w:hint="eastAsia" w:ascii="宋体" w:hAnsi="宋体"/>
          <w:color w:val="auto"/>
          <w:sz w:val="24"/>
          <w:highlight w:val="none"/>
          <w:lang w:val="zh-CN"/>
        </w:rPr>
        <w:t>：</w:t>
      </w:r>
      <w:r>
        <w:rPr>
          <w:rFonts w:hint="eastAsia" w:ascii="宋体" w:hAnsi="宋体"/>
          <w:color w:val="auto"/>
          <w:sz w:val="24"/>
          <w:highlight w:val="none"/>
          <w:u w:val="single"/>
        </w:rPr>
        <w:t>70</w:t>
      </w:r>
      <w:r>
        <w:rPr>
          <w:rFonts w:hint="eastAsia" w:ascii="宋体" w:hAnsi="宋体"/>
          <w:color w:val="auto"/>
          <w:sz w:val="24"/>
          <w:highlight w:val="none"/>
          <w:u w:val="single"/>
          <w:lang w:val="zh-CN"/>
        </w:rPr>
        <w:t>分</w:t>
      </w:r>
    </w:p>
    <w:p>
      <w:pPr>
        <w:autoSpaceDE w:val="0"/>
        <w:autoSpaceDN w:val="0"/>
        <w:adjustRightInd w:val="0"/>
        <w:snapToGrid w:val="0"/>
        <w:spacing w:line="480" w:lineRule="exact"/>
        <w:ind w:firstLine="480"/>
        <w:rPr>
          <w:rFonts w:ascii="宋体" w:hAnsi="宋体"/>
          <w:color w:val="auto"/>
          <w:sz w:val="24"/>
          <w:highlight w:val="none"/>
        </w:rPr>
      </w:pPr>
      <w:r>
        <w:rPr>
          <w:rFonts w:hint="eastAsia" w:ascii="宋体" w:hAnsi="宋体"/>
          <w:color w:val="auto"/>
          <w:sz w:val="24"/>
          <w:highlight w:val="none"/>
        </w:rPr>
        <w:t>供应商得分为磋商小组成员评分的算术平均分，分值第三位四舍五入后保留小数点</w:t>
      </w:r>
      <w:r>
        <w:rPr>
          <w:rFonts w:hint="eastAsia" w:ascii="宋体" w:hAnsi="宋体"/>
          <w:color w:val="auto"/>
          <w:sz w:val="24"/>
          <w:highlight w:val="none"/>
          <w:lang w:val="en-US" w:eastAsia="zh-CN"/>
        </w:rPr>
        <w:t>后</w:t>
      </w:r>
      <w:r>
        <w:rPr>
          <w:rFonts w:hint="eastAsia" w:ascii="宋体" w:hAnsi="宋体"/>
          <w:color w:val="auto"/>
          <w:sz w:val="24"/>
          <w:highlight w:val="none"/>
        </w:rPr>
        <w:t>两位。</w:t>
      </w:r>
    </w:p>
    <w:tbl>
      <w:tblPr>
        <w:tblStyle w:val="22"/>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64"/>
        <w:gridCol w:w="7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3" w:type="pct"/>
            <w:noWrap/>
            <w:vAlign w:val="center"/>
          </w:tcPr>
          <w:p>
            <w:pPr>
              <w:widowControl/>
              <w:spacing w:line="38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序号 </w:t>
            </w:r>
          </w:p>
        </w:tc>
        <w:tc>
          <w:tcPr>
            <w:tcW w:w="657" w:type="pct"/>
            <w:noWrap/>
            <w:vAlign w:val="center"/>
          </w:tcPr>
          <w:p>
            <w:pPr>
              <w:widowControl/>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评分点名称及分值</w:t>
            </w:r>
          </w:p>
        </w:tc>
        <w:tc>
          <w:tcPr>
            <w:tcW w:w="3978" w:type="pct"/>
            <w:noWrap/>
            <w:vAlign w:val="center"/>
          </w:tcPr>
          <w:p>
            <w:pPr>
              <w:widowControl/>
              <w:spacing w:line="380" w:lineRule="exact"/>
              <w:ind w:firstLine="422" w:firstLineChars="20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63" w:type="pct"/>
            <w:vMerge w:val="restart"/>
            <w:noWrap/>
            <w:vAlign w:val="center"/>
          </w:tcPr>
          <w:p>
            <w:pPr>
              <w:widowControl/>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57" w:type="pct"/>
            <w:vMerge w:val="restart"/>
            <w:noWrap/>
            <w:vAlign w:val="center"/>
          </w:tcPr>
          <w:p>
            <w:pPr>
              <w:widowControl/>
              <w:spacing w:line="380" w:lineRule="exact"/>
              <w:jc w:val="center"/>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履约能力</w:t>
            </w:r>
          </w:p>
          <w:p>
            <w:pPr>
              <w:keepNext/>
              <w:keepLines/>
              <w:spacing w:line="380" w:lineRule="exact"/>
              <w:jc w:val="center"/>
              <w:outlineLvl w:val="0"/>
              <w:rPr>
                <w:rFonts w:ascii="宋体" w:hAnsi="宋体" w:cs="宋体"/>
                <w:color w:val="auto"/>
                <w:kern w:val="44"/>
                <w:szCs w:val="21"/>
                <w:highlight w:val="none"/>
              </w:rPr>
            </w:pPr>
            <w:r>
              <w:rPr>
                <w:rFonts w:hint="eastAsia" w:ascii="宋体" w:hAnsi="宋体" w:cs="宋体"/>
                <w:b/>
                <w:bCs/>
                <w:color w:val="auto"/>
                <w:spacing w:val="6"/>
                <w:kern w:val="0"/>
                <w:szCs w:val="21"/>
                <w:highlight w:val="none"/>
              </w:rPr>
              <w:t>（</w:t>
            </w:r>
            <w:r>
              <w:rPr>
                <w:rFonts w:hint="eastAsia" w:ascii="宋体" w:hAnsi="宋体" w:cs="宋体"/>
                <w:b/>
                <w:bCs/>
                <w:color w:val="auto"/>
                <w:spacing w:val="6"/>
                <w:kern w:val="0"/>
                <w:szCs w:val="21"/>
                <w:highlight w:val="none"/>
                <w:lang w:val="en-US" w:eastAsia="zh-CN"/>
              </w:rPr>
              <w:t>20</w:t>
            </w:r>
            <w:r>
              <w:rPr>
                <w:rFonts w:hint="eastAsia" w:ascii="宋体" w:hAnsi="宋体" w:cs="宋体"/>
                <w:b/>
                <w:bCs/>
                <w:color w:val="auto"/>
                <w:spacing w:val="6"/>
                <w:kern w:val="0"/>
                <w:szCs w:val="21"/>
                <w:highlight w:val="none"/>
              </w:rPr>
              <w:t>分）</w:t>
            </w:r>
          </w:p>
        </w:tc>
        <w:tc>
          <w:tcPr>
            <w:tcW w:w="3978" w:type="pct"/>
            <w:noWrap/>
            <w:vAlign w:val="center"/>
          </w:tcPr>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供应商具有ISO9001质量管理体系认证证书、ISO27001信息安全管理体系认证证书、具有国家新闻出版广电总局推荐的新闻出版业数字化转型内容资源加工服务商推荐名录证明（颁发单位批复文件复印件或颁发单位官方网站公示截图并附链接，并加盖供应商公章）。</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每提供一项得1分，最高得3分。须提供有效期内证书复印件，并加盖供应商公章，未提供的不得分。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3" w:type="pct"/>
            <w:vMerge w:val="continue"/>
            <w:noWrap/>
            <w:vAlign w:val="center"/>
          </w:tcPr>
          <w:p>
            <w:pPr>
              <w:widowControl/>
              <w:spacing w:line="380" w:lineRule="exact"/>
              <w:ind w:firstLine="420" w:firstLineChars="200"/>
              <w:jc w:val="center"/>
              <w:rPr>
                <w:rFonts w:ascii="宋体" w:hAnsi="宋体" w:cs="宋体"/>
                <w:color w:val="auto"/>
                <w:kern w:val="0"/>
                <w:szCs w:val="21"/>
                <w:highlight w:val="none"/>
              </w:rPr>
            </w:pPr>
          </w:p>
        </w:tc>
        <w:tc>
          <w:tcPr>
            <w:tcW w:w="657" w:type="pct"/>
            <w:vMerge w:val="continue"/>
            <w:noWrap/>
            <w:vAlign w:val="center"/>
          </w:tcPr>
          <w:p>
            <w:pPr>
              <w:keepNext/>
              <w:keepLines/>
              <w:spacing w:line="380" w:lineRule="exact"/>
              <w:ind w:firstLine="420" w:firstLineChars="200"/>
              <w:jc w:val="center"/>
              <w:outlineLvl w:val="0"/>
              <w:rPr>
                <w:rFonts w:ascii="宋体" w:hAnsi="宋体" w:cs="宋体"/>
                <w:color w:val="auto"/>
                <w:kern w:val="44"/>
                <w:szCs w:val="21"/>
                <w:highlight w:val="none"/>
              </w:rPr>
            </w:pPr>
          </w:p>
        </w:tc>
        <w:tc>
          <w:tcPr>
            <w:tcW w:w="3978" w:type="pct"/>
            <w:noWrap/>
            <w:vAlign w:val="center"/>
          </w:tcPr>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2、评价供应商实施本项目所具备的历史报纸数字化经验和生产产能。</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提供报业历史报纸数字化从业经验说明材料和证明文件；</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提供自有数字化生产车间、生产设备和加工队伍的说明材料和证明文件；</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证明文件包括但不限于：数字化车间现场工作照片、提供自有扫描、电脑等专业设备的数量和购买发票（截止至</w:t>
            </w:r>
            <w:r>
              <w:rPr>
                <w:rFonts w:hint="eastAsia" w:ascii="宋体" w:hAnsi="宋体" w:cs="宋体"/>
                <w:color w:val="auto"/>
                <w:kern w:val="0"/>
                <w:szCs w:val="21"/>
                <w:highlight w:val="none"/>
                <w:lang w:val="en-US" w:eastAsia="zh-CN"/>
              </w:rPr>
              <w:t>响应文件递交截止时间</w:t>
            </w:r>
            <w:r>
              <w:rPr>
                <w:rFonts w:hint="eastAsia" w:ascii="宋体" w:hAnsi="宋体" w:cs="宋体"/>
                <w:color w:val="auto"/>
                <w:kern w:val="0"/>
                <w:szCs w:val="21"/>
                <w:highlight w:val="none"/>
              </w:rPr>
              <w:t>前）、在供应商工作场所或到报社上门扫描的工作现场照片、加工人员在本单位社保参保证明</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近3个月（2024年3月至2024年5月）内任意一个月的社会保险缴费清单</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等。</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历史报纸数字化生产的从业经验最丰富</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数字化生产场所规模、设备规模、加工队伍规模最充足，得</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历史报纸数字化生产的从业经验</w:t>
            </w:r>
            <w:r>
              <w:rPr>
                <w:rFonts w:hint="eastAsia" w:ascii="宋体" w:hAnsi="宋体" w:cs="宋体"/>
                <w:color w:val="auto"/>
                <w:kern w:val="0"/>
                <w:szCs w:val="21"/>
                <w:highlight w:val="none"/>
                <w:lang w:val="en-US" w:eastAsia="zh-CN"/>
              </w:rPr>
              <w:t>较丰富</w:t>
            </w:r>
            <w:r>
              <w:rPr>
                <w:rFonts w:hint="eastAsia" w:ascii="宋体" w:hAnsi="宋体" w:cs="宋体"/>
                <w:color w:val="auto"/>
                <w:kern w:val="0"/>
                <w:szCs w:val="21"/>
                <w:highlight w:val="none"/>
              </w:rPr>
              <w:t>、数字化生产场所规模、设备规模、加工队伍规模比较充足，得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历史报纸数字化生产的从业经验一般、数字化生产场所规模、设备规模、加工队伍规模一般，得1分。</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3" w:type="pct"/>
            <w:vMerge w:val="continue"/>
            <w:noWrap/>
            <w:vAlign w:val="center"/>
          </w:tcPr>
          <w:p>
            <w:pPr>
              <w:widowControl/>
              <w:spacing w:line="380" w:lineRule="exact"/>
              <w:ind w:firstLine="420" w:firstLineChars="200"/>
              <w:jc w:val="center"/>
              <w:rPr>
                <w:rFonts w:ascii="宋体" w:hAnsi="宋体" w:cs="宋体"/>
                <w:color w:val="auto"/>
                <w:kern w:val="0"/>
                <w:szCs w:val="21"/>
                <w:highlight w:val="none"/>
              </w:rPr>
            </w:pPr>
          </w:p>
        </w:tc>
        <w:tc>
          <w:tcPr>
            <w:tcW w:w="657" w:type="pct"/>
            <w:vMerge w:val="continue"/>
            <w:noWrap/>
            <w:vAlign w:val="center"/>
          </w:tcPr>
          <w:p>
            <w:pPr>
              <w:keepNext/>
              <w:keepLines/>
              <w:spacing w:line="380" w:lineRule="exact"/>
              <w:ind w:firstLine="420" w:firstLineChars="200"/>
              <w:jc w:val="center"/>
              <w:outlineLvl w:val="0"/>
              <w:rPr>
                <w:rFonts w:ascii="宋体" w:hAnsi="宋体" w:cs="宋体"/>
                <w:color w:val="auto"/>
                <w:kern w:val="44"/>
                <w:szCs w:val="21"/>
                <w:highlight w:val="none"/>
              </w:rPr>
            </w:pPr>
          </w:p>
        </w:tc>
        <w:tc>
          <w:tcPr>
            <w:tcW w:w="3978" w:type="pct"/>
            <w:noWrap/>
            <w:vAlign w:val="center"/>
          </w:tcPr>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3、供应商具有历史报纸数字化关键技术的相关软件著作权证书：</w:t>
            </w:r>
            <w:r>
              <w:rPr>
                <w:rFonts w:hint="eastAsia" w:ascii="微软雅黑" w:hAnsi="微软雅黑" w:eastAsia="微软雅黑" w:cs="微软雅黑"/>
                <w:color w:val="auto"/>
                <w:kern w:val="0"/>
                <w:szCs w:val="21"/>
                <w:highlight w:val="none"/>
              </w:rPr>
              <w:t>①</w:t>
            </w:r>
            <w:r>
              <w:rPr>
                <w:rFonts w:hint="eastAsia" w:ascii="宋体" w:hAnsi="宋体" w:cs="宋体"/>
                <w:color w:val="auto"/>
                <w:kern w:val="0"/>
                <w:szCs w:val="21"/>
                <w:highlight w:val="none"/>
              </w:rPr>
              <w:t>纸质报纸繁简体OCR识别、</w:t>
            </w:r>
            <w:r>
              <w:rPr>
                <w:rFonts w:hint="eastAsia" w:ascii="微软雅黑" w:hAnsi="微软雅黑" w:eastAsia="微软雅黑" w:cs="微软雅黑"/>
                <w:color w:val="auto"/>
                <w:kern w:val="0"/>
                <w:szCs w:val="21"/>
                <w:highlight w:val="none"/>
              </w:rPr>
              <w:t>②</w:t>
            </w:r>
            <w:r>
              <w:rPr>
                <w:rFonts w:hint="eastAsia" w:ascii="宋体" w:hAnsi="宋体" w:cs="宋体"/>
                <w:color w:val="auto"/>
                <w:kern w:val="0"/>
                <w:szCs w:val="21"/>
                <w:highlight w:val="none"/>
              </w:rPr>
              <w:t>电子数据反解加工、</w:t>
            </w:r>
            <w:r>
              <w:rPr>
                <w:rFonts w:hint="eastAsia" w:ascii="微软雅黑" w:hAnsi="微软雅黑" w:eastAsia="微软雅黑" w:cs="微软雅黑"/>
                <w:color w:val="auto"/>
                <w:kern w:val="0"/>
                <w:szCs w:val="21"/>
                <w:highlight w:val="none"/>
              </w:rPr>
              <w:t>③</w:t>
            </w:r>
            <w:r>
              <w:rPr>
                <w:rFonts w:hint="eastAsia" w:ascii="宋体" w:hAnsi="宋体" w:cs="宋体"/>
                <w:color w:val="auto"/>
                <w:kern w:val="0"/>
                <w:szCs w:val="21"/>
                <w:highlight w:val="none"/>
              </w:rPr>
              <w:t>新闻信息标引分类、</w:t>
            </w:r>
            <w:r>
              <w:rPr>
                <w:rFonts w:hint="eastAsia" w:ascii="微软雅黑" w:hAnsi="微软雅黑" w:eastAsia="微软雅黑" w:cs="微软雅黑"/>
                <w:color w:val="auto"/>
                <w:kern w:val="0"/>
                <w:szCs w:val="21"/>
                <w:highlight w:val="none"/>
              </w:rPr>
              <w:t>④</w:t>
            </w:r>
            <w:r>
              <w:rPr>
                <w:rFonts w:hint="eastAsia" w:ascii="宋体" w:hAnsi="宋体" w:cs="宋体"/>
                <w:color w:val="auto"/>
                <w:kern w:val="0"/>
                <w:szCs w:val="21"/>
                <w:highlight w:val="none"/>
              </w:rPr>
              <w:t>数字化流程管理、</w:t>
            </w:r>
            <w:r>
              <w:rPr>
                <w:rFonts w:hint="eastAsia" w:ascii="微软雅黑" w:hAnsi="微软雅黑" w:eastAsia="微软雅黑" w:cs="微软雅黑"/>
                <w:color w:val="auto"/>
                <w:kern w:val="0"/>
                <w:szCs w:val="21"/>
                <w:highlight w:val="none"/>
              </w:rPr>
              <w:t>⑤</w:t>
            </w:r>
            <w:r>
              <w:rPr>
                <w:rFonts w:hint="eastAsia" w:ascii="宋体" w:hAnsi="宋体" w:cs="宋体"/>
                <w:color w:val="auto"/>
                <w:kern w:val="0"/>
                <w:szCs w:val="21"/>
                <w:highlight w:val="none"/>
              </w:rPr>
              <w:t>检索数据库检索系统、</w:t>
            </w:r>
            <w:r>
              <w:rPr>
                <w:rFonts w:hint="eastAsia" w:ascii="微软雅黑" w:hAnsi="微软雅黑" w:eastAsia="微软雅黑" w:cs="微软雅黑"/>
                <w:color w:val="auto"/>
                <w:kern w:val="0"/>
                <w:szCs w:val="21"/>
                <w:highlight w:val="none"/>
              </w:rPr>
              <w:t>⑥</w:t>
            </w:r>
            <w:r>
              <w:rPr>
                <w:rFonts w:hint="eastAsia" w:ascii="宋体" w:hAnsi="宋体" w:cs="宋体"/>
                <w:color w:val="auto"/>
                <w:kern w:val="0"/>
                <w:szCs w:val="21"/>
                <w:highlight w:val="none"/>
              </w:rPr>
              <w:t>数据库加密方面的软件著作权证书，可以是原始取得或继受取得。</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需提供证书复印件并加盖供应商公章。每提供一项得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分，最高得</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363" w:type="pct"/>
            <w:vMerge w:val="continue"/>
            <w:noWrap/>
            <w:vAlign w:val="center"/>
          </w:tcPr>
          <w:p>
            <w:pPr>
              <w:widowControl/>
              <w:spacing w:line="380" w:lineRule="exact"/>
              <w:ind w:firstLine="420" w:firstLineChars="200"/>
              <w:jc w:val="center"/>
              <w:rPr>
                <w:rFonts w:ascii="宋体" w:hAnsi="宋体" w:cs="宋体"/>
                <w:color w:val="auto"/>
                <w:kern w:val="0"/>
                <w:szCs w:val="21"/>
                <w:highlight w:val="none"/>
              </w:rPr>
            </w:pPr>
          </w:p>
        </w:tc>
        <w:tc>
          <w:tcPr>
            <w:tcW w:w="657" w:type="pct"/>
            <w:vMerge w:val="continue"/>
            <w:noWrap/>
            <w:vAlign w:val="center"/>
          </w:tcPr>
          <w:p>
            <w:pPr>
              <w:keepNext/>
              <w:keepLines/>
              <w:spacing w:line="380" w:lineRule="exact"/>
              <w:ind w:firstLine="420" w:firstLineChars="200"/>
              <w:jc w:val="center"/>
              <w:outlineLvl w:val="0"/>
              <w:rPr>
                <w:rFonts w:ascii="宋体" w:hAnsi="宋体" w:cs="宋体"/>
                <w:color w:val="auto"/>
                <w:kern w:val="44"/>
                <w:szCs w:val="21"/>
                <w:highlight w:val="none"/>
              </w:rPr>
            </w:pPr>
          </w:p>
        </w:tc>
        <w:tc>
          <w:tcPr>
            <w:tcW w:w="3978" w:type="pct"/>
            <w:noWrap/>
            <w:vAlign w:val="center"/>
          </w:tcPr>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4、供应商提供自2019年1月1日至</w:t>
            </w:r>
            <w:r>
              <w:rPr>
                <w:rFonts w:hint="eastAsia" w:ascii="宋体" w:hAnsi="宋体" w:cs="宋体"/>
                <w:color w:val="auto"/>
                <w:kern w:val="0"/>
                <w:szCs w:val="21"/>
                <w:highlight w:val="none"/>
                <w:lang w:val="en-US" w:eastAsia="zh-CN"/>
              </w:rPr>
              <w:t>响应文件提交截止</w:t>
            </w:r>
            <w:r>
              <w:rPr>
                <w:rFonts w:hint="eastAsia" w:ascii="宋体" w:hAnsi="宋体" w:cs="宋体"/>
                <w:color w:val="auto"/>
                <w:kern w:val="0"/>
                <w:szCs w:val="21"/>
                <w:highlight w:val="none"/>
              </w:rPr>
              <w:t>时间止（日期以合同签订日期为准）已完成的与本项目类似项目业绩证明材料，须提供项目合同和验收报告，提供复印件并加盖</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公章，必须能够证明该项目已通过用户验收合格、具有文字差错率低于万分之一、版面制作重构PDF和版面双层PDF、采用国家新闻分类标准进行文章分类、数据库检索功能等主要技术指标的相关证明文件，须同时提供合同用户名称、联系人及联系方式。以上须完整提供，每提供1份完整业绩证明材料得2分，最高得6分，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363" w:type="pct"/>
            <w:noWrap/>
            <w:vAlign w:val="center"/>
          </w:tcPr>
          <w:p>
            <w:pPr>
              <w:widowControl/>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57" w:type="pct"/>
            <w:noWrap/>
            <w:vAlign w:val="center"/>
          </w:tcPr>
          <w:p>
            <w:pPr>
              <w:keepNext/>
              <w:keepLines/>
              <w:spacing w:line="380" w:lineRule="exact"/>
              <w:jc w:val="center"/>
              <w:outlineLvl w:val="0"/>
              <w:rPr>
                <w:rFonts w:ascii="宋体" w:hAnsi="宋体" w:cs="宋体"/>
                <w:color w:val="auto"/>
                <w:szCs w:val="21"/>
                <w:highlight w:val="none"/>
              </w:rPr>
            </w:pPr>
            <w:r>
              <w:rPr>
                <w:rFonts w:hint="eastAsia" w:ascii="宋体" w:hAnsi="宋体" w:cs="宋体"/>
                <w:color w:val="auto"/>
                <w:szCs w:val="21"/>
                <w:highlight w:val="none"/>
              </w:rPr>
              <w:t>服务承诺</w:t>
            </w:r>
          </w:p>
          <w:p>
            <w:pPr>
              <w:keepNext/>
              <w:keepLines/>
              <w:spacing w:line="380" w:lineRule="exact"/>
              <w:jc w:val="center"/>
              <w:outlineLvl w:val="0"/>
              <w:rPr>
                <w:rFonts w:ascii="宋体" w:hAnsi="宋体" w:cs="宋体"/>
                <w:color w:val="auto"/>
                <w:kern w:val="44"/>
                <w:szCs w:val="21"/>
                <w:highlight w:val="none"/>
              </w:rPr>
            </w:pPr>
            <w:r>
              <w:rPr>
                <w:rFonts w:hint="eastAsia" w:ascii="宋体" w:hAnsi="宋体" w:cs="宋体"/>
                <w:b/>
                <w:bCs/>
                <w:color w:val="auto"/>
                <w:kern w:val="44"/>
                <w:szCs w:val="21"/>
                <w:highlight w:val="none"/>
              </w:rPr>
              <w:t>（</w:t>
            </w:r>
            <w:r>
              <w:rPr>
                <w:rFonts w:hint="eastAsia" w:ascii="宋体" w:hAnsi="宋体" w:cs="宋体"/>
                <w:b/>
                <w:bCs/>
                <w:color w:val="auto"/>
                <w:kern w:val="44"/>
                <w:szCs w:val="21"/>
                <w:highlight w:val="none"/>
                <w:lang w:val="en-US" w:eastAsia="zh-CN"/>
              </w:rPr>
              <w:t>8</w:t>
            </w:r>
            <w:r>
              <w:rPr>
                <w:rFonts w:hint="eastAsia" w:ascii="宋体" w:hAnsi="宋体" w:cs="宋体"/>
                <w:b/>
                <w:bCs/>
                <w:color w:val="auto"/>
                <w:kern w:val="44"/>
                <w:szCs w:val="21"/>
                <w:highlight w:val="none"/>
              </w:rPr>
              <w:t>分）</w:t>
            </w:r>
          </w:p>
        </w:tc>
        <w:tc>
          <w:tcPr>
            <w:tcW w:w="3978" w:type="pct"/>
            <w:noWrap/>
            <w:vAlign w:val="center"/>
          </w:tcPr>
          <w:p>
            <w:pPr>
              <w:widowControl/>
              <w:spacing w:line="3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考察供应商对本项目服务要求的具体承诺，</w:t>
            </w:r>
            <w:r>
              <w:rPr>
                <w:rFonts w:hint="eastAsia" w:ascii="宋体" w:hAnsi="宋体" w:cs="宋体"/>
                <w:color w:val="auto"/>
                <w:kern w:val="0"/>
                <w:szCs w:val="21"/>
                <w:highlight w:val="none"/>
                <w:lang w:eastAsia="zh-CN"/>
              </w:rPr>
              <w:t>包括</w:t>
            </w:r>
            <w:r>
              <w:rPr>
                <w:rFonts w:hint="eastAsia" w:ascii="宋体" w:hAnsi="宋体" w:cs="宋体"/>
                <w:color w:val="auto"/>
                <w:kern w:val="0"/>
                <w:szCs w:val="21"/>
                <w:highlight w:val="none"/>
              </w:rPr>
              <w:t>保证产品和数据质量、免费技术培训、 报纸保护、数据安全保护、知识产权保护、不转包不分包、生产过程接受采购人监督、售后服务</w:t>
            </w:r>
            <w:r>
              <w:rPr>
                <w:rFonts w:hint="eastAsia" w:ascii="宋体" w:hAnsi="宋体" w:cs="宋体"/>
                <w:color w:val="auto"/>
                <w:kern w:val="0"/>
                <w:szCs w:val="21"/>
                <w:highlight w:val="none"/>
                <w:lang w:eastAsia="zh-CN"/>
              </w:rPr>
              <w:t>承诺。</w:t>
            </w:r>
            <w:r>
              <w:rPr>
                <w:rFonts w:hint="eastAsia"/>
                <w:b/>
                <w:bCs/>
                <w:color w:val="auto"/>
                <w:highlight w:val="none"/>
                <w:lang w:eastAsia="zh-CN"/>
              </w:rPr>
              <w:t>（</w:t>
            </w:r>
            <w:r>
              <w:rPr>
                <w:rFonts w:hint="eastAsia"/>
                <w:b/>
                <w:bCs/>
                <w:color w:val="auto"/>
                <w:highlight w:val="none"/>
                <w:lang w:val="en-US" w:eastAsia="zh-CN"/>
              </w:rPr>
              <w:t>承诺书格式自拟，并加盖单位公章</w:t>
            </w:r>
            <w:r>
              <w:rPr>
                <w:rFonts w:hint="eastAsia"/>
                <w:b/>
                <w:bCs/>
                <w:color w:val="auto"/>
                <w:highlight w:val="none"/>
                <w:lang w:eastAsia="zh-CN"/>
              </w:rPr>
              <w:t>）</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针对以上各项内容，承诺清晰、描述完整完全满足采购需求得</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分，每有一方面存在不足扣1分，扣完为止。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63" w:type="pct"/>
            <w:vMerge w:val="restart"/>
            <w:noWrap/>
            <w:vAlign w:val="center"/>
          </w:tcPr>
          <w:p>
            <w:pPr>
              <w:widowControl/>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p>
            <w:pPr>
              <w:widowControl/>
              <w:spacing w:line="380" w:lineRule="exact"/>
              <w:ind w:firstLine="420" w:firstLineChars="200"/>
              <w:jc w:val="center"/>
              <w:rPr>
                <w:rFonts w:ascii="宋体" w:hAnsi="宋体" w:cs="宋体"/>
                <w:color w:val="auto"/>
                <w:kern w:val="0"/>
                <w:szCs w:val="21"/>
                <w:highlight w:val="none"/>
              </w:rPr>
            </w:pPr>
          </w:p>
        </w:tc>
        <w:tc>
          <w:tcPr>
            <w:tcW w:w="657" w:type="pct"/>
            <w:vMerge w:val="restart"/>
            <w:noWrap/>
            <w:vAlign w:val="center"/>
          </w:tcPr>
          <w:p>
            <w:pPr>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技术部分</w:t>
            </w:r>
          </w:p>
          <w:p>
            <w:pPr>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w:t>
            </w:r>
            <w:r>
              <w:rPr>
                <w:rFonts w:hint="eastAsia" w:ascii="宋体" w:hAnsi="宋体" w:cs="宋体"/>
                <w:b/>
                <w:bCs/>
                <w:color w:val="auto"/>
                <w:kern w:val="0"/>
                <w:szCs w:val="21"/>
                <w:highlight w:val="none"/>
                <w:lang w:val="en-US" w:eastAsia="zh-CN"/>
              </w:rPr>
              <w:t>42</w:t>
            </w:r>
            <w:r>
              <w:rPr>
                <w:rFonts w:hint="eastAsia" w:ascii="宋体" w:hAnsi="宋体" w:cs="宋体"/>
                <w:b/>
                <w:bCs/>
                <w:color w:val="auto"/>
                <w:szCs w:val="21"/>
                <w:highlight w:val="none"/>
              </w:rPr>
              <w:t>分）</w:t>
            </w:r>
          </w:p>
          <w:p>
            <w:pPr>
              <w:keepNext/>
              <w:keepLines/>
              <w:spacing w:line="380" w:lineRule="exact"/>
              <w:ind w:firstLine="420" w:firstLineChars="200"/>
              <w:jc w:val="center"/>
              <w:outlineLvl w:val="0"/>
              <w:rPr>
                <w:rFonts w:ascii="宋体" w:hAnsi="宋体" w:cs="宋体"/>
                <w:color w:val="auto"/>
                <w:kern w:val="44"/>
                <w:szCs w:val="21"/>
                <w:highlight w:val="none"/>
              </w:rPr>
            </w:pPr>
          </w:p>
        </w:tc>
        <w:tc>
          <w:tcPr>
            <w:tcW w:w="3978" w:type="pct"/>
            <w:noWrap/>
            <w:vAlign w:val="center"/>
          </w:tcPr>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1、技术</w:t>
            </w:r>
            <w:r>
              <w:rPr>
                <w:rFonts w:hint="eastAsia"/>
                <w:color w:val="auto"/>
                <w:highlight w:val="none"/>
                <w:lang w:val="en-US" w:eastAsia="zh-CN"/>
              </w:rPr>
              <w:t>响应</w:t>
            </w:r>
            <w:r>
              <w:rPr>
                <w:rFonts w:hint="eastAsia" w:ascii="宋体" w:hAnsi="宋体" w:cs="宋体"/>
                <w:color w:val="auto"/>
                <w:kern w:val="0"/>
                <w:szCs w:val="21"/>
                <w:highlight w:val="none"/>
              </w:rPr>
              <w:t>方案整体评价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根据供应商针对本项目所提供的整体技术方案，评价对项目需求的理解和响应程度，整体方案内容全面程度、科学合理程度、专业性和可行性程度，对项目内容的运作目标、内容及范围的描述是否清晰，是否针对项目的重点和难点提出了先进、合理的建议。</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方案内容阐述详细完整、科学合理，专业性和可行性强，重难点理解清晰，得</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方案内容基本阐述完整、较科学合理，专业性和可行性较强，重难点理解较清晰，得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方案内容阐述简短、内容不够科学合理，专业性和可行性一般，重难点理解不够清晰，得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未提供方案或方案不合理的不得分。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363" w:type="pct"/>
            <w:vMerge w:val="continue"/>
            <w:noWrap/>
            <w:vAlign w:val="center"/>
          </w:tcPr>
          <w:p>
            <w:pPr>
              <w:widowControl/>
              <w:spacing w:line="380" w:lineRule="exact"/>
              <w:ind w:firstLine="420" w:firstLineChars="200"/>
              <w:jc w:val="center"/>
              <w:rPr>
                <w:rFonts w:ascii="宋体" w:hAnsi="宋体" w:cs="宋体"/>
                <w:color w:val="auto"/>
                <w:kern w:val="0"/>
                <w:szCs w:val="21"/>
                <w:highlight w:val="none"/>
              </w:rPr>
            </w:pPr>
          </w:p>
        </w:tc>
        <w:tc>
          <w:tcPr>
            <w:tcW w:w="657" w:type="pct"/>
            <w:vMerge w:val="continue"/>
            <w:noWrap/>
            <w:vAlign w:val="center"/>
          </w:tcPr>
          <w:p>
            <w:pPr>
              <w:keepNext/>
              <w:keepLines/>
              <w:spacing w:line="380" w:lineRule="exact"/>
              <w:ind w:firstLine="420" w:firstLineChars="200"/>
              <w:jc w:val="center"/>
              <w:outlineLvl w:val="0"/>
              <w:rPr>
                <w:rFonts w:ascii="宋体" w:hAnsi="宋体" w:cs="宋体"/>
                <w:color w:val="auto"/>
                <w:kern w:val="44"/>
                <w:szCs w:val="21"/>
                <w:highlight w:val="none"/>
              </w:rPr>
            </w:pPr>
          </w:p>
        </w:tc>
        <w:tc>
          <w:tcPr>
            <w:tcW w:w="3978" w:type="pct"/>
            <w:noWrap/>
          </w:tcPr>
          <w:p>
            <w:pPr>
              <w:widowControl/>
              <w:numPr>
                <w:ilvl w:val="0"/>
                <w:numId w:val="23"/>
              </w:num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历史报纸数字化生产技术响应</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19分</w:t>
            </w:r>
            <w:r>
              <w:rPr>
                <w:rFonts w:hint="eastAsia" w:ascii="宋体" w:hAnsi="宋体" w:cs="宋体"/>
                <w:color w:val="auto"/>
                <w:kern w:val="0"/>
                <w:szCs w:val="21"/>
                <w:highlight w:val="none"/>
                <w:lang w:eastAsia="zh-CN"/>
              </w:rPr>
              <w:t>）</w:t>
            </w:r>
          </w:p>
          <w:p>
            <w:pPr>
              <w:widowControl/>
              <w:numPr>
                <w:ilvl w:val="0"/>
                <w:numId w:val="24"/>
              </w:num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技术性能指标响应程度</w:t>
            </w:r>
            <w:r>
              <w:rPr>
                <w:rFonts w:hint="eastAsia"/>
                <w:color w:val="auto"/>
                <w:highlight w:val="none"/>
                <w:lang w:eastAsia="zh-CN"/>
              </w:rPr>
              <w:t>（</w:t>
            </w:r>
            <w:r>
              <w:rPr>
                <w:rFonts w:hint="eastAsia"/>
                <w:color w:val="auto"/>
                <w:highlight w:val="none"/>
                <w:lang w:val="en-US" w:eastAsia="zh-CN"/>
              </w:rPr>
              <w:t>9分</w:t>
            </w:r>
            <w:r>
              <w:rPr>
                <w:rFonts w:hint="eastAsia"/>
                <w:color w:val="auto"/>
                <w:highlight w:val="none"/>
                <w:lang w:eastAsia="zh-CN"/>
              </w:rPr>
              <w:t>）</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针对采购文件“第三部分 项目需求”中“技术指标序号1-</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”的响应情况进行评价打分。</w:t>
            </w:r>
          </w:p>
          <w:p>
            <w:pPr>
              <w:widowControl/>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以</w:t>
            </w:r>
            <w:r>
              <w:rPr>
                <w:rFonts w:hint="eastAsia" w:ascii="宋体" w:hAnsi="宋体" w:cs="宋体"/>
                <w:color w:val="auto"/>
                <w:kern w:val="0"/>
                <w:szCs w:val="21"/>
                <w:highlight w:val="none"/>
              </w:rPr>
              <w:t>技术部分正负偏离表</w:t>
            </w:r>
            <w:r>
              <w:rPr>
                <w:rFonts w:hint="eastAsia" w:ascii="宋体" w:hAnsi="宋体" w:cs="宋体"/>
                <w:color w:val="auto"/>
                <w:kern w:val="0"/>
                <w:szCs w:val="21"/>
                <w:highlight w:val="none"/>
                <w:lang w:val="en-US" w:eastAsia="zh-CN"/>
              </w:rPr>
              <w:t>为准进行评审。</w:t>
            </w:r>
            <w:r>
              <w:rPr>
                <w:rFonts w:hint="eastAsia" w:ascii="宋体" w:hAnsi="宋体" w:cs="宋体"/>
                <w:color w:val="auto"/>
                <w:kern w:val="0"/>
                <w:szCs w:val="21"/>
                <w:highlight w:val="none"/>
              </w:rPr>
              <w:t>全部响应满足技术指标项要求的得满分</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分，每存在1个技术指标项只是部分满足扣1分，扣完为止。</w:t>
            </w:r>
          </w:p>
          <w:p>
            <w:pPr>
              <w:widowControl/>
              <w:numPr>
                <w:ilvl w:val="0"/>
                <w:numId w:val="24"/>
              </w:num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对数字化关键技术和工艺评价</w:t>
            </w:r>
            <w:r>
              <w:rPr>
                <w:rFonts w:hint="eastAsia"/>
                <w:color w:val="auto"/>
                <w:highlight w:val="none"/>
                <w:lang w:eastAsia="zh-CN"/>
              </w:rPr>
              <w:t>（</w:t>
            </w:r>
            <w:r>
              <w:rPr>
                <w:rFonts w:hint="eastAsia"/>
                <w:color w:val="auto"/>
                <w:highlight w:val="none"/>
                <w:lang w:val="en-US" w:eastAsia="zh-CN"/>
              </w:rPr>
              <w:t>5分</w:t>
            </w:r>
            <w:r>
              <w:rPr>
                <w:rFonts w:hint="eastAsia"/>
                <w:color w:val="auto"/>
                <w:highlight w:val="none"/>
                <w:lang w:eastAsia="zh-CN"/>
              </w:rPr>
              <w:t>）</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结合采购文件对历史报纸数字化的质量规范和要求，对供应商的报纸数字化工艺流程和扫描与图像处理、文字校对、版面制作重构PDF和双层PDF、标引分类各重点工序的关键技术进行评价。</w:t>
            </w:r>
          </w:p>
          <w:p>
            <w:pPr>
              <w:widowControl/>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流程科学合理、各工序专业性和可行性强、技术规范度高，完全符合项目实施要求得5分；</w:t>
            </w:r>
          </w:p>
          <w:p>
            <w:pPr>
              <w:widowControl/>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流程较科学合理、各工序专业性和可行性较强、技术规范度较高，较符合项目实施要求得3分；</w:t>
            </w:r>
          </w:p>
          <w:p>
            <w:pPr>
              <w:widowControl/>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流程描述较全面、各工序专业性和可行性尚可、技术较规范，基本符合项目实施要求得1分；</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未提供详细说明不得分。</w:t>
            </w:r>
          </w:p>
          <w:p>
            <w:pPr>
              <w:widowControl/>
              <w:numPr>
                <w:ilvl w:val="0"/>
                <w:numId w:val="24"/>
              </w:num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数字化质量控制和风险控制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5分</w:t>
            </w:r>
            <w:r>
              <w:rPr>
                <w:rFonts w:hint="eastAsia" w:ascii="宋体" w:hAnsi="宋体" w:cs="宋体"/>
                <w:color w:val="auto"/>
                <w:kern w:val="0"/>
                <w:szCs w:val="21"/>
                <w:highlight w:val="none"/>
                <w:lang w:eastAsia="zh-CN"/>
              </w:rPr>
              <w:t>）</w:t>
            </w:r>
          </w:p>
          <w:p>
            <w:pPr>
              <w:widowControl/>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评价质量保证体系是否完整，质量控制技术手段和管理措施是否有效，以确保加工数据的准确率。评价数字化加工风险控制情况。</w:t>
            </w:r>
          </w:p>
          <w:p>
            <w:pPr>
              <w:widowControl/>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质量控制方案详细，质量控制方法可操作性强，可有效保证项目质量，得</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p>
            <w:pPr>
              <w:widowControl/>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质量控制方案较详细，质量控制方法可操作性基本可行但具有操作难度，基本可保证项目质量，得3分；</w:t>
            </w:r>
          </w:p>
          <w:p>
            <w:pPr>
              <w:widowControl/>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质量控制方案欠详细，质量控制方法存在较多漏洞，不能有效控制项目执行中的作弊行为，项目质量保障能力一般，得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p>
          <w:p>
            <w:pPr>
              <w:widowControl/>
              <w:spacing w:line="380" w:lineRule="exact"/>
              <w:ind w:left="420" w:leftChars="200"/>
              <w:rPr>
                <w:rFonts w:ascii="宋体" w:hAnsi="宋体" w:cs="宋体"/>
                <w:color w:val="auto"/>
                <w:kern w:val="0"/>
                <w:szCs w:val="21"/>
                <w:highlight w:val="none"/>
              </w:rPr>
            </w:pPr>
            <w:r>
              <w:rPr>
                <w:rFonts w:hint="eastAsia" w:ascii="宋体" w:hAnsi="宋体" w:cs="宋体"/>
                <w:color w:val="auto"/>
                <w:kern w:val="0"/>
                <w:szCs w:val="21"/>
                <w:highlight w:val="none"/>
              </w:rPr>
              <w:t>未提供详细说明不得分。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63" w:type="pct"/>
            <w:vMerge w:val="continue"/>
            <w:noWrap/>
            <w:vAlign w:val="center"/>
          </w:tcPr>
          <w:p>
            <w:pPr>
              <w:widowControl/>
              <w:spacing w:line="380" w:lineRule="exact"/>
              <w:ind w:firstLine="420" w:firstLineChars="200"/>
              <w:jc w:val="center"/>
              <w:rPr>
                <w:rFonts w:ascii="宋体" w:hAnsi="宋体" w:cs="宋体"/>
                <w:color w:val="auto"/>
                <w:kern w:val="0"/>
                <w:szCs w:val="21"/>
                <w:highlight w:val="none"/>
              </w:rPr>
            </w:pPr>
          </w:p>
        </w:tc>
        <w:tc>
          <w:tcPr>
            <w:tcW w:w="657" w:type="pct"/>
            <w:vMerge w:val="continue"/>
            <w:noWrap/>
            <w:vAlign w:val="center"/>
          </w:tcPr>
          <w:p>
            <w:pPr>
              <w:keepNext/>
              <w:keepLines/>
              <w:spacing w:line="380" w:lineRule="exact"/>
              <w:ind w:firstLine="420" w:firstLineChars="200"/>
              <w:jc w:val="center"/>
              <w:outlineLvl w:val="0"/>
              <w:rPr>
                <w:rFonts w:ascii="宋体" w:hAnsi="宋体" w:cs="宋体"/>
                <w:color w:val="auto"/>
                <w:kern w:val="44"/>
                <w:szCs w:val="21"/>
                <w:highlight w:val="none"/>
              </w:rPr>
            </w:pPr>
          </w:p>
        </w:tc>
        <w:tc>
          <w:tcPr>
            <w:tcW w:w="3978" w:type="pct"/>
            <w:noWrap/>
          </w:tcPr>
          <w:p>
            <w:pPr>
              <w:widowControl/>
              <w:spacing w:line="3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、项目实施方案评价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7分</w:t>
            </w:r>
            <w:r>
              <w:rPr>
                <w:rFonts w:hint="eastAsia" w:ascii="宋体" w:hAnsi="宋体" w:cs="宋体"/>
                <w:color w:val="auto"/>
                <w:kern w:val="0"/>
                <w:szCs w:val="21"/>
                <w:highlight w:val="none"/>
                <w:lang w:eastAsia="zh-CN"/>
              </w:rPr>
              <w:t>）</w:t>
            </w:r>
          </w:p>
          <w:p>
            <w:pPr>
              <w:widowControl/>
              <w:spacing w:line="3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（1）项目工程进度计划及保证措施</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2分</w:t>
            </w:r>
            <w:r>
              <w:rPr>
                <w:rFonts w:hint="eastAsia" w:ascii="宋体" w:hAnsi="宋体" w:cs="宋体"/>
                <w:color w:val="auto"/>
                <w:kern w:val="0"/>
                <w:szCs w:val="21"/>
                <w:highlight w:val="none"/>
                <w:lang w:eastAsia="zh-CN"/>
              </w:rPr>
              <w:t>）</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评价供应商的工期进度计划及保障措施的合理性和可实施性。</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项目进度计划安排合理，阶段分明，保障措施完善，满足项目需求，得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项目进度计划安排较合理，阶段较分明，保障措施较完善，基本满足项目需求，得1分；</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未提供相关说明不得分。</w:t>
            </w:r>
          </w:p>
          <w:p>
            <w:pPr>
              <w:widowControl/>
              <w:spacing w:line="380" w:lineRule="exact"/>
              <w:ind w:left="420" w:left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（2）项目组织与管理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3分</w:t>
            </w:r>
            <w:r>
              <w:rPr>
                <w:rFonts w:hint="eastAsia" w:ascii="宋体" w:hAnsi="宋体" w:cs="宋体"/>
                <w:color w:val="auto"/>
                <w:kern w:val="0"/>
                <w:szCs w:val="21"/>
                <w:highlight w:val="none"/>
                <w:lang w:eastAsia="zh-CN"/>
              </w:rPr>
              <w:t>）</w:t>
            </w:r>
          </w:p>
          <w:p>
            <w:pPr>
              <w:widowControl/>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评价供应商的项目管理机构设置，项目管理和技术人员配备，是否分工与职责明确，项目负责人是否具备良好的专业技术水平和相关项目管理经验。（提供项目负责人和项目组成员名单、简历、职责、资历资质证书），在</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本单位社保参保证明等复印件并加盖</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公章。</w:t>
            </w:r>
          </w:p>
          <w:p>
            <w:pPr>
              <w:widowControl/>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项目机构设置结构合理，参与项目的人员充分、专业和技术背景良好，分工明确，团队人员具有项目要求的资质、能力和经验，得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p>
          <w:p>
            <w:pPr>
              <w:widowControl/>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项目机构设置结构较合理，参与项目的人员较充分、专业和技术背景较良好，分工较明确，团队人员基本具有项目要求的资质、能力和经验，得1分。</w:t>
            </w:r>
          </w:p>
          <w:p>
            <w:pPr>
              <w:widowControl/>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未提供相关说明不得分。</w:t>
            </w:r>
          </w:p>
          <w:p>
            <w:pPr>
              <w:widowControl/>
              <w:spacing w:line="380" w:lineRule="exact"/>
              <w:ind w:left="420" w:left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（3）项目验收方案</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2分</w:t>
            </w:r>
            <w:r>
              <w:rPr>
                <w:rFonts w:hint="eastAsia" w:ascii="宋体" w:hAnsi="宋体" w:cs="宋体"/>
                <w:color w:val="auto"/>
                <w:kern w:val="0"/>
                <w:szCs w:val="21"/>
                <w:highlight w:val="none"/>
                <w:lang w:eastAsia="zh-CN"/>
              </w:rPr>
              <w:t>）</w:t>
            </w:r>
          </w:p>
          <w:p>
            <w:pPr>
              <w:widowControl/>
              <w:spacing w:line="380" w:lineRule="exact"/>
              <w:ind w:left="420" w:leftChars="200"/>
              <w:rPr>
                <w:rFonts w:ascii="宋体" w:hAnsi="宋体" w:cs="宋体"/>
                <w:color w:val="auto"/>
                <w:kern w:val="0"/>
                <w:szCs w:val="21"/>
                <w:highlight w:val="none"/>
              </w:rPr>
            </w:pPr>
            <w:r>
              <w:rPr>
                <w:rFonts w:hint="eastAsia" w:ascii="宋体" w:hAnsi="宋体" w:cs="宋体"/>
                <w:color w:val="auto"/>
                <w:kern w:val="0"/>
                <w:szCs w:val="21"/>
                <w:highlight w:val="none"/>
              </w:rPr>
              <w:t>评价供应商的项目验收方案是否具备有效性和可实施性</w:t>
            </w:r>
          </w:p>
          <w:p>
            <w:pPr>
              <w:widowControl/>
              <w:spacing w:line="380" w:lineRule="exact"/>
              <w:ind w:left="420" w:leftChars="200"/>
              <w:rPr>
                <w:rFonts w:ascii="宋体" w:hAnsi="宋体" w:cs="宋体"/>
                <w:color w:val="auto"/>
                <w:kern w:val="0"/>
                <w:szCs w:val="21"/>
                <w:highlight w:val="none"/>
              </w:rPr>
            </w:pPr>
            <w:r>
              <w:rPr>
                <w:rFonts w:hint="eastAsia" w:ascii="宋体" w:hAnsi="宋体" w:cs="宋体"/>
                <w:color w:val="auto"/>
                <w:kern w:val="0"/>
                <w:szCs w:val="21"/>
                <w:highlight w:val="none"/>
              </w:rPr>
              <w:t>全面细化，可实施性强</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p>
            <w:pPr>
              <w:widowControl/>
              <w:spacing w:line="380" w:lineRule="exact"/>
              <w:ind w:left="420" w:leftChars="200"/>
              <w:rPr>
                <w:rFonts w:ascii="宋体" w:hAnsi="宋体" w:cs="宋体"/>
                <w:color w:val="auto"/>
                <w:kern w:val="0"/>
                <w:szCs w:val="21"/>
                <w:highlight w:val="none"/>
              </w:rPr>
            </w:pPr>
            <w:r>
              <w:rPr>
                <w:rFonts w:hint="eastAsia" w:ascii="宋体" w:hAnsi="宋体" w:cs="宋体"/>
                <w:color w:val="auto"/>
                <w:kern w:val="0"/>
                <w:szCs w:val="21"/>
                <w:highlight w:val="none"/>
              </w:rPr>
              <w:t>较全面细化，可实施性一般1分；</w:t>
            </w:r>
          </w:p>
          <w:p>
            <w:pPr>
              <w:widowControl/>
              <w:spacing w:line="380" w:lineRule="exact"/>
              <w:ind w:left="420" w:leftChars="200"/>
              <w:rPr>
                <w:rFonts w:ascii="宋体" w:hAnsi="宋体" w:cs="宋体"/>
                <w:color w:val="auto"/>
                <w:kern w:val="0"/>
                <w:szCs w:val="21"/>
                <w:highlight w:val="none"/>
              </w:rPr>
            </w:pPr>
            <w:r>
              <w:rPr>
                <w:rFonts w:hint="eastAsia" w:ascii="宋体" w:hAnsi="宋体" w:cs="宋体"/>
                <w:color w:val="auto"/>
                <w:kern w:val="0"/>
                <w:szCs w:val="21"/>
                <w:highlight w:val="none"/>
              </w:rPr>
              <w:t>未提供相关说明不得分。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363" w:type="pct"/>
            <w:vMerge w:val="continue"/>
            <w:noWrap/>
            <w:vAlign w:val="center"/>
          </w:tcPr>
          <w:p>
            <w:pPr>
              <w:widowControl/>
              <w:spacing w:line="380" w:lineRule="exact"/>
              <w:ind w:firstLine="420" w:firstLineChars="200"/>
              <w:jc w:val="center"/>
              <w:rPr>
                <w:rFonts w:ascii="宋体" w:hAnsi="宋体" w:cs="宋体"/>
                <w:color w:val="auto"/>
                <w:kern w:val="0"/>
                <w:szCs w:val="21"/>
                <w:highlight w:val="none"/>
              </w:rPr>
            </w:pPr>
          </w:p>
        </w:tc>
        <w:tc>
          <w:tcPr>
            <w:tcW w:w="657" w:type="pct"/>
            <w:vMerge w:val="continue"/>
            <w:noWrap/>
            <w:vAlign w:val="center"/>
          </w:tcPr>
          <w:p>
            <w:pPr>
              <w:keepNext/>
              <w:keepLines/>
              <w:spacing w:line="380" w:lineRule="exact"/>
              <w:ind w:firstLine="420" w:firstLineChars="200"/>
              <w:jc w:val="center"/>
              <w:outlineLvl w:val="0"/>
              <w:rPr>
                <w:rFonts w:ascii="宋体" w:hAnsi="宋体" w:cs="宋体"/>
                <w:color w:val="auto"/>
                <w:kern w:val="44"/>
                <w:szCs w:val="21"/>
                <w:highlight w:val="none"/>
              </w:rPr>
            </w:pPr>
          </w:p>
        </w:tc>
        <w:tc>
          <w:tcPr>
            <w:tcW w:w="3978" w:type="pct"/>
            <w:noWrap/>
          </w:tcPr>
          <w:p>
            <w:pPr>
              <w:widowControl/>
              <w:spacing w:line="3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、样本</w:t>
            </w:r>
            <w:r>
              <w:rPr>
                <w:rFonts w:hint="eastAsia" w:ascii="宋体" w:hAnsi="宋体" w:cs="宋体"/>
                <w:color w:val="auto"/>
                <w:kern w:val="0"/>
                <w:szCs w:val="21"/>
                <w:highlight w:val="none"/>
                <w:lang w:eastAsia="zh-CN"/>
              </w:rPr>
              <w:t>数据库和样本数据库功能演示视频（</w:t>
            </w:r>
            <w:r>
              <w:rPr>
                <w:rFonts w:hint="eastAsia" w:ascii="宋体" w:hAnsi="宋体" w:cs="宋体"/>
                <w:color w:val="auto"/>
                <w:kern w:val="0"/>
                <w:szCs w:val="21"/>
                <w:highlight w:val="none"/>
                <w:lang w:val="en-US" w:eastAsia="zh-CN"/>
              </w:rPr>
              <w:t>10分</w:t>
            </w:r>
            <w:r>
              <w:rPr>
                <w:rFonts w:hint="eastAsia" w:ascii="宋体" w:hAnsi="宋体" w:cs="宋体"/>
                <w:color w:val="auto"/>
                <w:kern w:val="0"/>
                <w:szCs w:val="21"/>
                <w:highlight w:val="none"/>
                <w:lang w:eastAsia="zh-CN"/>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U盘提交</w:t>
            </w:r>
            <w:r>
              <w:rPr>
                <w:rFonts w:hint="eastAsia" w:ascii="宋体" w:hAnsi="宋体" w:cs="宋体"/>
                <w:b/>
                <w:bCs/>
                <w:color w:val="auto"/>
                <w:kern w:val="0"/>
                <w:szCs w:val="21"/>
                <w:highlight w:val="none"/>
                <w:lang w:eastAsia="zh-CN"/>
              </w:rPr>
              <w:t>）</w:t>
            </w:r>
          </w:p>
          <w:p>
            <w:pPr>
              <w:widowControl/>
              <w:spacing w:line="38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eastAsia="zh-CN"/>
              </w:rPr>
              <w:t>提交包括</w:t>
            </w:r>
            <w:r>
              <w:rPr>
                <w:rFonts w:hint="eastAsia" w:ascii="宋体" w:hAnsi="宋体" w:cs="宋体"/>
                <w:color w:val="auto"/>
                <w:kern w:val="0"/>
                <w:szCs w:val="21"/>
                <w:highlight w:val="none"/>
                <w:lang w:val="en-US" w:eastAsia="zh-CN"/>
              </w:rPr>
              <w:t>12个版的样本数据库，能独立运行，满足得4分，不满足不得分；未提交不得分。</w:t>
            </w:r>
          </w:p>
          <w:p>
            <w:pPr>
              <w:widowControl/>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）评价提交的演示视频中样本数据库</w:t>
            </w:r>
            <w:r>
              <w:rPr>
                <w:rFonts w:hint="eastAsia" w:ascii="宋体" w:hAnsi="宋体" w:cs="宋体"/>
                <w:color w:val="auto"/>
                <w:kern w:val="0"/>
                <w:szCs w:val="21"/>
                <w:highlight w:val="none"/>
                <w:lang w:eastAsia="zh-CN"/>
              </w:rPr>
              <w:t>功能</w:t>
            </w:r>
          </w:p>
          <w:p>
            <w:pPr>
              <w:widowControl/>
              <w:spacing w:line="3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要求</w:t>
            </w:r>
            <w:r>
              <w:rPr>
                <w:rFonts w:hint="eastAsia" w:ascii="宋体" w:hAnsi="宋体" w:cs="宋体"/>
                <w:color w:val="auto"/>
                <w:kern w:val="0"/>
                <w:szCs w:val="21"/>
                <w:highlight w:val="none"/>
              </w:rPr>
              <w:t>数据库</w:t>
            </w:r>
            <w:r>
              <w:rPr>
                <w:rFonts w:hint="eastAsia" w:ascii="宋体" w:hAnsi="宋体" w:cs="宋体"/>
                <w:color w:val="auto"/>
                <w:kern w:val="0"/>
                <w:szCs w:val="21"/>
                <w:highlight w:val="none"/>
                <w:lang w:val="en-US" w:eastAsia="zh-CN"/>
              </w:rPr>
              <w:t>①</w:t>
            </w:r>
            <w:r>
              <w:rPr>
                <w:rFonts w:hint="eastAsia" w:ascii="宋体" w:hAnsi="宋体" w:cs="宋体"/>
                <w:color w:val="auto"/>
                <w:kern w:val="0"/>
                <w:szCs w:val="21"/>
                <w:highlight w:val="none"/>
              </w:rPr>
              <w:t>建有版面子库、文章子库、图片子库和专题库；</w:t>
            </w:r>
            <w:r>
              <w:rPr>
                <w:rFonts w:hint="eastAsia" w:ascii="宋体" w:hAnsi="宋体" w:cs="宋体"/>
                <w:color w:val="auto"/>
                <w:kern w:val="0"/>
                <w:szCs w:val="21"/>
                <w:highlight w:val="none"/>
                <w:lang w:val="en-US" w:eastAsia="zh-CN"/>
              </w:rPr>
              <w:t>②</w:t>
            </w:r>
            <w:r>
              <w:rPr>
                <w:rFonts w:hint="eastAsia" w:ascii="宋体" w:hAnsi="宋体" w:cs="宋体"/>
                <w:color w:val="auto"/>
                <w:kern w:val="0"/>
                <w:szCs w:val="21"/>
                <w:highlight w:val="none"/>
              </w:rPr>
              <w:t>文章和图片的热区定位准确；</w:t>
            </w:r>
            <w:r>
              <w:rPr>
                <w:rFonts w:hint="eastAsia" w:ascii="宋体" w:hAnsi="宋体" w:cs="宋体"/>
                <w:color w:val="auto"/>
                <w:kern w:val="0"/>
                <w:szCs w:val="21"/>
                <w:highlight w:val="none"/>
                <w:lang w:val="en-US" w:eastAsia="zh-CN"/>
              </w:rPr>
              <w:t>③</w:t>
            </w:r>
            <w:r>
              <w:rPr>
                <w:rFonts w:hint="eastAsia" w:ascii="宋体" w:hAnsi="宋体" w:cs="宋体"/>
                <w:color w:val="auto"/>
                <w:kern w:val="0"/>
                <w:szCs w:val="21"/>
                <w:highlight w:val="none"/>
              </w:rPr>
              <w:t>具有全方位、多条件检索功能，具有全文检索、渐进检索、高级检索和跨库检索功能；</w:t>
            </w:r>
            <w:r>
              <w:rPr>
                <w:rFonts w:hint="eastAsia" w:ascii="宋体" w:hAnsi="宋体" w:cs="宋体"/>
                <w:color w:val="auto"/>
                <w:kern w:val="0"/>
                <w:szCs w:val="21"/>
                <w:highlight w:val="none"/>
                <w:lang w:val="en-US" w:eastAsia="zh-CN"/>
              </w:rPr>
              <w:t>④</w:t>
            </w:r>
            <w:r>
              <w:rPr>
                <w:rFonts w:hint="eastAsia" w:ascii="宋体" w:hAnsi="宋体" w:cs="宋体"/>
                <w:color w:val="auto"/>
                <w:kern w:val="0"/>
                <w:szCs w:val="21"/>
                <w:highlight w:val="none"/>
              </w:rPr>
              <w:t>检索速度达到秒级响应，检索关键词能在文本和PDF版面上进行反显；</w:t>
            </w:r>
            <w:r>
              <w:rPr>
                <w:rFonts w:hint="eastAsia" w:ascii="宋体" w:hAnsi="宋体" w:cs="宋体"/>
                <w:color w:val="auto"/>
                <w:kern w:val="0"/>
                <w:szCs w:val="21"/>
                <w:highlight w:val="none"/>
                <w:lang w:val="en-US" w:eastAsia="zh-CN"/>
              </w:rPr>
              <w:t>⑤</w:t>
            </w:r>
            <w:r>
              <w:rPr>
                <w:rFonts w:hint="eastAsia" w:ascii="宋体" w:hAnsi="宋体" w:cs="宋体"/>
                <w:color w:val="auto"/>
                <w:kern w:val="0"/>
                <w:szCs w:val="21"/>
                <w:highlight w:val="none"/>
              </w:rPr>
              <w:t>在版面缩略图中的文章区用色块显示；</w:t>
            </w:r>
            <w:r>
              <w:rPr>
                <w:rFonts w:hint="eastAsia" w:ascii="宋体" w:hAnsi="宋体" w:cs="宋体"/>
                <w:color w:val="auto"/>
                <w:kern w:val="0"/>
                <w:szCs w:val="21"/>
                <w:highlight w:val="none"/>
                <w:lang w:val="en-US" w:eastAsia="zh-CN"/>
              </w:rPr>
              <w:t>⑥</w:t>
            </w:r>
            <w:r>
              <w:rPr>
                <w:rFonts w:hint="eastAsia" w:ascii="宋体" w:hAnsi="宋体" w:cs="宋体"/>
                <w:color w:val="auto"/>
                <w:kern w:val="0"/>
                <w:szCs w:val="21"/>
                <w:highlight w:val="none"/>
              </w:rPr>
              <w:t>采用国家新闻信息分类标准完成了新闻文章分类。全部符合得</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分。每一项存在少量缺陷或不足扣0.5分，每一项功能没有扣1分，扣完为止。未提交不得分</w:t>
            </w:r>
            <w:r>
              <w:rPr>
                <w:rFonts w:hint="eastAsia" w:ascii="宋体" w:hAnsi="宋体" w:cs="宋体"/>
                <w:color w:val="auto"/>
                <w:kern w:val="0"/>
                <w:szCs w:val="21"/>
                <w:highlight w:val="none"/>
                <w:lang w:eastAsia="zh-CN"/>
              </w:rPr>
              <w:t>。</w:t>
            </w:r>
          </w:p>
          <w:p>
            <w:pPr>
              <w:widowControl/>
              <w:spacing w:line="380" w:lineRule="exact"/>
              <w:ind w:firstLine="422" w:firstLineChars="200"/>
              <w:rPr>
                <w:color w:val="auto"/>
                <w:highlight w:val="none"/>
              </w:rPr>
            </w:pPr>
            <w:r>
              <w:rPr>
                <w:rFonts w:hint="eastAsia" w:ascii="宋体" w:hAnsi="宋体" w:cs="宋体"/>
                <w:b/>
                <w:bCs/>
                <w:color w:val="auto"/>
                <w:kern w:val="0"/>
                <w:szCs w:val="21"/>
                <w:highlight w:val="none"/>
                <w:lang w:val="en-US" w:eastAsia="zh-CN"/>
              </w:rPr>
              <w:t>供应商</w:t>
            </w:r>
            <w:r>
              <w:rPr>
                <w:rFonts w:hint="eastAsia" w:ascii="宋体" w:hAnsi="宋体" w:cs="宋体"/>
                <w:b/>
                <w:bCs/>
                <w:color w:val="auto"/>
                <w:kern w:val="0"/>
                <w:szCs w:val="21"/>
                <w:highlight w:val="none"/>
                <w:lang w:eastAsia="zh-CN"/>
              </w:rPr>
              <w:t>须自带电脑、</w:t>
            </w:r>
            <w:r>
              <w:rPr>
                <w:rFonts w:hint="eastAsia" w:ascii="宋体" w:hAnsi="宋体" w:cs="宋体"/>
                <w:b/>
                <w:bCs/>
                <w:color w:val="auto"/>
                <w:kern w:val="0"/>
                <w:szCs w:val="21"/>
                <w:highlight w:val="none"/>
                <w:lang w:val="en-US" w:eastAsia="zh-CN"/>
              </w:rPr>
              <w:t>演示</w:t>
            </w:r>
            <w:r>
              <w:rPr>
                <w:rFonts w:hint="eastAsia" w:ascii="宋体" w:hAnsi="宋体" w:cs="宋体"/>
                <w:b/>
                <w:bCs/>
                <w:color w:val="auto"/>
                <w:kern w:val="0"/>
                <w:szCs w:val="21"/>
                <w:highlight w:val="none"/>
                <w:lang w:eastAsia="zh-CN"/>
              </w:rPr>
              <w:t>设备，</w:t>
            </w:r>
            <w:r>
              <w:rPr>
                <w:rFonts w:hint="eastAsia" w:ascii="宋体" w:hAnsi="宋体" w:cs="宋体"/>
                <w:b/>
                <w:bCs/>
                <w:color w:val="auto"/>
                <w:kern w:val="0"/>
                <w:szCs w:val="21"/>
                <w:highlight w:val="none"/>
                <w:lang w:val="en-US" w:eastAsia="zh-CN"/>
              </w:rPr>
              <w:t>委派1名讲解陈述员</w:t>
            </w:r>
            <w:r>
              <w:rPr>
                <w:rFonts w:hint="eastAsia" w:ascii="宋体" w:hAnsi="宋体" w:cs="宋体"/>
                <w:b/>
                <w:bCs/>
                <w:color w:val="auto"/>
                <w:kern w:val="0"/>
                <w:szCs w:val="21"/>
                <w:highlight w:val="none"/>
                <w:lang w:eastAsia="zh-CN"/>
              </w:rPr>
              <w:t>现场</w:t>
            </w:r>
            <w:r>
              <w:rPr>
                <w:rFonts w:hint="eastAsia" w:ascii="宋体" w:hAnsi="宋体" w:cs="宋体"/>
                <w:b/>
                <w:bCs/>
                <w:color w:val="auto"/>
                <w:kern w:val="0"/>
                <w:szCs w:val="21"/>
                <w:highlight w:val="none"/>
                <w:lang w:val="en-US" w:eastAsia="zh-CN"/>
              </w:rPr>
              <w:t>演示样本数据库运行情况、</w:t>
            </w:r>
            <w:r>
              <w:rPr>
                <w:rFonts w:hint="eastAsia" w:ascii="宋体" w:hAnsi="宋体" w:cs="宋体"/>
                <w:b/>
                <w:bCs/>
                <w:color w:val="auto"/>
                <w:kern w:val="0"/>
                <w:szCs w:val="21"/>
                <w:highlight w:val="none"/>
                <w:lang w:eastAsia="zh-CN"/>
              </w:rPr>
              <w:t>讲解陈述</w:t>
            </w:r>
            <w:r>
              <w:rPr>
                <w:rFonts w:hint="eastAsia" w:ascii="宋体" w:hAnsi="宋体" w:cs="宋体"/>
                <w:b/>
                <w:bCs/>
                <w:color w:val="auto"/>
                <w:kern w:val="0"/>
                <w:szCs w:val="21"/>
                <w:highlight w:val="none"/>
                <w:lang w:val="en-US" w:eastAsia="zh-CN"/>
              </w:rPr>
              <w:t>样本数据库演示视频内容</w:t>
            </w:r>
            <w:r>
              <w:rPr>
                <w:rFonts w:hint="eastAsia" w:ascii="宋体" w:hAnsi="宋体" w:cs="宋体"/>
                <w:b/>
                <w:bCs/>
                <w:color w:val="auto"/>
                <w:kern w:val="0"/>
                <w:szCs w:val="21"/>
                <w:highlight w:val="none"/>
                <w:lang w:eastAsia="zh-CN"/>
              </w:rPr>
              <w:t>，时间控制在</w:t>
            </w:r>
            <w:r>
              <w:rPr>
                <w:rFonts w:hint="eastAsia" w:ascii="宋体" w:hAnsi="宋体" w:cs="宋体"/>
                <w:b/>
                <w:bCs/>
                <w:color w:val="auto"/>
                <w:kern w:val="0"/>
                <w:szCs w:val="21"/>
                <w:highlight w:val="none"/>
                <w:lang w:val="en-US" w:eastAsia="zh-CN"/>
              </w:rPr>
              <w:t>20</w:t>
            </w:r>
            <w:r>
              <w:rPr>
                <w:rFonts w:hint="eastAsia" w:ascii="宋体" w:hAnsi="宋体" w:cs="宋体"/>
                <w:b/>
                <w:bCs/>
                <w:color w:val="auto"/>
                <w:kern w:val="0"/>
                <w:szCs w:val="21"/>
                <w:highlight w:val="none"/>
                <w:lang w:eastAsia="zh-CN"/>
              </w:rPr>
              <w:t>分钟内。</w:t>
            </w:r>
          </w:p>
        </w:tc>
      </w:tr>
    </w:tbl>
    <w:p>
      <w:pPr>
        <w:autoSpaceDE w:val="0"/>
        <w:autoSpaceDN w:val="0"/>
        <w:adjustRightInd w:val="0"/>
        <w:snapToGrid w:val="0"/>
        <w:spacing w:line="480" w:lineRule="exact"/>
        <w:ind w:firstLine="482"/>
        <w:rPr>
          <w:color w:val="auto"/>
          <w:sz w:val="24"/>
          <w:highlight w:val="none"/>
          <w:u w:val="single"/>
          <w:lang w:val="zh-CN"/>
        </w:rPr>
      </w:pPr>
      <w:r>
        <w:rPr>
          <w:rFonts w:hint="eastAsia"/>
          <w:b/>
          <w:color w:val="auto"/>
          <w:sz w:val="24"/>
          <w:highlight w:val="none"/>
        </w:rPr>
        <w:t>（</w:t>
      </w:r>
      <w:r>
        <w:rPr>
          <w:b/>
          <w:color w:val="auto"/>
          <w:sz w:val="24"/>
          <w:highlight w:val="none"/>
        </w:rPr>
        <w:t>二）价格分：</w:t>
      </w:r>
      <w:r>
        <w:rPr>
          <w:rFonts w:hint="eastAsia"/>
          <w:color w:val="auto"/>
          <w:sz w:val="24"/>
          <w:highlight w:val="none"/>
          <w:u w:val="single"/>
        </w:rPr>
        <w:t>30</w:t>
      </w:r>
      <w:r>
        <w:rPr>
          <w:color w:val="auto"/>
          <w:sz w:val="24"/>
          <w:highlight w:val="none"/>
          <w:u w:val="single"/>
          <w:lang w:val="zh-CN"/>
        </w:rPr>
        <w:t>分</w:t>
      </w:r>
    </w:p>
    <w:p>
      <w:pPr>
        <w:autoSpaceDE w:val="0"/>
        <w:autoSpaceDN w:val="0"/>
        <w:adjustRightInd w:val="0"/>
        <w:snapToGrid w:val="0"/>
        <w:spacing w:line="480" w:lineRule="exact"/>
        <w:ind w:firstLine="480"/>
        <w:rPr>
          <w:color w:val="auto"/>
          <w:sz w:val="24"/>
          <w:highlight w:val="none"/>
        </w:rPr>
      </w:pPr>
      <w:r>
        <w:rPr>
          <w:rFonts w:hint="eastAsia"/>
          <w:color w:val="auto"/>
          <w:sz w:val="24"/>
          <w:highlight w:val="none"/>
        </w:rPr>
        <w:t>本次项目总价</w:t>
      </w:r>
      <w:r>
        <w:rPr>
          <w:rFonts w:hint="eastAsia"/>
          <w:color w:val="auto"/>
          <w:sz w:val="24"/>
          <w:highlight w:val="none"/>
          <w:lang w:val="en-US" w:eastAsia="zh-CN"/>
        </w:rPr>
        <w:t>最高</w:t>
      </w:r>
      <w:r>
        <w:rPr>
          <w:rFonts w:hint="eastAsia"/>
          <w:color w:val="auto"/>
          <w:sz w:val="24"/>
          <w:highlight w:val="none"/>
        </w:rPr>
        <w:t>限价</w:t>
      </w:r>
      <w:r>
        <w:rPr>
          <w:rFonts w:hint="eastAsia"/>
          <w:color w:val="auto"/>
          <w:sz w:val="24"/>
          <w:highlight w:val="none"/>
          <w:u w:val="single"/>
        </w:rPr>
        <w:t xml:space="preserve"> 100万</w:t>
      </w:r>
      <w:r>
        <w:rPr>
          <w:rFonts w:hint="eastAsia"/>
          <w:color w:val="auto"/>
          <w:sz w:val="24"/>
          <w:highlight w:val="none"/>
        </w:rPr>
        <w:t>元。超过限价作无效响应处理。</w:t>
      </w:r>
    </w:p>
    <w:p>
      <w:pPr>
        <w:autoSpaceDE w:val="0"/>
        <w:autoSpaceDN w:val="0"/>
        <w:adjustRightInd w:val="0"/>
        <w:snapToGrid w:val="0"/>
        <w:spacing w:line="480" w:lineRule="exact"/>
        <w:ind w:firstLine="480"/>
        <w:rPr>
          <w:color w:val="auto"/>
          <w:sz w:val="24"/>
          <w:highlight w:val="none"/>
        </w:rPr>
      </w:pPr>
      <w:r>
        <w:rPr>
          <w:rFonts w:hint="eastAsia"/>
          <w:color w:val="auto"/>
          <w:sz w:val="24"/>
          <w:highlight w:val="none"/>
        </w:rPr>
        <w:t>以所有有效供应商的最后报价（总价，下同）的算术平均值作为磋商基准价，最后报价与磋商基准价相同的得满分30分，与磋商基准价相比，每高1%扣0.5分，每低1%扣0.3分，不足1%的采用插入法计算。</w:t>
      </w:r>
    </w:p>
    <w:p>
      <w:pPr>
        <w:autoSpaceDE w:val="0"/>
        <w:autoSpaceDN w:val="0"/>
        <w:adjustRightInd w:val="0"/>
        <w:snapToGrid w:val="0"/>
        <w:spacing w:line="480" w:lineRule="exact"/>
        <w:ind w:firstLine="480"/>
        <w:rPr>
          <w:color w:val="auto"/>
          <w:sz w:val="24"/>
          <w:highlight w:val="none"/>
        </w:rPr>
      </w:pPr>
      <w:r>
        <w:rPr>
          <w:color w:val="auto"/>
          <w:sz w:val="24"/>
          <w:highlight w:val="none"/>
        </w:rPr>
        <w:t>项目评审过程中，不得去掉最后报价中的最高报价和最低报价。分值</w:t>
      </w:r>
      <w:r>
        <w:rPr>
          <w:rFonts w:hint="eastAsia"/>
          <w:color w:val="auto"/>
          <w:sz w:val="24"/>
          <w:highlight w:val="none"/>
        </w:rPr>
        <w:t>第三位四舍五入后</w:t>
      </w:r>
      <w:r>
        <w:rPr>
          <w:color w:val="auto"/>
          <w:sz w:val="24"/>
          <w:highlight w:val="none"/>
        </w:rPr>
        <w:t>保留小数点</w:t>
      </w:r>
      <w:r>
        <w:rPr>
          <w:rFonts w:hint="eastAsia"/>
          <w:color w:val="auto"/>
          <w:sz w:val="24"/>
          <w:highlight w:val="none"/>
          <w:lang w:val="en-US" w:eastAsia="zh-CN"/>
        </w:rPr>
        <w:t>后</w:t>
      </w:r>
      <w:r>
        <w:rPr>
          <w:color w:val="auto"/>
          <w:sz w:val="24"/>
          <w:highlight w:val="none"/>
        </w:rPr>
        <w:t>两位</w:t>
      </w:r>
      <w:r>
        <w:rPr>
          <w:rFonts w:hint="eastAsia"/>
          <w:color w:val="auto"/>
          <w:sz w:val="24"/>
          <w:highlight w:val="none"/>
        </w:rPr>
        <w:t>。</w:t>
      </w:r>
      <w:r>
        <w:rPr>
          <w:rFonts w:hint="eastAsia"/>
          <w:b/>
          <w:bCs/>
          <w:color w:val="auto"/>
          <w:sz w:val="24"/>
          <w:highlight w:val="none"/>
        </w:rPr>
        <w:t>最终报价不得高于各自供应商首次报价，否则作无效响应处理。</w:t>
      </w:r>
    </w:p>
    <w:p>
      <w:pPr>
        <w:snapToGrid w:val="0"/>
        <w:spacing w:line="480" w:lineRule="exact"/>
        <w:ind w:firstLine="482"/>
        <w:rPr>
          <w:b/>
          <w:color w:val="auto"/>
          <w:sz w:val="24"/>
          <w:highlight w:val="none"/>
        </w:rPr>
      </w:pPr>
      <w:r>
        <w:rPr>
          <w:rFonts w:hint="eastAsia"/>
          <w:b/>
          <w:color w:val="auto"/>
          <w:sz w:val="24"/>
          <w:highlight w:val="none"/>
        </w:rPr>
        <w:t>六</w:t>
      </w:r>
      <w:r>
        <w:rPr>
          <w:b/>
          <w:color w:val="auto"/>
          <w:sz w:val="24"/>
          <w:highlight w:val="none"/>
        </w:rPr>
        <w:t>、变更为其他方式采购的情形</w:t>
      </w:r>
    </w:p>
    <w:p>
      <w:pPr>
        <w:autoSpaceDE w:val="0"/>
        <w:autoSpaceDN w:val="0"/>
        <w:adjustRightInd w:val="0"/>
        <w:snapToGrid w:val="0"/>
        <w:spacing w:line="480" w:lineRule="exact"/>
        <w:ind w:firstLine="480" w:firstLineChars="200"/>
        <w:rPr>
          <w:color w:val="auto"/>
          <w:sz w:val="24"/>
          <w:highlight w:val="none"/>
          <w:lang w:val="zh-CN"/>
        </w:rPr>
      </w:pPr>
      <w:r>
        <w:rPr>
          <w:color w:val="auto"/>
          <w:sz w:val="24"/>
          <w:highlight w:val="none"/>
        </w:rPr>
        <w:t>提交响应文件截止时间时参加磋商的供应商不足3家的，及磋商中出现符合专业条件的供应商或对磋商文件作实质响应的供应商不足3家（规定可以2家的情形除外），除采购任务取消外，磋商人报告</w:t>
      </w:r>
      <w:r>
        <w:rPr>
          <w:rFonts w:hint="eastAsia"/>
          <w:color w:val="auto"/>
          <w:sz w:val="24"/>
          <w:highlight w:val="none"/>
        </w:rPr>
        <w:t>上级</w:t>
      </w:r>
      <w:r>
        <w:rPr>
          <w:color w:val="auto"/>
          <w:sz w:val="24"/>
          <w:highlight w:val="none"/>
        </w:rPr>
        <w:t>部门，视情采取其他方式采购。</w:t>
      </w:r>
      <w:r>
        <w:rPr>
          <w:color w:val="auto"/>
          <w:sz w:val="24"/>
          <w:highlight w:val="none"/>
          <w:lang w:val="zh-CN"/>
        </w:rPr>
        <w:t>磋商文件中对供应商资质、技术等要求，将作为</w:t>
      </w:r>
      <w:r>
        <w:rPr>
          <w:color w:val="auto"/>
          <w:sz w:val="24"/>
          <w:highlight w:val="none"/>
        </w:rPr>
        <w:t>其他</w:t>
      </w:r>
      <w:r>
        <w:rPr>
          <w:color w:val="auto"/>
          <w:sz w:val="24"/>
          <w:highlight w:val="none"/>
          <w:lang w:val="zh-CN"/>
        </w:rPr>
        <w:t>方式采购的基本要求和依据。原已经参加磋商并符合要求的供应商，根据自愿原则，参加</w:t>
      </w:r>
      <w:r>
        <w:rPr>
          <w:color w:val="auto"/>
          <w:sz w:val="24"/>
          <w:highlight w:val="none"/>
        </w:rPr>
        <w:t>其他</w:t>
      </w:r>
      <w:r>
        <w:rPr>
          <w:color w:val="auto"/>
          <w:sz w:val="24"/>
          <w:highlight w:val="none"/>
          <w:lang w:val="zh-CN"/>
        </w:rPr>
        <w:t>方式采购。</w:t>
      </w:r>
    </w:p>
    <w:p>
      <w:pPr>
        <w:pStyle w:val="46"/>
        <w:snapToGrid w:val="0"/>
        <w:spacing w:line="480" w:lineRule="exact"/>
        <w:ind w:firstLine="496"/>
        <w:contextualSpacing/>
        <w:rPr>
          <w:rFonts w:ascii="Times New Roman" w:hAnsi="Times New Roman" w:eastAsia="宋体"/>
          <w:color w:val="auto"/>
          <w:sz w:val="24"/>
          <w:szCs w:val="24"/>
          <w:highlight w:val="none"/>
        </w:rPr>
      </w:pPr>
      <w:r>
        <w:rPr>
          <w:rFonts w:hint="eastAsia" w:ascii="Times New Roman" w:hAnsi="Times New Roman" w:eastAsia="宋体"/>
          <w:b/>
          <w:color w:val="auto"/>
          <w:sz w:val="24"/>
          <w:szCs w:val="24"/>
          <w:highlight w:val="none"/>
        </w:rPr>
        <w:t>七</w:t>
      </w:r>
      <w:r>
        <w:rPr>
          <w:rFonts w:ascii="Times New Roman" w:hAnsi="Times New Roman" w:eastAsia="宋体"/>
          <w:b/>
          <w:color w:val="auto"/>
          <w:sz w:val="24"/>
          <w:szCs w:val="24"/>
          <w:highlight w:val="none"/>
        </w:rPr>
        <w:t>、出现下列情形之一的，竞争性磋商采购活动终止，发布项目终止公告并说明原因，重新开展采购活动：</w:t>
      </w:r>
    </w:p>
    <w:p>
      <w:pPr>
        <w:pStyle w:val="46"/>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（一）因情况变化，不再符合规定的竞争性磋商采购方式适用情形的；</w:t>
      </w:r>
    </w:p>
    <w:p>
      <w:pPr>
        <w:pStyle w:val="46"/>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（二）出现影响采购公正的违法、违规行为的；</w:t>
      </w:r>
    </w:p>
    <w:p>
      <w:pPr>
        <w:pStyle w:val="46"/>
        <w:snapToGrid w:val="0"/>
        <w:spacing w:line="480" w:lineRule="exact"/>
        <w:ind w:firstLine="480" w:firstLineChars="200"/>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（三）在采购过程中符合要求的供应商或者报价未超过采购预算的供应商不足3家的（市场竞争不充分的科研项目，以及需要扶持的科技成果转化项目除外）。</w:t>
      </w:r>
    </w:p>
    <w:p>
      <w:pPr>
        <w:snapToGrid w:val="0"/>
        <w:spacing w:line="480" w:lineRule="exact"/>
        <w:ind w:firstLine="482"/>
        <w:rPr>
          <w:b/>
          <w:color w:val="auto"/>
          <w:kern w:val="0"/>
          <w:sz w:val="24"/>
          <w:highlight w:val="none"/>
        </w:rPr>
      </w:pPr>
      <w:r>
        <w:rPr>
          <w:rFonts w:hint="eastAsia"/>
          <w:b/>
          <w:color w:val="auto"/>
          <w:sz w:val="24"/>
          <w:highlight w:val="none"/>
          <w:lang w:val="zh-CN"/>
        </w:rPr>
        <w:t>八</w:t>
      </w:r>
      <w:r>
        <w:rPr>
          <w:b/>
          <w:color w:val="auto"/>
          <w:sz w:val="24"/>
          <w:highlight w:val="none"/>
          <w:lang w:val="zh-CN"/>
        </w:rPr>
        <w:t>、</w:t>
      </w:r>
      <w:r>
        <w:rPr>
          <w:rFonts w:hint="eastAsia"/>
          <w:b/>
          <w:color w:val="auto"/>
          <w:kern w:val="0"/>
          <w:sz w:val="24"/>
          <w:highlight w:val="none"/>
        </w:rPr>
        <w:t>成交</w:t>
      </w:r>
      <w:r>
        <w:rPr>
          <w:b/>
          <w:color w:val="auto"/>
          <w:kern w:val="0"/>
          <w:sz w:val="24"/>
          <w:highlight w:val="none"/>
        </w:rPr>
        <w:t>人的确定</w:t>
      </w:r>
    </w:p>
    <w:p>
      <w:pPr>
        <w:snapToGrid w:val="0"/>
        <w:spacing w:line="480" w:lineRule="exact"/>
        <w:ind w:firstLine="480"/>
        <w:rPr>
          <w:bCs/>
          <w:color w:val="auto"/>
          <w:sz w:val="24"/>
          <w:highlight w:val="none"/>
        </w:rPr>
      </w:pPr>
      <w:r>
        <w:rPr>
          <w:rFonts w:hint="eastAsia"/>
          <w:bCs/>
          <w:color w:val="auto"/>
          <w:sz w:val="24"/>
          <w:highlight w:val="none"/>
        </w:rPr>
        <w:t>磋商小组认为供应商</w:t>
      </w:r>
      <w:r>
        <w:rPr>
          <w:bCs/>
          <w:color w:val="auto"/>
          <w:sz w:val="24"/>
          <w:highlight w:val="none"/>
        </w:rPr>
        <w:t>的报价明显低于其他通过符合性审查</w:t>
      </w:r>
      <w:r>
        <w:rPr>
          <w:rFonts w:hint="eastAsia"/>
          <w:bCs/>
          <w:color w:val="auto"/>
          <w:sz w:val="24"/>
          <w:highlight w:val="none"/>
        </w:rPr>
        <w:t>供应商</w:t>
      </w:r>
      <w:r>
        <w:rPr>
          <w:bCs/>
          <w:color w:val="auto"/>
          <w:sz w:val="24"/>
          <w:highlight w:val="none"/>
        </w:rPr>
        <w:t>的报价，有可能影响产品质量或者不能诚信履约的，应当要求其在合理的时间内提供书面说明，必要时提交相关证明材料；</w:t>
      </w:r>
      <w:r>
        <w:rPr>
          <w:rFonts w:hint="eastAsia"/>
          <w:bCs/>
          <w:color w:val="auto"/>
          <w:sz w:val="24"/>
          <w:highlight w:val="none"/>
        </w:rPr>
        <w:t>供应商</w:t>
      </w:r>
      <w:r>
        <w:rPr>
          <w:bCs/>
          <w:color w:val="auto"/>
          <w:sz w:val="24"/>
          <w:highlight w:val="none"/>
        </w:rPr>
        <w:t>不能证明其报价合理性的，</w:t>
      </w:r>
      <w:r>
        <w:rPr>
          <w:rFonts w:hint="eastAsia"/>
          <w:bCs/>
          <w:color w:val="auto"/>
          <w:sz w:val="24"/>
          <w:highlight w:val="none"/>
        </w:rPr>
        <w:t>磋商小组</w:t>
      </w:r>
      <w:r>
        <w:rPr>
          <w:bCs/>
          <w:color w:val="auto"/>
          <w:sz w:val="24"/>
          <w:highlight w:val="none"/>
        </w:rPr>
        <w:t>应当将其作为无效</w:t>
      </w:r>
      <w:r>
        <w:rPr>
          <w:rFonts w:hint="eastAsia"/>
          <w:bCs/>
          <w:color w:val="auto"/>
          <w:sz w:val="24"/>
          <w:highlight w:val="none"/>
        </w:rPr>
        <w:t>响应</w:t>
      </w:r>
      <w:r>
        <w:rPr>
          <w:bCs/>
          <w:color w:val="auto"/>
          <w:sz w:val="24"/>
          <w:highlight w:val="none"/>
        </w:rPr>
        <w:t>处理。</w:t>
      </w:r>
    </w:p>
    <w:p>
      <w:pPr>
        <w:snapToGrid w:val="0"/>
        <w:spacing w:line="480" w:lineRule="exact"/>
        <w:ind w:firstLine="480"/>
        <w:rPr>
          <w:bCs/>
          <w:color w:val="auto"/>
          <w:sz w:val="24"/>
          <w:highlight w:val="none"/>
        </w:rPr>
      </w:pPr>
      <w:r>
        <w:rPr>
          <w:rFonts w:hint="eastAsia"/>
          <w:bCs/>
          <w:color w:val="auto"/>
          <w:sz w:val="24"/>
          <w:highlight w:val="none"/>
        </w:rPr>
        <w:t>磋商小组</w:t>
      </w:r>
      <w:r>
        <w:rPr>
          <w:bCs/>
          <w:color w:val="auto"/>
          <w:sz w:val="24"/>
          <w:highlight w:val="none"/>
        </w:rPr>
        <w:t>对</w:t>
      </w:r>
      <w:r>
        <w:rPr>
          <w:rFonts w:hint="eastAsia"/>
          <w:color w:val="auto"/>
          <w:sz w:val="24"/>
          <w:highlight w:val="none"/>
        </w:rPr>
        <w:t>成交</w:t>
      </w:r>
      <w:r>
        <w:rPr>
          <w:bCs/>
          <w:color w:val="auto"/>
          <w:sz w:val="24"/>
          <w:highlight w:val="none"/>
        </w:rPr>
        <w:t>候选人报价总表和明细表进行审核，应审核供应商</w:t>
      </w:r>
      <w:r>
        <w:rPr>
          <w:rFonts w:hint="eastAsia"/>
          <w:bCs/>
          <w:color w:val="auto"/>
          <w:sz w:val="24"/>
          <w:highlight w:val="none"/>
        </w:rPr>
        <w:t>响应</w:t>
      </w:r>
      <w:r>
        <w:rPr>
          <w:bCs/>
          <w:color w:val="auto"/>
          <w:sz w:val="24"/>
          <w:highlight w:val="none"/>
        </w:rPr>
        <w:t>报价是否前后一致、大小写金额是否一致、总价金额与单价汇总金额是否一致。对过高过低报价的并作为</w:t>
      </w:r>
      <w:r>
        <w:rPr>
          <w:rFonts w:hint="eastAsia"/>
          <w:color w:val="auto"/>
          <w:sz w:val="24"/>
          <w:highlight w:val="none"/>
        </w:rPr>
        <w:t>成交</w:t>
      </w:r>
      <w:r>
        <w:rPr>
          <w:bCs/>
          <w:color w:val="auto"/>
          <w:sz w:val="24"/>
          <w:highlight w:val="none"/>
        </w:rPr>
        <w:t>候选人的，应重点审核报价明细表</w:t>
      </w:r>
      <w:r>
        <w:rPr>
          <w:rFonts w:hint="eastAsia"/>
          <w:bCs/>
          <w:color w:val="auto"/>
          <w:sz w:val="24"/>
          <w:highlight w:val="none"/>
        </w:rPr>
        <w:t>是</w:t>
      </w:r>
      <w:r>
        <w:rPr>
          <w:bCs/>
          <w:color w:val="auto"/>
          <w:sz w:val="24"/>
          <w:highlight w:val="none"/>
        </w:rPr>
        <w:t>否</w:t>
      </w:r>
      <w:r>
        <w:rPr>
          <w:rFonts w:hint="eastAsia"/>
          <w:bCs/>
          <w:color w:val="auto"/>
          <w:sz w:val="24"/>
          <w:highlight w:val="none"/>
        </w:rPr>
        <w:t>有</w:t>
      </w:r>
      <w:r>
        <w:rPr>
          <w:bCs/>
          <w:color w:val="auto"/>
          <w:sz w:val="24"/>
          <w:highlight w:val="none"/>
        </w:rPr>
        <w:t>重大重复报价或漏项报价等情况，一经发现，现场请</w:t>
      </w:r>
      <w:r>
        <w:rPr>
          <w:rFonts w:hint="eastAsia"/>
          <w:color w:val="auto"/>
          <w:sz w:val="24"/>
          <w:highlight w:val="none"/>
        </w:rPr>
        <w:t>成交</w:t>
      </w:r>
      <w:r>
        <w:rPr>
          <w:bCs/>
          <w:color w:val="auto"/>
          <w:sz w:val="24"/>
          <w:highlight w:val="none"/>
        </w:rPr>
        <w:t>候选人予以澄清，明显过错或不能澄清的，经超半数以上评委认定，有权取消供应商</w:t>
      </w:r>
      <w:r>
        <w:rPr>
          <w:rFonts w:hint="eastAsia"/>
          <w:color w:val="auto"/>
          <w:sz w:val="24"/>
          <w:highlight w:val="none"/>
        </w:rPr>
        <w:t>成交</w:t>
      </w:r>
      <w:r>
        <w:rPr>
          <w:bCs/>
          <w:color w:val="auto"/>
          <w:sz w:val="24"/>
          <w:highlight w:val="none"/>
        </w:rPr>
        <w:t>候选人资格。</w:t>
      </w:r>
    </w:p>
    <w:p>
      <w:pPr>
        <w:adjustRightInd w:val="0"/>
        <w:snapToGrid w:val="0"/>
        <w:spacing w:line="500" w:lineRule="exact"/>
        <w:ind w:firstLine="480"/>
        <w:rPr>
          <w:color w:val="auto"/>
          <w:sz w:val="24"/>
          <w:highlight w:val="none"/>
        </w:rPr>
      </w:pPr>
      <w:r>
        <w:rPr>
          <w:rFonts w:hint="eastAsia"/>
          <w:bCs/>
          <w:color w:val="auto"/>
          <w:sz w:val="24"/>
          <w:highlight w:val="none"/>
        </w:rPr>
        <w:t>磋商小组</w:t>
      </w:r>
      <w:r>
        <w:rPr>
          <w:color w:val="auto"/>
          <w:sz w:val="24"/>
          <w:highlight w:val="none"/>
        </w:rPr>
        <w:t>会汇总各评委评分后，按照得分从高到低的顺序推荐三名</w:t>
      </w:r>
      <w:r>
        <w:rPr>
          <w:rFonts w:hint="eastAsia"/>
          <w:color w:val="auto"/>
          <w:sz w:val="24"/>
          <w:highlight w:val="none"/>
        </w:rPr>
        <w:t>成交</w:t>
      </w:r>
      <w:r>
        <w:rPr>
          <w:color w:val="auto"/>
          <w:sz w:val="24"/>
          <w:highlight w:val="none"/>
        </w:rPr>
        <w:t>候选人，并编写评标报告。</w:t>
      </w:r>
    </w:p>
    <w:p>
      <w:pPr>
        <w:autoSpaceDE w:val="0"/>
        <w:autoSpaceDN w:val="0"/>
        <w:adjustRightInd w:val="0"/>
        <w:snapToGrid w:val="0"/>
        <w:spacing w:line="480" w:lineRule="exact"/>
        <w:ind w:left="-178" w:right="210" w:firstLine="480"/>
        <w:rPr>
          <w:bCs/>
          <w:color w:val="auto"/>
          <w:sz w:val="24"/>
          <w:highlight w:val="none"/>
          <w:lang w:val="zh-CN"/>
        </w:rPr>
      </w:pPr>
      <w:r>
        <w:rPr>
          <w:bCs/>
          <w:color w:val="auto"/>
          <w:sz w:val="24"/>
          <w:highlight w:val="none"/>
        </w:rPr>
        <w:t>采购人在评标报告确定的</w:t>
      </w:r>
      <w:r>
        <w:rPr>
          <w:rFonts w:hint="eastAsia"/>
          <w:bCs/>
          <w:color w:val="auto"/>
          <w:sz w:val="24"/>
          <w:highlight w:val="none"/>
        </w:rPr>
        <w:t>成交</w:t>
      </w:r>
      <w:r>
        <w:rPr>
          <w:bCs/>
          <w:color w:val="auto"/>
          <w:sz w:val="24"/>
          <w:highlight w:val="none"/>
        </w:rPr>
        <w:t>候选人名单中按顺序确定</w:t>
      </w:r>
      <w:r>
        <w:rPr>
          <w:rFonts w:hint="eastAsia"/>
          <w:bCs/>
          <w:color w:val="auto"/>
          <w:sz w:val="24"/>
          <w:highlight w:val="none"/>
        </w:rPr>
        <w:t>成交</w:t>
      </w:r>
      <w:r>
        <w:rPr>
          <w:bCs/>
          <w:color w:val="auto"/>
          <w:sz w:val="24"/>
          <w:highlight w:val="none"/>
        </w:rPr>
        <w:t>人。</w:t>
      </w:r>
      <w:r>
        <w:rPr>
          <w:rFonts w:hint="eastAsia"/>
          <w:bCs/>
          <w:color w:val="auto"/>
          <w:sz w:val="24"/>
          <w:highlight w:val="none"/>
        </w:rPr>
        <w:t>成交</w:t>
      </w:r>
      <w:r>
        <w:rPr>
          <w:bCs/>
          <w:color w:val="auto"/>
          <w:sz w:val="24"/>
          <w:highlight w:val="none"/>
        </w:rPr>
        <w:t>候选人并列的，由采购人或者采购人委托</w:t>
      </w:r>
      <w:r>
        <w:rPr>
          <w:rFonts w:hint="eastAsia"/>
          <w:bCs/>
          <w:color w:val="auto"/>
          <w:sz w:val="24"/>
          <w:highlight w:val="none"/>
        </w:rPr>
        <w:t>磋商小组</w:t>
      </w:r>
      <w:r>
        <w:rPr>
          <w:bCs/>
          <w:color w:val="auto"/>
          <w:sz w:val="24"/>
          <w:highlight w:val="none"/>
        </w:rPr>
        <w:t>按照现场抽签方式确定</w:t>
      </w:r>
      <w:r>
        <w:rPr>
          <w:rFonts w:hint="eastAsia"/>
          <w:bCs/>
          <w:color w:val="auto"/>
          <w:sz w:val="24"/>
          <w:highlight w:val="none"/>
        </w:rPr>
        <w:t>成交</w:t>
      </w:r>
      <w:r>
        <w:rPr>
          <w:bCs/>
          <w:color w:val="auto"/>
          <w:sz w:val="24"/>
          <w:highlight w:val="none"/>
        </w:rPr>
        <w:t>人。</w:t>
      </w:r>
    </w:p>
    <w:p>
      <w:pPr>
        <w:autoSpaceDE w:val="0"/>
        <w:autoSpaceDN w:val="0"/>
        <w:adjustRightInd w:val="0"/>
        <w:snapToGrid w:val="0"/>
        <w:spacing w:line="480" w:lineRule="exact"/>
        <w:ind w:left="-178" w:right="210" w:firstLine="482"/>
        <w:rPr>
          <w:b/>
          <w:color w:val="auto"/>
          <w:sz w:val="24"/>
          <w:highlight w:val="none"/>
          <w:lang w:val="zh-CN"/>
        </w:rPr>
      </w:pPr>
      <w:r>
        <w:rPr>
          <w:rFonts w:hint="eastAsia"/>
          <w:b/>
          <w:color w:val="auto"/>
          <w:sz w:val="24"/>
          <w:highlight w:val="none"/>
        </w:rPr>
        <w:t>九、</w:t>
      </w:r>
      <w:r>
        <w:rPr>
          <w:b/>
          <w:color w:val="auto"/>
          <w:sz w:val="24"/>
          <w:highlight w:val="none"/>
          <w:lang w:val="zh-CN"/>
        </w:rPr>
        <w:t>成交通知</w:t>
      </w:r>
    </w:p>
    <w:p>
      <w:pPr>
        <w:snapToGrid w:val="0"/>
        <w:spacing w:line="480" w:lineRule="exact"/>
        <w:ind w:firstLine="480" w:firstLineChars="200"/>
        <w:rPr>
          <w:color w:val="auto"/>
          <w:sz w:val="24"/>
          <w:highlight w:val="none"/>
        </w:rPr>
      </w:pPr>
      <w:r>
        <w:rPr>
          <w:color w:val="auto"/>
          <w:sz w:val="24"/>
          <w:highlight w:val="none"/>
        </w:rPr>
        <w:t>成交结果在</w:t>
      </w:r>
      <w:r>
        <w:rPr>
          <w:rFonts w:hint="eastAsia"/>
          <w:color w:val="auto"/>
          <w:sz w:val="24"/>
          <w:highlight w:val="none"/>
        </w:rPr>
        <w:t>南通市公共资源交易网、南通网</w:t>
      </w:r>
      <w:r>
        <w:rPr>
          <w:color w:val="auto"/>
          <w:sz w:val="24"/>
          <w:highlight w:val="none"/>
        </w:rPr>
        <w:t>公告，公告期限为1个工作日。《成交通知书》一经发出，采购人改变成交结果，或者成交供应商放弃成交的，各自承担相应的法律责任。《成交通知书》是采购合同的组成部分。</w:t>
      </w:r>
    </w:p>
    <w:p>
      <w:pPr>
        <w:autoSpaceDE w:val="0"/>
        <w:autoSpaceDN w:val="0"/>
        <w:adjustRightInd w:val="0"/>
        <w:snapToGrid w:val="0"/>
        <w:spacing w:line="480" w:lineRule="exact"/>
        <w:ind w:left="-178" w:right="210" w:firstLine="482"/>
        <w:rPr>
          <w:b/>
          <w:color w:val="auto"/>
          <w:sz w:val="24"/>
          <w:highlight w:val="none"/>
        </w:rPr>
      </w:pPr>
      <w:r>
        <w:rPr>
          <w:rFonts w:hint="eastAsia"/>
          <w:b/>
          <w:color w:val="auto"/>
          <w:sz w:val="24"/>
          <w:highlight w:val="none"/>
        </w:rPr>
        <w:t>十、</w:t>
      </w:r>
      <w:r>
        <w:rPr>
          <w:b/>
          <w:color w:val="auto"/>
          <w:sz w:val="24"/>
          <w:highlight w:val="none"/>
          <w:lang w:val="zh-CN"/>
        </w:rPr>
        <w:t>发放</w:t>
      </w:r>
      <w:r>
        <w:rPr>
          <w:rFonts w:hint="eastAsia"/>
          <w:b/>
          <w:color w:val="auto"/>
          <w:sz w:val="24"/>
          <w:highlight w:val="none"/>
          <w:lang w:val="zh-CN"/>
        </w:rPr>
        <w:t>成交</w:t>
      </w:r>
      <w:r>
        <w:rPr>
          <w:b/>
          <w:color w:val="auto"/>
          <w:sz w:val="24"/>
          <w:highlight w:val="none"/>
          <w:lang w:val="zh-CN"/>
        </w:rPr>
        <w:t>通知书</w:t>
      </w:r>
    </w:p>
    <w:p>
      <w:pPr>
        <w:autoSpaceDE w:val="0"/>
        <w:autoSpaceDN w:val="0"/>
        <w:adjustRightInd w:val="0"/>
        <w:snapToGrid w:val="0"/>
        <w:spacing w:line="480" w:lineRule="exact"/>
        <w:ind w:left="-178" w:right="210" w:firstLine="480"/>
        <w:rPr>
          <w:bCs/>
          <w:color w:val="auto"/>
          <w:sz w:val="24"/>
          <w:highlight w:val="none"/>
        </w:rPr>
      </w:pPr>
      <w:r>
        <w:rPr>
          <w:rFonts w:hint="eastAsia"/>
          <w:bCs/>
          <w:color w:val="auto"/>
          <w:sz w:val="24"/>
          <w:highlight w:val="none"/>
        </w:rPr>
        <w:t>成交通知书发放条件和途径：发布</w:t>
      </w:r>
      <w:r>
        <w:rPr>
          <w:rFonts w:hint="eastAsia"/>
          <w:color w:val="auto"/>
          <w:sz w:val="24"/>
          <w:highlight w:val="none"/>
        </w:rPr>
        <w:t>成交</w:t>
      </w:r>
      <w:r>
        <w:rPr>
          <w:rFonts w:hint="eastAsia"/>
          <w:bCs/>
          <w:color w:val="auto"/>
          <w:sz w:val="24"/>
          <w:highlight w:val="none"/>
        </w:rPr>
        <w:t>结果公告的同时，采购人或者采购代理机构应当向</w:t>
      </w:r>
      <w:r>
        <w:rPr>
          <w:rFonts w:hint="eastAsia"/>
          <w:color w:val="auto"/>
          <w:sz w:val="24"/>
          <w:highlight w:val="none"/>
        </w:rPr>
        <w:t>成交</w:t>
      </w:r>
      <w:r>
        <w:rPr>
          <w:rFonts w:hint="eastAsia"/>
          <w:bCs/>
          <w:color w:val="auto"/>
          <w:sz w:val="24"/>
          <w:highlight w:val="none"/>
        </w:rPr>
        <w:t>人发放</w:t>
      </w:r>
      <w:r>
        <w:rPr>
          <w:rFonts w:hint="eastAsia"/>
          <w:color w:val="auto"/>
          <w:sz w:val="24"/>
          <w:highlight w:val="none"/>
        </w:rPr>
        <w:t>成交</w:t>
      </w:r>
      <w:r>
        <w:rPr>
          <w:rFonts w:hint="eastAsia"/>
          <w:bCs/>
          <w:color w:val="auto"/>
          <w:sz w:val="24"/>
          <w:highlight w:val="none"/>
        </w:rPr>
        <w:t>通知书。领取地址：</w:t>
      </w:r>
      <w:r>
        <w:rPr>
          <w:rFonts w:hint="eastAsia"/>
          <w:bCs/>
          <w:color w:val="auto"/>
          <w:sz w:val="24"/>
          <w:highlight w:val="none"/>
          <w:u w:val="single"/>
        </w:rPr>
        <w:t>南通市星城路299号创源科技园3号楼5楼501室</w:t>
      </w:r>
      <w:r>
        <w:rPr>
          <w:rFonts w:hint="eastAsia"/>
          <w:bCs/>
          <w:color w:val="auto"/>
          <w:sz w:val="24"/>
          <w:highlight w:val="none"/>
        </w:rPr>
        <w:t xml:space="preserve"> ，电话：</w:t>
      </w:r>
      <w:r>
        <w:rPr>
          <w:rFonts w:hint="eastAsia"/>
          <w:bCs/>
          <w:color w:val="auto"/>
          <w:sz w:val="24"/>
          <w:highlight w:val="none"/>
          <w:u w:val="single"/>
        </w:rPr>
        <w:t>18068996360</w:t>
      </w:r>
      <w:r>
        <w:rPr>
          <w:rFonts w:hint="eastAsia"/>
          <w:bCs/>
          <w:color w:val="auto"/>
          <w:sz w:val="24"/>
          <w:highlight w:val="none"/>
        </w:rPr>
        <w:t>。</w:t>
      </w:r>
    </w:p>
    <w:p>
      <w:pPr>
        <w:autoSpaceDE w:val="0"/>
        <w:autoSpaceDN w:val="0"/>
        <w:adjustRightInd w:val="0"/>
        <w:snapToGrid w:val="0"/>
        <w:spacing w:line="480" w:lineRule="exact"/>
        <w:ind w:left="-178" w:right="210" w:firstLine="480"/>
        <w:rPr>
          <w:bCs/>
          <w:color w:val="auto"/>
          <w:sz w:val="24"/>
          <w:highlight w:val="none"/>
        </w:rPr>
      </w:pPr>
      <w:r>
        <w:rPr>
          <w:rFonts w:hint="eastAsia"/>
          <w:color w:val="auto"/>
          <w:sz w:val="24"/>
          <w:highlight w:val="none"/>
        </w:rPr>
        <w:t>成交</w:t>
      </w:r>
      <w:r>
        <w:rPr>
          <w:rFonts w:hint="eastAsia"/>
          <w:bCs/>
          <w:color w:val="auto"/>
          <w:sz w:val="24"/>
          <w:highlight w:val="none"/>
        </w:rPr>
        <w:t>通知书发出后，采购人不得违法改变成交结果，</w:t>
      </w:r>
      <w:r>
        <w:rPr>
          <w:rFonts w:hint="eastAsia"/>
          <w:color w:val="auto"/>
          <w:sz w:val="24"/>
          <w:highlight w:val="none"/>
        </w:rPr>
        <w:t>成交</w:t>
      </w:r>
      <w:r>
        <w:rPr>
          <w:rFonts w:hint="eastAsia"/>
          <w:bCs/>
          <w:color w:val="auto"/>
          <w:sz w:val="24"/>
          <w:highlight w:val="none"/>
        </w:rPr>
        <w:t>供应商无正当理由不得放弃</w:t>
      </w:r>
      <w:r>
        <w:rPr>
          <w:rFonts w:hint="eastAsia"/>
          <w:color w:val="auto"/>
          <w:sz w:val="24"/>
          <w:highlight w:val="none"/>
        </w:rPr>
        <w:t>成交</w:t>
      </w:r>
      <w:r>
        <w:rPr>
          <w:rFonts w:hint="eastAsia"/>
          <w:bCs/>
          <w:color w:val="auto"/>
          <w:sz w:val="24"/>
          <w:highlight w:val="none"/>
        </w:rPr>
        <w:t>。</w:t>
      </w:r>
    </w:p>
    <w:p>
      <w:pPr>
        <w:snapToGrid w:val="0"/>
        <w:spacing w:line="480" w:lineRule="exact"/>
        <w:ind w:firstLine="477" w:firstLineChars="198"/>
        <w:rPr>
          <w:b/>
          <w:color w:val="auto"/>
          <w:sz w:val="24"/>
          <w:highlight w:val="none"/>
        </w:rPr>
      </w:pPr>
      <w:r>
        <w:rPr>
          <w:rFonts w:hint="eastAsia"/>
          <w:b/>
          <w:color w:val="auto"/>
          <w:sz w:val="24"/>
          <w:highlight w:val="none"/>
        </w:rPr>
        <w:t>十一</w:t>
      </w:r>
      <w:r>
        <w:rPr>
          <w:b/>
          <w:color w:val="auto"/>
          <w:sz w:val="24"/>
          <w:highlight w:val="none"/>
        </w:rPr>
        <w:t>、其他注意事项</w:t>
      </w:r>
    </w:p>
    <w:p>
      <w:pPr>
        <w:snapToGrid w:val="0"/>
        <w:spacing w:line="480" w:lineRule="exact"/>
        <w:ind w:firstLine="480"/>
        <w:rPr>
          <w:color w:val="auto"/>
          <w:sz w:val="24"/>
          <w:highlight w:val="none"/>
        </w:rPr>
      </w:pPr>
      <w:r>
        <w:rPr>
          <w:color w:val="auto"/>
          <w:sz w:val="24"/>
          <w:highlight w:val="none"/>
        </w:rPr>
        <w:t>1、在</w:t>
      </w:r>
      <w:r>
        <w:rPr>
          <w:rFonts w:hint="eastAsia"/>
          <w:color w:val="auto"/>
          <w:sz w:val="24"/>
          <w:highlight w:val="none"/>
        </w:rPr>
        <w:t>采购活动过程中</w:t>
      </w:r>
      <w:r>
        <w:rPr>
          <w:color w:val="auto"/>
          <w:sz w:val="24"/>
          <w:highlight w:val="none"/>
        </w:rPr>
        <w:t>，</w:t>
      </w:r>
      <w:r>
        <w:rPr>
          <w:rFonts w:hint="eastAsia"/>
          <w:color w:val="auto"/>
          <w:sz w:val="24"/>
          <w:highlight w:val="none"/>
        </w:rPr>
        <w:t>供应商</w:t>
      </w:r>
      <w:r>
        <w:rPr>
          <w:color w:val="auto"/>
          <w:sz w:val="24"/>
          <w:highlight w:val="none"/>
        </w:rPr>
        <w:t>不得向</w:t>
      </w:r>
      <w:r>
        <w:rPr>
          <w:rFonts w:hint="eastAsia"/>
          <w:bCs/>
          <w:color w:val="auto"/>
          <w:sz w:val="24"/>
          <w:highlight w:val="none"/>
        </w:rPr>
        <w:t>磋商小组</w:t>
      </w:r>
      <w:r>
        <w:rPr>
          <w:color w:val="auto"/>
          <w:sz w:val="24"/>
          <w:highlight w:val="none"/>
        </w:rPr>
        <w:t>询问情况，不得进行旨在影响</w:t>
      </w:r>
      <w:r>
        <w:rPr>
          <w:rFonts w:hint="eastAsia"/>
          <w:color w:val="auto"/>
          <w:sz w:val="24"/>
          <w:highlight w:val="none"/>
        </w:rPr>
        <w:t>评审</w:t>
      </w:r>
      <w:r>
        <w:rPr>
          <w:color w:val="auto"/>
          <w:sz w:val="24"/>
          <w:highlight w:val="none"/>
        </w:rPr>
        <w:t>结果的活动。</w:t>
      </w:r>
    </w:p>
    <w:p>
      <w:pPr>
        <w:snapToGrid w:val="0"/>
        <w:spacing w:line="480" w:lineRule="exact"/>
        <w:ind w:firstLine="480"/>
        <w:rPr>
          <w:color w:val="auto"/>
          <w:sz w:val="24"/>
          <w:highlight w:val="none"/>
        </w:rPr>
      </w:pPr>
      <w:r>
        <w:rPr>
          <w:color w:val="auto"/>
          <w:sz w:val="24"/>
          <w:highlight w:val="none"/>
        </w:rPr>
        <w:t>2、</w:t>
      </w:r>
      <w:r>
        <w:rPr>
          <w:rFonts w:hint="eastAsia"/>
          <w:bCs/>
          <w:color w:val="auto"/>
          <w:sz w:val="24"/>
          <w:highlight w:val="none"/>
        </w:rPr>
        <w:t>磋商小组</w:t>
      </w:r>
      <w:r>
        <w:rPr>
          <w:color w:val="auto"/>
          <w:sz w:val="24"/>
          <w:highlight w:val="none"/>
        </w:rPr>
        <w:t>不得向</w:t>
      </w:r>
      <w:r>
        <w:rPr>
          <w:rFonts w:hint="eastAsia"/>
          <w:color w:val="auto"/>
          <w:sz w:val="24"/>
          <w:highlight w:val="none"/>
        </w:rPr>
        <w:t>供应商</w:t>
      </w:r>
      <w:r>
        <w:rPr>
          <w:color w:val="auto"/>
          <w:sz w:val="24"/>
          <w:highlight w:val="none"/>
        </w:rPr>
        <w:t>解释落标原因。</w:t>
      </w:r>
    </w:p>
    <w:p>
      <w:pPr>
        <w:snapToGrid w:val="0"/>
        <w:spacing w:line="480" w:lineRule="exact"/>
        <w:ind w:firstLine="480"/>
        <w:rPr>
          <w:color w:val="auto"/>
          <w:sz w:val="24"/>
          <w:highlight w:val="none"/>
        </w:rPr>
      </w:pPr>
      <w:r>
        <w:rPr>
          <w:color w:val="auto"/>
          <w:sz w:val="24"/>
          <w:highlight w:val="none"/>
        </w:rPr>
        <w:t>3、在</w:t>
      </w:r>
      <w:r>
        <w:rPr>
          <w:rFonts w:hint="eastAsia"/>
          <w:color w:val="auto"/>
          <w:sz w:val="24"/>
          <w:highlight w:val="none"/>
        </w:rPr>
        <w:t>采购活动</w:t>
      </w:r>
      <w:r>
        <w:rPr>
          <w:color w:val="auto"/>
          <w:sz w:val="24"/>
          <w:highlight w:val="none"/>
        </w:rPr>
        <w:t>过程中，如果</w:t>
      </w:r>
      <w:r>
        <w:rPr>
          <w:rFonts w:hint="eastAsia"/>
          <w:color w:val="auto"/>
          <w:sz w:val="24"/>
          <w:highlight w:val="none"/>
        </w:rPr>
        <w:t>供应商</w:t>
      </w:r>
      <w:r>
        <w:rPr>
          <w:color w:val="auto"/>
          <w:sz w:val="24"/>
          <w:highlight w:val="none"/>
        </w:rPr>
        <w:t>联合故意抬高报价或出现其他不正当行为，采购人有权中止</w:t>
      </w:r>
      <w:r>
        <w:rPr>
          <w:rFonts w:hint="eastAsia"/>
          <w:color w:val="auto"/>
          <w:sz w:val="24"/>
          <w:highlight w:val="none"/>
        </w:rPr>
        <w:t>采购活动</w:t>
      </w:r>
      <w:r>
        <w:rPr>
          <w:color w:val="auto"/>
          <w:sz w:val="24"/>
          <w:highlight w:val="none"/>
        </w:rPr>
        <w:t>。</w:t>
      </w:r>
    </w:p>
    <w:p>
      <w:pPr>
        <w:snapToGrid w:val="0"/>
        <w:spacing w:line="480" w:lineRule="exact"/>
        <w:ind w:firstLine="480"/>
        <w:rPr>
          <w:color w:val="auto"/>
          <w:sz w:val="24"/>
          <w:highlight w:val="none"/>
        </w:rPr>
      </w:pPr>
      <w:r>
        <w:rPr>
          <w:color w:val="auto"/>
          <w:sz w:val="24"/>
          <w:highlight w:val="none"/>
        </w:rPr>
        <w:t>4、凡在</w:t>
      </w:r>
      <w:r>
        <w:rPr>
          <w:rFonts w:hint="eastAsia"/>
          <w:color w:val="auto"/>
          <w:sz w:val="24"/>
          <w:highlight w:val="none"/>
        </w:rPr>
        <w:t>采购活动</w:t>
      </w:r>
      <w:r>
        <w:rPr>
          <w:color w:val="auto"/>
          <w:sz w:val="24"/>
          <w:highlight w:val="none"/>
        </w:rPr>
        <w:t>过程中，已提示是否异议的事项，</w:t>
      </w:r>
      <w:r>
        <w:rPr>
          <w:rFonts w:hint="eastAsia"/>
          <w:color w:val="auto"/>
          <w:sz w:val="24"/>
          <w:highlight w:val="none"/>
        </w:rPr>
        <w:t>供应商</w:t>
      </w:r>
      <w:r>
        <w:rPr>
          <w:color w:val="auto"/>
          <w:sz w:val="24"/>
          <w:highlight w:val="none"/>
        </w:rPr>
        <w:t>当时没有提出异议的，事后不得针对上述事项</w:t>
      </w:r>
      <w:r>
        <w:rPr>
          <w:rFonts w:hint="eastAsia"/>
          <w:color w:val="auto"/>
          <w:sz w:val="24"/>
          <w:highlight w:val="none"/>
        </w:rPr>
        <w:t>质疑</w:t>
      </w:r>
      <w:r>
        <w:rPr>
          <w:color w:val="auto"/>
          <w:sz w:val="24"/>
          <w:highlight w:val="none"/>
        </w:rPr>
        <w:t>。</w:t>
      </w:r>
    </w:p>
    <w:p>
      <w:pPr>
        <w:autoSpaceDE w:val="0"/>
        <w:autoSpaceDN w:val="0"/>
        <w:adjustRightInd w:val="0"/>
        <w:snapToGrid w:val="0"/>
        <w:spacing w:line="480" w:lineRule="exact"/>
        <w:ind w:left="-178" w:right="210" w:firstLine="560"/>
        <w:jc w:val="center"/>
        <w:outlineLvl w:val="0"/>
        <w:rPr>
          <w:rFonts w:asciiTheme="minorEastAsia" w:hAnsiTheme="minorEastAsia" w:eastAsiaTheme="minorEastAsia"/>
          <w:b/>
          <w:color w:val="auto"/>
          <w:sz w:val="36"/>
          <w:szCs w:val="36"/>
          <w:highlight w:val="none"/>
        </w:rPr>
      </w:pPr>
      <w:r>
        <w:rPr>
          <w:rFonts w:ascii="仿宋_GB2312" w:hAnsi="宋体" w:eastAsia="仿宋_GB2312" w:cs="宋体"/>
          <w:color w:val="auto"/>
          <w:kern w:val="0"/>
          <w:sz w:val="28"/>
          <w:szCs w:val="28"/>
          <w:highlight w:val="none"/>
          <w:lang w:val="zh-CN"/>
        </w:rPr>
        <w:br w:type="page"/>
      </w:r>
      <w:r>
        <w:rPr>
          <w:rFonts w:hint="eastAsia" w:asciiTheme="minorEastAsia" w:hAnsiTheme="minorEastAsia" w:eastAsiaTheme="minorEastAsia"/>
          <w:b/>
          <w:color w:val="auto"/>
          <w:sz w:val="36"/>
          <w:szCs w:val="36"/>
          <w:highlight w:val="none"/>
        </w:rPr>
        <w:t>第五部分  合同签订与验收付款</w:t>
      </w:r>
    </w:p>
    <w:p>
      <w:pPr>
        <w:snapToGrid w:val="0"/>
        <w:spacing w:line="480" w:lineRule="exact"/>
        <w:ind w:firstLine="480" w:firstLineChars="200"/>
        <w:rPr>
          <w:color w:val="auto"/>
          <w:sz w:val="24"/>
          <w:highlight w:val="none"/>
          <w:lang w:val="zh-CN"/>
        </w:rPr>
      </w:pPr>
      <w:r>
        <w:rPr>
          <w:color w:val="auto"/>
          <w:sz w:val="24"/>
          <w:highlight w:val="none"/>
          <w:lang w:val="zh-CN"/>
        </w:rPr>
        <w:t>一、成交供应商和采购单位</w:t>
      </w:r>
      <w:r>
        <w:rPr>
          <w:rFonts w:hint="eastAsia" w:ascii="宋体" w:hAnsi="宋体"/>
          <w:color w:val="auto"/>
          <w:sz w:val="24"/>
          <w:highlight w:val="none"/>
        </w:rPr>
        <w:t>需在</w:t>
      </w:r>
      <w:r>
        <w:rPr>
          <w:color w:val="auto"/>
          <w:sz w:val="24"/>
          <w:highlight w:val="none"/>
          <w:lang w:val="zh-CN"/>
        </w:rPr>
        <w:t>《成交通知书》</w:t>
      </w:r>
      <w:r>
        <w:rPr>
          <w:rFonts w:hint="eastAsia"/>
          <w:color w:val="auto"/>
          <w:sz w:val="24"/>
          <w:highlight w:val="none"/>
        </w:rPr>
        <w:t>发出之日起30日内</w:t>
      </w:r>
      <w:r>
        <w:rPr>
          <w:rFonts w:hint="eastAsia" w:ascii="宋体" w:hAnsi="宋体"/>
          <w:color w:val="auto"/>
          <w:sz w:val="24"/>
          <w:highlight w:val="none"/>
        </w:rPr>
        <w:t>签订合同</w:t>
      </w:r>
      <w:r>
        <w:rPr>
          <w:color w:val="auto"/>
          <w:sz w:val="24"/>
          <w:highlight w:val="none"/>
          <w:lang w:val="zh-CN"/>
        </w:rPr>
        <w:t>。合同签订后成交供应商方可履约，否则引起的一切后果由成交人自行承</w:t>
      </w:r>
      <w:r>
        <w:rPr>
          <w:color w:val="auto"/>
          <w:sz w:val="24"/>
          <w:highlight w:val="none"/>
        </w:rPr>
        <w:t>担。纸质合同</w:t>
      </w:r>
      <w:r>
        <w:rPr>
          <w:rFonts w:hint="eastAsia"/>
          <w:color w:val="auto"/>
          <w:sz w:val="24"/>
          <w:highlight w:val="none"/>
        </w:rPr>
        <w:t>一式四份</w:t>
      </w:r>
      <w:r>
        <w:rPr>
          <w:color w:val="auto"/>
          <w:sz w:val="24"/>
          <w:highlight w:val="none"/>
        </w:rPr>
        <w:t>，采购人、供应商各两份</w:t>
      </w:r>
      <w:r>
        <w:rPr>
          <w:rFonts w:hint="eastAsia"/>
          <w:color w:val="auto"/>
          <w:sz w:val="24"/>
          <w:highlight w:val="none"/>
        </w:rPr>
        <w:t>。</w:t>
      </w:r>
      <w:r>
        <w:rPr>
          <w:color w:val="auto"/>
          <w:sz w:val="24"/>
          <w:highlight w:val="none"/>
          <w:lang w:val="zh-CN"/>
        </w:rPr>
        <w:t>采购单位不得向成交供应商提出不合理的要求作为签订合同的条件，不得与成交供应商私下订立背离采购文件实质性内容的协议。</w:t>
      </w:r>
    </w:p>
    <w:p>
      <w:pPr>
        <w:snapToGrid w:val="0"/>
        <w:spacing w:line="480" w:lineRule="exact"/>
        <w:ind w:firstLine="482" w:firstLineChars="200"/>
        <w:rPr>
          <w:color w:val="auto"/>
          <w:sz w:val="24"/>
          <w:highlight w:val="none"/>
        </w:rPr>
      </w:pPr>
      <w:r>
        <w:rPr>
          <w:b/>
          <w:color w:val="auto"/>
          <w:sz w:val="24"/>
          <w:highlight w:val="none"/>
        </w:rPr>
        <w:t>二</w:t>
      </w:r>
      <w:r>
        <w:rPr>
          <w:color w:val="auto"/>
          <w:sz w:val="24"/>
          <w:highlight w:val="none"/>
        </w:rPr>
        <w:t>、采购人按合同约定积极配合成交供应商履约，</w:t>
      </w:r>
      <w:r>
        <w:rPr>
          <w:rFonts w:hint="eastAsia"/>
          <w:color w:val="auto"/>
          <w:sz w:val="24"/>
          <w:highlight w:val="none"/>
        </w:rPr>
        <w:t>成交供应商完成全部项目内容后一个月内，</w:t>
      </w:r>
      <w:r>
        <w:rPr>
          <w:color w:val="auto"/>
          <w:sz w:val="24"/>
          <w:highlight w:val="none"/>
        </w:rPr>
        <w:t>请以书面形式向采购单位提出验收申请，采购人接到申请后及时组织相关专业技术人员，必要时邀请采购人、质检等部门共同参与验收，并出具验收报告，验收合格的支付相应款项。</w:t>
      </w:r>
    </w:p>
    <w:p>
      <w:pPr>
        <w:snapToGrid w:val="0"/>
        <w:spacing w:line="480" w:lineRule="exact"/>
        <w:ind w:firstLine="480" w:firstLineChars="200"/>
        <w:contextualSpacing/>
        <w:rPr>
          <w:color w:val="auto"/>
          <w:sz w:val="24"/>
          <w:highlight w:val="none"/>
        </w:rPr>
      </w:pPr>
      <w:r>
        <w:rPr>
          <w:color w:val="auto"/>
          <w:sz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480" w:firstLineChars="200"/>
        <w:contextualSpacing/>
        <w:rPr>
          <w:color w:val="auto"/>
          <w:sz w:val="24"/>
          <w:highlight w:val="none"/>
        </w:rPr>
      </w:pPr>
      <w:r>
        <w:rPr>
          <w:color w:val="auto"/>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pPr>
        <w:pStyle w:val="8"/>
        <w:kinsoku w:val="0"/>
        <w:topLinePunct/>
        <w:autoSpaceDE w:val="0"/>
        <w:autoSpaceDN w:val="0"/>
        <w:snapToGrid w:val="0"/>
        <w:spacing w:line="480" w:lineRule="exact"/>
        <w:ind w:right="210" w:firstLine="513" w:firstLineChars="214"/>
        <w:contextualSpacing/>
        <w:rPr>
          <w:b/>
          <w:color w:val="auto"/>
          <w:sz w:val="24"/>
          <w:szCs w:val="24"/>
          <w:highlight w:val="none"/>
        </w:rPr>
      </w:pPr>
      <w:r>
        <w:rPr>
          <w:color w:val="auto"/>
          <w:sz w:val="24"/>
          <w:szCs w:val="24"/>
          <w:highlight w:val="none"/>
          <w:lang w:val="zh-CN"/>
        </w:rPr>
        <w:t>五、</w:t>
      </w:r>
      <w:r>
        <w:rPr>
          <w:b/>
          <w:color w:val="auto"/>
          <w:sz w:val="24"/>
          <w:szCs w:val="24"/>
          <w:highlight w:val="none"/>
        </w:rPr>
        <w:t>不响应付款方式的，视同响应文件无效处理。</w:t>
      </w:r>
      <w:r>
        <w:rPr>
          <w:rFonts w:hint="eastAsia"/>
          <w:b/>
          <w:color w:val="auto"/>
          <w:sz w:val="24"/>
          <w:highlight w:val="none"/>
        </w:rPr>
        <w:t>实际付款方式以最终签订采购合同为准。</w:t>
      </w:r>
    </w:p>
    <w:p>
      <w:pPr>
        <w:pStyle w:val="8"/>
        <w:kinsoku w:val="0"/>
        <w:topLinePunct/>
        <w:autoSpaceDE w:val="0"/>
        <w:autoSpaceDN w:val="0"/>
        <w:snapToGrid w:val="0"/>
        <w:spacing w:line="480" w:lineRule="exact"/>
        <w:ind w:right="210" w:firstLine="480" w:firstLineChars="200"/>
        <w:contextualSpacing/>
        <w:rPr>
          <w:color w:val="auto"/>
          <w:sz w:val="24"/>
          <w:szCs w:val="24"/>
          <w:highlight w:val="none"/>
          <w:lang w:val="zh-CN"/>
        </w:rPr>
      </w:pPr>
      <w:r>
        <w:rPr>
          <w:color w:val="auto"/>
          <w:sz w:val="24"/>
          <w:szCs w:val="24"/>
          <w:highlight w:val="none"/>
        </w:rPr>
        <w:t>款项由采购人按相关财务支付规定办理支付手续。不得故意拖延支付时间。</w:t>
      </w:r>
    </w:p>
    <w:p>
      <w:pPr>
        <w:pStyle w:val="8"/>
        <w:kinsoku w:val="0"/>
        <w:topLinePunct/>
        <w:autoSpaceDE w:val="0"/>
        <w:autoSpaceDN w:val="0"/>
        <w:snapToGrid w:val="0"/>
        <w:spacing w:line="480" w:lineRule="exact"/>
        <w:ind w:right="210" w:firstLine="513" w:firstLineChars="214"/>
        <w:contextualSpacing/>
        <w:rPr>
          <w:color w:val="auto"/>
          <w:sz w:val="24"/>
          <w:szCs w:val="24"/>
          <w:highlight w:val="none"/>
        </w:rPr>
      </w:pPr>
      <w:r>
        <w:rPr>
          <w:rFonts w:hint="eastAsia"/>
          <w:color w:val="auto"/>
          <w:sz w:val="24"/>
          <w:szCs w:val="24"/>
          <w:highlight w:val="none"/>
        </w:rPr>
        <w:t>六、合同主要条款</w:t>
      </w:r>
    </w:p>
    <w:p>
      <w:pPr>
        <w:pStyle w:val="8"/>
        <w:kinsoku w:val="0"/>
        <w:topLinePunct/>
        <w:autoSpaceDE w:val="0"/>
        <w:autoSpaceDN w:val="0"/>
        <w:snapToGrid w:val="0"/>
        <w:spacing w:line="480" w:lineRule="exact"/>
        <w:ind w:right="210" w:firstLine="516" w:firstLineChars="214"/>
        <w:contextualSpacing/>
        <w:rPr>
          <w:b/>
          <w:bCs/>
          <w:color w:val="auto"/>
          <w:sz w:val="24"/>
          <w:szCs w:val="24"/>
          <w:highlight w:val="none"/>
        </w:rPr>
      </w:pPr>
      <w:r>
        <w:rPr>
          <w:rFonts w:hint="eastAsia"/>
          <w:b/>
          <w:bCs/>
          <w:color w:val="auto"/>
          <w:sz w:val="24"/>
          <w:szCs w:val="24"/>
          <w:highlight w:val="none"/>
        </w:rPr>
        <w:t>具体以实际签订合同为准。</w:t>
      </w:r>
    </w:p>
    <w:p>
      <w:pPr>
        <w:spacing w:line="400" w:lineRule="exact"/>
        <w:ind w:firstLine="582"/>
        <w:jc w:val="center"/>
        <w:rPr>
          <w:rFonts w:ascii="宋体"/>
          <w:b/>
          <w:bCs/>
          <w:color w:val="auto"/>
          <w:sz w:val="36"/>
          <w:szCs w:val="36"/>
          <w:highlight w:val="none"/>
        </w:rPr>
      </w:pPr>
      <w:r>
        <w:rPr>
          <w:b/>
          <w:bCs/>
          <w:color w:val="auto"/>
          <w:w w:val="80"/>
          <w:sz w:val="36"/>
          <w:szCs w:val="36"/>
          <w:highlight w:val="none"/>
        </w:rPr>
        <w:br w:type="page"/>
      </w:r>
    </w:p>
    <w:p>
      <w:pPr>
        <w:snapToGrid w:val="0"/>
        <w:spacing w:line="400" w:lineRule="atLeast"/>
        <w:ind w:firstLine="723"/>
        <w:jc w:val="center"/>
        <w:outlineLvl w:val="0"/>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第六部分  质疑提出和处理</w:t>
      </w:r>
    </w:p>
    <w:p>
      <w:pPr>
        <w:pStyle w:val="11"/>
        <w:snapToGrid w:val="0"/>
        <w:spacing w:line="400" w:lineRule="atLeast"/>
        <w:ind w:left="0" w:leftChars="0" w:firstLine="482" w:firstLineChars="200"/>
        <w:contextualSpacing/>
        <w:rPr>
          <w:rFonts w:ascii="仿宋_GB2312" w:hAnsi="宋体" w:eastAsia="仿宋_GB2312"/>
          <w:color w:val="auto"/>
          <w:sz w:val="32"/>
          <w:szCs w:val="32"/>
          <w:highlight w:val="none"/>
        </w:rPr>
      </w:pPr>
      <w:r>
        <w:rPr>
          <w:rFonts w:hint="eastAsia" w:cs="宋体"/>
          <w:b/>
          <w:bCs/>
          <w:color w:val="auto"/>
          <w:sz w:val="24"/>
          <w:highlight w:val="none"/>
          <w:u w:val="thick" w:color="FF0000"/>
        </w:rPr>
        <w:t>质疑函请在“南通市崇川区人民政府网→政府采购与工程招标→下载中心→质疑函”下载</w:t>
      </w:r>
      <w:r>
        <w:rPr>
          <w:rFonts w:hint="eastAsia" w:cs="宋体"/>
          <w:b/>
          <w:bCs/>
          <w:color w:val="auto"/>
          <w:sz w:val="24"/>
          <w:highlight w:val="none"/>
        </w:rPr>
        <w:t>。</w:t>
      </w:r>
    </w:p>
    <w:p>
      <w:pPr>
        <w:pStyle w:val="11"/>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一、质疑的提出</w:t>
      </w:r>
    </w:p>
    <w:p>
      <w:pPr>
        <w:pStyle w:val="11"/>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w:t>
      </w:r>
      <w:r>
        <w:rPr>
          <w:color w:val="auto"/>
          <w:sz w:val="24"/>
          <w:highlight w:val="none"/>
          <w:lang w:val="zh-CN"/>
        </w:rPr>
        <w:t>一</w:t>
      </w:r>
      <w:r>
        <w:rPr>
          <w:rFonts w:hint="eastAsia"/>
          <w:color w:val="auto"/>
          <w:sz w:val="24"/>
          <w:highlight w:val="none"/>
          <w:lang w:val="zh-CN"/>
        </w:rPr>
        <w:t>）</w:t>
      </w:r>
      <w:r>
        <w:rPr>
          <w:color w:val="auto"/>
          <w:sz w:val="24"/>
          <w:highlight w:val="none"/>
          <w:lang w:val="zh-CN"/>
        </w:rPr>
        <w:t>质疑人的身份要求</w:t>
      </w:r>
    </w:p>
    <w:p>
      <w:pPr>
        <w:pStyle w:val="11"/>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1.提出质疑的供应商应当是参与所质疑项目采购活动的供应商。</w:t>
      </w:r>
    </w:p>
    <w:p>
      <w:pPr>
        <w:pStyle w:val="11"/>
        <w:snapToGrid w:val="0"/>
        <w:spacing w:line="480" w:lineRule="exact"/>
        <w:ind w:left="0" w:leftChars="0" w:firstLine="480" w:firstLineChars="200"/>
        <w:contextualSpacing/>
        <w:rPr>
          <w:color w:val="auto"/>
          <w:sz w:val="24"/>
          <w:highlight w:val="none"/>
        </w:rPr>
      </w:pPr>
      <w:r>
        <w:rPr>
          <w:color w:val="auto"/>
          <w:sz w:val="24"/>
          <w:highlight w:val="none"/>
          <w:lang w:val="zh-CN"/>
        </w:rPr>
        <w:t>2.潜在供应商已依法获取其可质疑的采购文件的，可以对该文件提出质疑。对采购文件提出质疑的，应当在获取采购文件或者采购文件公告期限届满之日起7个工作日内提出。</w:t>
      </w:r>
    </w:p>
    <w:p>
      <w:pPr>
        <w:pStyle w:val="11"/>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w:t>
      </w:r>
      <w:r>
        <w:rPr>
          <w:color w:val="auto"/>
          <w:sz w:val="24"/>
          <w:highlight w:val="none"/>
          <w:lang w:val="zh-CN"/>
        </w:rPr>
        <w:t>二</w:t>
      </w:r>
      <w:r>
        <w:rPr>
          <w:rFonts w:hint="eastAsia"/>
          <w:color w:val="auto"/>
          <w:sz w:val="24"/>
          <w:highlight w:val="none"/>
          <w:lang w:val="zh-CN"/>
        </w:rPr>
        <w:t>）</w:t>
      </w:r>
      <w:r>
        <w:rPr>
          <w:color w:val="auto"/>
          <w:sz w:val="24"/>
          <w:highlight w:val="none"/>
          <w:lang w:val="zh-CN"/>
        </w:rPr>
        <w:t>质疑提出的格式要求</w:t>
      </w:r>
    </w:p>
    <w:p>
      <w:pPr>
        <w:pStyle w:val="11"/>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1.质疑必须按《政府采购法</w:t>
      </w:r>
      <w:r>
        <w:rPr>
          <w:rFonts w:hint="eastAsia"/>
          <w:color w:val="auto"/>
          <w:sz w:val="24"/>
          <w:highlight w:val="none"/>
          <w:lang w:val="zh-CN"/>
        </w:rPr>
        <w:t>》《</w:t>
      </w:r>
      <w:r>
        <w:rPr>
          <w:color w:val="auto"/>
          <w:sz w:val="24"/>
          <w:highlight w:val="none"/>
          <w:lang w:val="zh-CN"/>
        </w:rPr>
        <w:t>政府采购法实施条例》及《江苏省政府采购供应商监督管理暂行办法》的相关规定提交，质疑实行实名制，不得进行虚假、恶意质疑，未按上述要求提交的质疑函，</w:t>
      </w:r>
      <w:r>
        <w:rPr>
          <w:color w:val="auto"/>
          <w:sz w:val="24"/>
          <w:highlight w:val="none"/>
        </w:rPr>
        <w:t>采购代理机构</w:t>
      </w:r>
      <w:r>
        <w:rPr>
          <w:color w:val="auto"/>
          <w:sz w:val="24"/>
          <w:highlight w:val="none"/>
          <w:lang w:val="zh-CN"/>
        </w:rPr>
        <w:t>有权不予受理。</w:t>
      </w:r>
    </w:p>
    <w:p>
      <w:pPr>
        <w:pStyle w:val="11"/>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2.质疑函应包括：</w:t>
      </w:r>
    </w:p>
    <w:p>
      <w:pPr>
        <w:pStyle w:val="11"/>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（1）质疑人的名称、地址、邮编、联系人及联系电话；</w:t>
      </w:r>
    </w:p>
    <w:p>
      <w:pPr>
        <w:pStyle w:val="11"/>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（2）质疑项目的名称、编号；</w:t>
      </w:r>
    </w:p>
    <w:p>
      <w:pPr>
        <w:pStyle w:val="11"/>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（3）具体、明确的质疑事项和与质疑事项相关的请求；</w:t>
      </w:r>
    </w:p>
    <w:p>
      <w:pPr>
        <w:pStyle w:val="11"/>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（4）事实依据；</w:t>
      </w:r>
    </w:p>
    <w:p>
      <w:pPr>
        <w:pStyle w:val="11"/>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 xml:space="preserve">（5）必要的法律依据；                          </w:t>
      </w:r>
    </w:p>
    <w:p>
      <w:pPr>
        <w:pStyle w:val="11"/>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（6）提出质疑的日期。</w:t>
      </w:r>
    </w:p>
    <w:p>
      <w:pPr>
        <w:pStyle w:val="11"/>
        <w:snapToGrid w:val="0"/>
        <w:spacing w:line="480" w:lineRule="exact"/>
        <w:ind w:left="0" w:leftChars="0" w:firstLine="480" w:firstLineChars="200"/>
        <w:contextualSpacing/>
        <w:rPr>
          <w:color w:val="auto"/>
          <w:sz w:val="24"/>
          <w:highlight w:val="none"/>
          <w:lang w:val="zh-CN"/>
        </w:rPr>
      </w:pPr>
      <w:r>
        <w:rPr>
          <w:rFonts w:hint="eastAsia" w:ascii="宋体" w:hAnsi="宋体"/>
          <w:color w:val="auto"/>
          <w:sz w:val="24"/>
          <w:highlight w:val="none"/>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pPr>
        <w:pStyle w:val="11"/>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3.质疑函需遵循的原则：</w:t>
      </w:r>
    </w:p>
    <w:p>
      <w:pPr>
        <w:pStyle w:val="11"/>
        <w:snapToGrid w:val="0"/>
        <w:spacing w:line="480" w:lineRule="exact"/>
        <w:ind w:left="0" w:leftChars="0" w:firstLine="480" w:firstLineChars="200"/>
        <w:contextualSpacing/>
        <w:rPr>
          <w:rFonts w:ascii="宋体" w:hAnsi="宋体"/>
          <w:color w:val="auto"/>
          <w:sz w:val="24"/>
          <w:highlight w:val="none"/>
          <w:lang w:val="zh-CN"/>
        </w:rPr>
      </w:pPr>
      <w:r>
        <w:rPr>
          <w:rFonts w:hint="eastAsia" w:ascii="宋体" w:hAnsi="宋体"/>
          <w:color w:val="auto"/>
          <w:sz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pStyle w:val="11"/>
        <w:snapToGrid w:val="0"/>
        <w:spacing w:line="480" w:lineRule="exact"/>
        <w:ind w:left="0" w:leftChars="0" w:firstLine="480" w:firstLineChars="200"/>
        <w:contextualSpacing/>
        <w:rPr>
          <w:rFonts w:ascii="宋体" w:hAnsi="宋体"/>
          <w:color w:val="auto"/>
          <w:sz w:val="24"/>
          <w:highlight w:val="none"/>
          <w:lang w:val="zh-CN"/>
        </w:rPr>
      </w:pPr>
      <w:r>
        <w:rPr>
          <w:rFonts w:hint="eastAsia" w:ascii="宋体" w:hAnsi="宋体"/>
          <w:color w:val="auto"/>
          <w:sz w:val="24"/>
          <w:highlight w:val="none"/>
          <w:lang w:val="zh-CN"/>
        </w:rPr>
        <w:t>（三）质疑提出的时效要求</w:t>
      </w:r>
    </w:p>
    <w:p>
      <w:pPr>
        <w:pStyle w:val="11"/>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1.供应商认为采购文件、采购过程和采购结果使自己的权益受到损害的，可以在知道或应知其权益受到损害之日起七个工作日内，以书面形式向</w:t>
      </w:r>
      <w:r>
        <w:rPr>
          <w:color w:val="auto"/>
          <w:sz w:val="24"/>
          <w:highlight w:val="none"/>
        </w:rPr>
        <w:t>采购代理机构</w:t>
      </w:r>
      <w:r>
        <w:rPr>
          <w:color w:val="auto"/>
          <w:sz w:val="24"/>
          <w:highlight w:val="none"/>
          <w:lang w:val="zh-CN"/>
        </w:rPr>
        <w:t>或采购人提出质疑。上述应知其权益受到损害之日，是指：</w:t>
      </w:r>
    </w:p>
    <w:p>
      <w:pPr>
        <w:pStyle w:val="11"/>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（1）对可以质疑的采购文件提出质疑的，为收到采购文件之日或者采购文件公告期限届满之日；</w:t>
      </w:r>
    </w:p>
    <w:p>
      <w:pPr>
        <w:pStyle w:val="11"/>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（2）对采购过程提出质疑的，为各采购程序环节结束之日；</w:t>
      </w:r>
    </w:p>
    <w:p>
      <w:pPr>
        <w:pStyle w:val="11"/>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（3）对成交或者成交结果提出质疑的，为成交或者成交结果公告期限届满之日。</w:t>
      </w:r>
    </w:p>
    <w:p>
      <w:pPr>
        <w:pStyle w:val="11"/>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供应商认为采购文件使自己的权益受到损害的，可以按照</w:t>
      </w:r>
      <w:r>
        <w:rPr>
          <w:rFonts w:hint="eastAsia"/>
          <w:color w:val="auto"/>
          <w:sz w:val="24"/>
          <w:highlight w:val="none"/>
          <w:lang w:val="zh-CN"/>
        </w:rPr>
        <w:t>磋商</w:t>
      </w:r>
      <w:r>
        <w:rPr>
          <w:color w:val="auto"/>
          <w:sz w:val="24"/>
          <w:highlight w:val="none"/>
          <w:lang w:val="zh-CN"/>
        </w:rPr>
        <w:t>公告第</w:t>
      </w:r>
      <w:r>
        <w:rPr>
          <w:rFonts w:hint="eastAsia"/>
          <w:color w:val="auto"/>
          <w:sz w:val="24"/>
          <w:highlight w:val="none"/>
          <w:lang w:val="zh-CN"/>
        </w:rPr>
        <w:t>七</w:t>
      </w:r>
      <w:r>
        <w:rPr>
          <w:color w:val="auto"/>
          <w:sz w:val="24"/>
          <w:highlight w:val="none"/>
          <w:lang w:val="zh-CN"/>
        </w:rPr>
        <w:t>项</w:t>
      </w:r>
      <w:r>
        <w:rPr>
          <w:rFonts w:hint="eastAsia"/>
          <w:color w:val="auto"/>
          <w:sz w:val="24"/>
          <w:highlight w:val="none"/>
          <w:lang w:val="zh-CN"/>
        </w:rPr>
        <w:t>第四点</w:t>
      </w:r>
      <w:r>
        <w:rPr>
          <w:color w:val="auto"/>
          <w:sz w:val="24"/>
          <w:highlight w:val="none"/>
          <w:lang w:val="zh-CN"/>
        </w:rPr>
        <w:t>要求向采购人提出质疑；供应商认为采购过程和采购结果使自己的权益受到损害的，可以以书面形式向</w:t>
      </w:r>
      <w:r>
        <w:rPr>
          <w:color w:val="auto"/>
          <w:sz w:val="24"/>
          <w:highlight w:val="none"/>
        </w:rPr>
        <w:t>采购代理机构</w:t>
      </w:r>
      <w:r>
        <w:rPr>
          <w:color w:val="auto"/>
          <w:sz w:val="24"/>
          <w:highlight w:val="none"/>
          <w:lang w:val="zh-CN"/>
        </w:rPr>
        <w:t>或采购人提出质疑。</w:t>
      </w:r>
    </w:p>
    <w:p>
      <w:pPr>
        <w:pStyle w:val="11"/>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 xml:space="preserve">2.供应商应在法定质疑期一次性提出针对同一采购程序环节的质疑。                         </w:t>
      </w:r>
    </w:p>
    <w:p>
      <w:pPr>
        <w:pStyle w:val="11"/>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二、《质疑函》的受理和答复</w:t>
      </w:r>
    </w:p>
    <w:p>
      <w:pPr>
        <w:pStyle w:val="11"/>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 xml:space="preserve">1. </w:t>
      </w:r>
      <w:r>
        <w:rPr>
          <w:rFonts w:hint="eastAsia"/>
          <w:color w:val="auto"/>
          <w:sz w:val="24"/>
          <w:highlight w:val="none"/>
          <w:lang w:val="zh-CN"/>
        </w:rPr>
        <w:t>采购代理机构或采购人收到质疑函后，将对质疑的形式和内容进行审查，如质疑函内容、格式不符合规定，采购代理机构需告知质疑人进行补正。</w:t>
      </w:r>
    </w:p>
    <w:p>
      <w:pPr>
        <w:pStyle w:val="11"/>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 质疑人应当在法定质疑期限内进行补正并重新提交质疑函，拒不补正或者在法定期限内未重新提交质疑函的，为无效质疑，不予受理。</w:t>
      </w:r>
    </w:p>
    <w:p>
      <w:pPr>
        <w:pStyle w:val="11"/>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3.采购人或采购代理机构答复供应商质疑应当采用书面方式并依法送达，质疑供应商或其委托代理人拒绝签收的视为已经送达。</w:t>
      </w:r>
    </w:p>
    <w:p>
      <w:pPr>
        <w:pStyle w:val="11"/>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三、质疑处理</w:t>
      </w:r>
    </w:p>
    <w:p>
      <w:pPr>
        <w:pStyle w:val="11"/>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1. 质疑成立的处理</w:t>
      </w:r>
    </w:p>
    <w:p>
      <w:pPr>
        <w:pStyle w:val="11"/>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（1）对于内容、格式符合规定的质疑函，采购代理机构或采购人在收到供应商的书面质疑后七个工作日内作出书面答复，但答复的内容不得涉及商业秘密。                       </w:t>
      </w:r>
    </w:p>
    <w:p>
      <w:pPr>
        <w:pStyle w:val="11"/>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（2）对采购文件提出的质疑，依法通过澄清或者修改可以继续开展采购活动的，澄清或者修改采购文件后继续开展采购活动；否则应当修改采购文件后重新开展采购活动。</w:t>
      </w:r>
    </w:p>
    <w:p>
      <w:pPr>
        <w:pStyle w:val="11"/>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（3）对采购过程、成交结果提出的质疑，合格供应商符合法定数量时，可以从合格的候选人中另行确定成交供应商的，应当依法另行确定成交供应商；否则应当重新开展采购活动。</w:t>
      </w:r>
    </w:p>
    <w:p>
      <w:pPr>
        <w:pStyle w:val="11"/>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质疑答复导致成交结果改变的，采购人或者采购代理机构应当将有关情况书面报告上级部门。</w:t>
      </w:r>
    </w:p>
    <w:p>
      <w:pPr>
        <w:pStyle w:val="11"/>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2.质疑不成立的处理</w:t>
      </w:r>
    </w:p>
    <w:p>
      <w:pPr>
        <w:pStyle w:val="11"/>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若质疑不成立，或者成立未对成交结果构成影响的，继续开展采购活动。                  </w:t>
      </w:r>
    </w:p>
    <w:p>
      <w:pPr>
        <w:pStyle w:val="11"/>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3.虚假质疑的处理          </w:t>
      </w:r>
    </w:p>
    <w:p>
      <w:pPr>
        <w:pStyle w:val="11"/>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（1）供应商提出书面质疑必须有理、有据，不得恶意质疑或提交虚假质疑。否则，一经查实，采购人有权依据采购的有关规定，报请采购监管部门对该供应商进行相应的行政处罚。                          </w:t>
      </w:r>
    </w:p>
    <w:p>
      <w:pPr>
        <w:pStyle w:val="11"/>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（2）在江苏省范围内一年累计三次以上质疑，均查无实据的供应商将按失信行为记入该注册供应商诚信档案中。</w:t>
      </w:r>
    </w:p>
    <w:p>
      <w:pPr>
        <w:pStyle w:val="11"/>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（3）采购代理机构或采购人受理质疑和答复相关咨询，联系电话详见竞争性磋商公告。</w:t>
      </w:r>
    </w:p>
    <w:p>
      <w:pPr>
        <w:autoSpaceDE w:val="0"/>
        <w:autoSpaceDN w:val="0"/>
        <w:adjustRightInd w:val="0"/>
        <w:snapToGrid w:val="0"/>
        <w:spacing w:line="300" w:lineRule="auto"/>
        <w:ind w:right="210"/>
        <w:jc w:val="center"/>
        <w:outlineLvl w:val="0"/>
        <w:rPr>
          <w:rFonts w:asciiTheme="minorEastAsia" w:hAnsiTheme="minorEastAsia" w:eastAsiaTheme="minorEastAsia"/>
          <w:b/>
          <w:bCs/>
          <w:color w:val="auto"/>
          <w:sz w:val="36"/>
          <w:szCs w:val="36"/>
          <w:highlight w:val="none"/>
          <w:lang w:val="zh-CN"/>
        </w:rPr>
      </w:pPr>
      <w:r>
        <w:rPr>
          <w:rFonts w:hint="eastAsia"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第七部分  响应文件组成</w:t>
      </w:r>
    </w:p>
    <w:p>
      <w:pPr>
        <w:snapToGrid w:val="0"/>
        <w:spacing w:line="480" w:lineRule="exact"/>
        <w:ind w:firstLine="482" w:firstLineChars="200"/>
        <w:jc w:val="left"/>
        <w:rPr>
          <w:b/>
          <w:color w:val="auto"/>
          <w:sz w:val="24"/>
          <w:highlight w:val="none"/>
        </w:rPr>
      </w:pPr>
      <w:r>
        <w:rPr>
          <w:b/>
          <w:color w:val="auto"/>
          <w:sz w:val="24"/>
          <w:highlight w:val="none"/>
        </w:rPr>
        <w:t>响应文件由资格审查</w:t>
      </w:r>
      <w:r>
        <w:rPr>
          <w:rFonts w:hint="eastAsia"/>
          <w:b/>
          <w:color w:val="auto"/>
          <w:sz w:val="24"/>
          <w:highlight w:val="none"/>
        </w:rPr>
        <w:t>文件</w:t>
      </w:r>
      <w:r>
        <w:rPr>
          <w:b/>
          <w:color w:val="auto"/>
          <w:sz w:val="24"/>
          <w:highlight w:val="none"/>
        </w:rPr>
        <w:t>、商务技术文件</w:t>
      </w:r>
      <w:r>
        <w:rPr>
          <w:rFonts w:hint="eastAsia"/>
          <w:b/>
          <w:color w:val="auto"/>
          <w:sz w:val="24"/>
          <w:highlight w:val="none"/>
        </w:rPr>
        <w:t>、</w:t>
      </w:r>
      <w:r>
        <w:rPr>
          <w:rFonts w:hint="eastAsia"/>
          <w:b/>
          <w:color w:val="auto"/>
          <w:sz w:val="24"/>
          <w:highlight w:val="none"/>
          <w:lang w:val="en-US" w:eastAsia="zh-CN"/>
        </w:rPr>
        <w:t>U盘文件（内含样本数据库和样本数据库功能演示视频）、</w:t>
      </w:r>
      <w:r>
        <w:rPr>
          <w:rFonts w:hint="eastAsia"/>
          <w:b/>
          <w:color w:val="auto"/>
          <w:sz w:val="24"/>
          <w:highlight w:val="none"/>
        </w:rPr>
        <w:t>报价</w:t>
      </w:r>
      <w:r>
        <w:rPr>
          <w:b/>
          <w:color w:val="auto"/>
          <w:sz w:val="24"/>
          <w:highlight w:val="none"/>
        </w:rPr>
        <w:t>文件</w:t>
      </w:r>
      <w:r>
        <w:rPr>
          <w:rFonts w:hint="eastAsia"/>
          <w:b/>
          <w:color w:val="auto"/>
          <w:sz w:val="24"/>
          <w:highlight w:val="none"/>
          <w:lang w:val="en-US" w:eastAsia="zh-CN"/>
        </w:rPr>
        <w:t>四</w:t>
      </w:r>
      <w:r>
        <w:rPr>
          <w:b/>
          <w:color w:val="auto"/>
          <w:sz w:val="24"/>
          <w:highlight w:val="none"/>
        </w:rPr>
        <w:t>部分组成</w:t>
      </w:r>
      <w:r>
        <w:rPr>
          <w:rFonts w:hint="eastAsia" w:ascii="宋体" w:hAnsi="宋体"/>
          <w:b/>
          <w:color w:val="auto"/>
          <w:sz w:val="24"/>
          <w:highlight w:val="none"/>
        </w:rPr>
        <w:t>，相关</w:t>
      </w:r>
      <w:r>
        <w:rPr>
          <w:rFonts w:hint="eastAsia" w:ascii="宋体" w:hAnsi="宋体"/>
          <w:b/>
          <w:color w:val="auto"/>
          <w:sz w:val="24"/>
          <w:highlight w:val="none"/>
          <w:lang w:val="zh-CN"/>
        </w:rPr>
        <w:t>格式参见附件</w:t>
      </w:r>
      <w:r>
        <w:rPr>
          <w:rFonts w:hint="eastAsia" w:ascii="宋体" w:hAnsi="宋体"/>
          <w:b/>
          <w:color w:val="auto"/>
          <w:sz w:val="24"/>
          <w:highlight w:val="none"/>
        </w:rPr>
        <w:t>。</w:t>
      </w:r>
    </w:p>
    <w:p>
      <w:pPr>
        <w:snapToGrid w:val="0"/>
        <w:spacing w:line="480" w:lineRule="exact"/>
        <w:ind w:firstLine="472" w:firstLineChars="196"/>
        <w:contextualSpacing/>
        <w:rPr>
          <w:b/>
          <w:color w:val="auto"/>
          <w:sz w:val="24"/>
          <w:highlight w:val="none"/>
        </w:rPr>
      </w:pPr>
      <w:r>
        <w:rPr>
          <w:b/>
          <w:color w:val="auto"/>
          <w:sz w:val="24"/>
          <w:highlight w:val="none"/>
        </w:rPr>
        <w:t>一、资格审查</w:t>
      </w:r>
      <w:r>
        <w:rPr>
          <w:rFonts w:hint="eastAsia"/>
          <w:b/>
          <w:color w:val="auto"/>
          <w:sz w:val="24"/>
          <w:highlight w:val="none"/>
        </w:rPr>
        <w:t>文件</w:t>
      </w:r>
      <w:r>
        <w:rPr>
          <w:b/>
          <w:color w:val="auto"/>
          <w:sz w:val="24"/>
          <w:highlight w:val="none"/>
        </w:rPr>
        <w:t>（不能出现报价、商务技术</w:t>
      </w:r>
      <w:r>
        <w:rPr>
          <w:rFonts w:hint="eastAsia"/>
          <w:b/>
          <w:color w:val="auto"/>
          <w:sz w:val="24"/>
          <w:highlight w:val="none"/>
        </w:rPr>
        <w:t>文件</w:t>
      </w:r>
      <w:r>
        <w:rPr>
          <w:b/>
          <w:color w:val="auto"/>
          <w:sz w:val="24"/>
          <w:highlight w:val="none"/>
        </w:rPr>
        <w:t>）</w:t>
      </w:r>
    </w:p>
    <w:p>
      <w:pPr>
        <w:snapToGrid w:val="0"/>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供应商声明函</w:t>
      </w:r>
      <w:r>
        <w:rPr>
          <w:color w:val="auto"/>
          <w:sz w:val="24"/>
          <w:highlight w:val="none"/>
        </w:rPr>
        <w:t>；</w:t>
      </w:r>
    </w:p>
    <w:p>
      <w:pPr>
        <w:tabs>
          <w:tab w:val="left" w:pos="3375"/>
        </w:tabs>
        <w:autoSpaceDE w:val="0"/>
        <w:autoSpaceDN w:val="0"/>
        <w:adjustRightInd w:val="0"/>
        <w:snapToGrid w:val="0"/>
        <w:spacing w:line="480" w:lineRule="exact"/>
        <w:ind w:left="1" w:firstLine="480" w:firstLineChars="200"/>
        <w:rPr>
          <w:color w:val="auto"/>
          <w:sz w:val="24"/>
          <w:highlight w:val="none"/>
        </w:rPr>
      </w:pPr>
      <w:r>
        <w:rPr>
          <w:rFonts w:hint="eastAsia"/>
          <w:color w:val="auto"/>
          <w:sz w:val="24"/>
          <w:highlight w:val="none"/>
        </w:rPr>
        <w:t>2、法定代表人身份证明书（如法定代表人参加</w:t>
      </w:r>
      <w:r>
        <w:rPr>
          <w:rFonts w:hint="eastAsia"/>
          <w:color w:val="auto"/>
          <w:sz w:val="24"/>
          <w:highlight w:val="none"/>
          <w:lang w:val="en-US" w:eastAsia="zh-CN"/>
        </w:rPr>
        <w:t>采购活动</w:t>
      </w:r>
      <w:r>
        <w:rPr>
          <w:rFonts w:hint="eastAsia"/>
          <w:color w:val="auto"/>
          <w:sz w:val="24"/>
          <w:highlight w:val="none"/>
        </w:rPr>
        <w:t>）；</w:t>
      </w:r>
    </w:p>
    <w:p>
      <w:pPr>
        <w:tabs>
          <w:tab w:val="left" w:pos="3375"/>
        </w:tabs>
        <w:autoSpaceDE w:val="0"/>
        <w:autoSpaceDN w:val="0"/>
        <w:adjustRightInd w:val="0"/>
        <w:snapToGrid w:val="0"/>
        <w:spacing w:line="480" w:lineRule="exact"/>
        <w:ind w:left="1" w:firstLine="480" w:firstLineChars="200"/>
        <w:rPr>
          <w:color w:val="auto"/>
          <w:sz w:val="24"/>
          <w:highlight w:val="none"/>
          <w:lang w:val="zh-CN"/>
        </w:rPr>
      </w:pPr>
      <w:r>
        <w:rPr>
          <w:color w:val="auto"/>
          <w:sz w:val="24"/>
          <w:highlight w:val="none"/>
          <w:lang w:val="zh-CN"/>
        </w:rPr>
        <w:t>3、法定代表人授权委托书原件，磋商代表本人身份证复印件（</w:t>
      </w:r>
      <w:r>
        <w:rPr>
          <w:rFonts w:hint="eastAsia"/>
          <w:color w:val="auto"/>
          <w:sz w:val="24"/>
          <w:highlight w:val="none"/>
        </w:rPr>
        <w:t>如有授权</w:t>
      </w:r>
      <w:r>
        <w:rPr>
          <w:color w:val="auto"/>
          <w:sz w:val="24"/>
          <w:highlight w:val="none"/>
          <w:lang w:val="zh-CN"/>
        </w:rPr>
        <w:t>）；</w:t>
      </w:r>
    </w:p>
    <w:p>
      <w:pPr>
        <w:snapToGrid w:val="0"/>
        <w:spacing w:line="480" w:lineRule="exact"/>
        <w:ind w:firstLine="480" w:firstLineChars="200"/>
        <w:rPr>
          <w:color w:val="auto"/>
          <w:sz w:val="24"/>
          <w:highlight w:val="none"/>
        </w:rPr>
      </w:pPr>
      <w:r>
        <w:rPr>
          <w:color w:val="auto"/>
          <w:sz w:val="24"/>
          <w:highlight w:val="none"/>
        </w:rPr>
        <w:t>4、</w:t>
      </w:r>
      <w:r>
        <w:rPr>
          <w:rFonts w:hint="eastAsia"/>
          <w:color w:val="auto"/>
          <w:sz w:val="24"/>
          <w:highlight w:val="none"/>
        </w:rPr>
        <w:t>供应商信用承诺书；</w:t>
      </w:r>
    </w:p>
    <w:p>
      <w:pPr>
        <w:tabs>
          <w:tab w:val="left" w:pos="3375"/>
        </w:tabs>
        <w:autoSpaceDE w:val="0"/>
        <w:autoSpaceDN w:val="0"/>
        <w:adjustRightInd w:val="0"/>
        <w:snapToGrid w:val="0"/>
        <w:spacing w:line="480" w:lineRule="exact"/>
        <w:ind w:left="1" w:firstLine="480" w:firstLineChars="200"/>
        <w:rPr>
          <w:b w:val="0"/>
          <w:bCs/>
          <w:color w:val="auto"/>
          <w:sz w:val="24"/>
          <w:highlight w:val="none"/>
        </w:rPr>
      </w:pPr>
      <w:r>
        <w:rPr>
          <w:rFonts w:hint="eastAsia"/>
          <w:b w:val="0"/>
          <w:bCs/>
          <w:color w:val="auto"/>
          <w:sz w:val="24"/>
          <w:highlight w:val="none"/>
        </w:rPr>
        <w:t>5</w:t>
      </w:r>
      <w:r>
        <w:rPr>
          <w:b w:val="0"/>
          <w:bCs/>
          <w:color w:val="auto"/>
          <w:sz w:val="24"/>
          <w:highlight w:val="none"/>
        </w:rPr>
        <w:t>、</w:t>
      </w:r>
      <w:r>
        <w:rPr>
          <w:rFonts w:hint="eastAsia"/>
          <w:b w:val="0"/>
          <w:bCs/>
          <w:color w:val="auto"/>
          <w:sz w:val="24"/>
          <w:highlight w:val="none"/>
        </w:rPr>
        <w:t>其他需要</w:t>
      </w:r>
      <w:r>
        <w:rPr>
          <w:b w:val="0"/>
          <w:bCs/>
          <w:color w:val="auto"/>
          <w:sz w:val="24"/>
          <w:highlight w:val="none"/>
        </w:rPr>
        <w:t>提交的资格审查证明材料。</w:t>
      </w:r>
    </w:p>
    <w:p>
      <w:pPr>
        <w:tabs>
          <w:tab w:val="left" w:pos="3375"/>
        </w:tabs>
        <w:autoSpaceDE w:val="0"/>
        <w:autoSpaceDN w:val="0"/>
        <w:adjustRightInd w:val="0"/>
        <w:snapToGrid w:val="0"/>
        <w:spacing w:line="480" w:lineRule="exact"/>
        <w:ind w:left="1" w:firstLine="480" w:firstLineChars="200"/>
        <w:rPr>
          <w:color w:val="auto"/>
          <w:sz w:val="24"/>
          <w:highlight w:val="none"/>
        </w:rPr>
      </w:pPr>
      <w:r>
        <w:rPr>
          <w:rFonts w:hint="eastAsia"/>
          <w:color w:val="auto"/>
          <w:sz w:val="24"/>
          <w:highlight w:val="none"/>
        </w:rPr>
        <w:t>6、供应商有效的营业执照复印件。</w:t>
      </w:r>
    </w:p>
    <w:p>
      <w:pPr>
        <w:pStyle w:val="46"/>
        <w:snapToGrid w:val="0"/>
        <w:spacing w:line="480" w:lineRule="exact"/>
        <w:ind w:firstLine="482" w:firstLineChars="200"/>
        <w:rPr>
          <w:rFonts w:ascii="Times New Roman" w:hAnsi="Times New Roman" w:eastAsia="宋体"/>
          <w:b/>
          <w:bCs/>
          <w:color w:val="auto"/>
          <w:kern w:val="0"/>
          <w:sz w:val="24"/>
          <w:szCs w:val="24"/>
          <w:highlight w:val="none"/>
          <w:lang w:val="zh-CN"/>
        </w:rPr>
      </w:pPr>
      <w:r>
        <w:rPr>
          <w:rFonts w:ascii="Times New Roman" w:hAnsi="Times New Roman" w:eastAsia="宋体"/>
          <w:b/>
          <w:color w:val="auto"/>
          <w:sz w:val="24"/>
          <w:szCs w:val="24"/>
          <w:highlight w:val="none"/>
        </w:rPr>
        <w:t>二、商务技术文件</w:t>
      </w:r>
      <w:r>
        <w:rPr>
          <w:rFonts w:ascii="Times New Roman" w:hAnsi="Times New Roman" w:eastAsia="宋体"/>
          <w:b/>
          <w:bCs/>
          <w:color w:val="auto"/>
          <w:kern w:val="0"/>
          <w:sz w:val="24"/>
          <w:szCs w:val="24"/>
          <w:highlight w:val="none"/>
          <w:lang w:val="zh-CN"/>
        </w:rPr>
        <w:t>（不能出现报价）</w:t>
      </w:r>
    </w:p>
    <w:p>
      <w:pPr>
        <w:pStyle w:val="46"/>
        <w:snapToGrid w:val="0"/>
        <w:spacing w:line="48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w:t>
      </w:r>
      <w:r>
        <w:rPr>
          <w:rFonts w:hint="eastAsia" w:ascii="宋体" w:eastAsia="宋体" w:cs="宋体"/>
          <w:b/>
          <w:bCs/>
          <w:color w:val="auto"/>
          <w:sz w:val="24"/>
          <w:highlight w:val="none"/>
        </w:rPr>
        <w:t>竞争性磋商响应函</w:t>
      </w:r>
      <w:r>
        <w:rPr>
          <w:rFonts w:hint="eastAsia" w:ascii="宋体" w:eastAsia="宋体"/>
          <w:color w:val="auto"/>
          <w:kern w:val="0"/>
          <w:sz w:val="24"/>
          <w:highlight w:val="none"/>
          <w:lang w:val="zh-CN"/>
        </w:rPr>
        <w:t>；</w:t>
      </w:r>
    </w:p>
    <w:p>
      <w:pPr>
        <w:snapToGrid w:val="0"/>
        <w:spacing w:line="480" w:lineRule="exact"/>
        <w:ind w:firstLine="480" w:firstLineChars="200"/>
        <w:contextualSpacing/>
        <w:rPr>
          <w:color w:val="auto"/>
          <w:kern w:val="0"/>
          <w:sz w:val="24"/>
          <w:highlight w:val="none"/>
          <w:lang w:val="zh-CN"/>
        </w:rPr>
      </w:pPr>
      <w:r>
        <w:rPr>
          <w:color w:val="auto"/>
          <w:kern w:val="0"/>
          <w:sz w:val="24"/>
          <w:highlight w:val="none"/>
          <w:lang w:val="zh-CN"/>
        </w:rPr>
        <w:t>2、</w:t>
      </w:r>
      <w:r>
        <w:rPr>
          <w:b/>
          <w:color w:val="auto"/>
          <w:sz w:val="24"/>
          <w:highlight w:val="none"/>
        </w:rPr>
        <w:t>技术部分正负偏离表</w:t>
      </w:r>
      <w:r>
        <w:rPr>
          <w:rFonts w:hint="eastAsia"/>
          <w:color w:val="auto"/>
          <w:kern w:val="0"/>
          <w:sz w:val="24"/>
          <w:highlight w:val="none"/>
          <w:lang w:val="zh-CN"/>
        </w:rPr>
        <w:t>；</w:t>
      </w:r>
    </w:p>
    <w:p>
      <w:pPr>
        <w:snapToGrid w:val="0"/>
        <w:spacing w:line="480" w:lineRule="exact"/>
        <w:ind w:firstLine="480" w:firstLineChars="200"/>
        <w:contextualSpacing/>
        <w:rPr>
          <w:color w:val="auto"/>
          <w:kern w:val="0"/>
          <w:sz w:val="24"/>
          <w:highlight w:val="none"/>
          <w:lang w:val="zh-CN"/>
        </w:rPr>
      </w:pPr>
      <w:r>
        <w:rPr>
          <w:color w:val="auto"/>
          <w:kern w:val="0"/>
          <w:sz w:val="24"/>
          <w:highlight w:val="none"/>
          <w:lang w:val="zh-CN"/>
        </w:rPr>
        <w:t>3、</w:t>
      </w:r>
      <w:r>
        <w:rPr>
          <w:b/>
          <w:bCs/>
          <w:color w:val="auto"/>
          <w:sz w:val="24"/>
          <w:highlight w:val="none"/>
        </w:rPr>
        <w:t>商务部分正负偏离表</w:t>
      </w:r>
      <w:r>
        <w:rPr>
          <w:rFonts w:hint="eastAsia"/>
          <w:color w:val="auto"/>
          <w:kern w:val="0"/>
          <w:sz w:val="24"/>
          <w:highlight w:val="none"/>
          <w:lang w:val="zh-CN"/>
        </w:rPr>
        <w:t>；</w:t>
      </w:r>
    </w:p>
    <w:p>
      <w:pPr>
        <w:snapToGrid w:val="0"/>
        <w:spacing w:line="480" w:lineRule="exact"/>
        <w:ind w:firstLine="480" w:firstLineChars="200"/>
        <w:contextualSpacing/>
        <w:rPr>
          <w:color w:val="auto"/>
          <w:kern w:val="0"/>
          <w:sz w:val="24"/>
          <w:highlight w:val="none"/>
          <w:lang w:val="zh-CN"/>
        </w:rPr>
      </w:pPr>
      <w:r>
        <w:rPr>
          <w:color w:val="auto"/>
          <w:kern w:val="0"/>
          <w:sz w:val="24"/>
          <w:highlight w:val="none"/>
          <w:lang w:val="zh-CN"/>
        </w:rPr>
        <w:t>4、供应商一般情况表</w:t>
      </w:r>
      <w:r>
        <w:rPr>
          <w:rFonts w:hint="eastAsia"/>
          <w:color w:val="auto"/>
          <w:kern w:val="0"/>
          <w:sz w:val="24"/>
          <w:highlight w:val="none"/>
          <w:lang w:val="zh-CN"/>
        </w:rPr>
        <w:t>；</w:t>
      </w:r>
    </w:p>
    <w:p>
      <w:pPr>
        <w:snapToGrid w:val="0"/>
        <w:spacing w:line="480" w:lineRule="exact"/>
        <w:ind w:firstLine="480" w:firstLineChars="200"/>
        <w:contextualSpacing/>
        <w:rPr>
          <w:color w:val="auto"/>
          <w:sz w:val="24"/>
          <w:highlight w:val="none"/>
        </w:rPr>
      </w:pPr>
      <w:r>
        <w:rPr>
          <w:rFonts w:hint="eastAsia"/>
          <w:color w:val="auto"/>
          <w:kern w:val="0"/>
          <w:sz w:val="24"/>
          <w:highlight w:val="none"/>
          <w:lang w:val="en-US" w:eastAsia="zh-CN"/>
        </w:rPr>
        <w:t>5、</w:t>
      </w:r>
      <w:r>
        <w:rPr>
          <w:color w:val="auto"/>
          <w:sz w:val="24"/>
          <w:highlight w:val="none"/>
        </w:rPr>
        <w:t>为方便评委评审，请供应商按评审办法中所涉及的事项顺序进行编制，可以补充相关材料</w:t>
      </w:r>
      <w:r>
        <w:rPr>
          <w:rFonts w:hint="eastAsia"/>
          <w:color w:val="auto"/>
          <w:sz w:val="24"/>
          <w:highlight w:val="none"/>
        </w:rPr>
        <w:t>；</w:t>
      </w:r>
    </w:p>
    <w:p>
      <w:pPr>
        <w:pStyle w:val="46"/>
        <w:snapToGrid w:val="0"/>
        <w:spacing w:line="480" w:lineRule="exact"/>
        <w:ind w:firstLine="480" w:firstLineChars="2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en-US" w:eastAsia="zh-CN"/>
        </w:rPr>
        <w:t>6</w:t>
      </w:r>
      <w:r>
        <w:rPr>
          <w:rFonts w:ascii="Times New Roman" w:hAnsi="Times New Roman" w:eastAsia="宋体"/>
          <w:color w:val="auto"/>
          <w:sz w:val="24"/>
          <w:szCs w:val="24"/>
          <w:highlight w:val="none"/>
        </w:rPr>
        <w:t>、评审办法中未涉及的事项，供应商认为需要提交的其他资料。</w:t>
      </w:r>
    </w:p>
    <w:p>
      <w:pPr>
        <w:pStyle w:val="46"/>
        <w:snapToGrid w:val="0"/>
        <w:spacing w:line="480" w:lineRule="exact"/>
        <w:ind w:firstLine="480" w:firstLineChars="2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zh-CN"/>
        </w:rPr>
        <w:t>供应商应认真阅读仔细研究</w:t>
      </w:r>
      <w:r>
        <w:rPr>
          <w:rFonts w:hint="eastAsia" w:ascii="Times New Roman" w:hAnsi="Times New Roman" w:eastAsia="宋体"/>
          <w:color w:val="auto"/>
          <w:sz w:val="24"/>
          <w:szCs w:val="24"/>
          <w:highlight w:val="none"/>
        </w:rPr>
        <w:t>采购文件</w:t>
      </w:r>
      <w:r>
        <w:rPr>
          <w:rFonts w:hint="eastAsia" w:ascii="Times New Roman" w:hAnsi="Times New Roman" w:eastAsia="宋体"/>
          <w:color w:val="auto"/>
          <w:sz w:val="24"/>
          <w:szCs w:val="24"/>
          <w:highlight w:val="none"/>
          <w:lang w:val="zh-CN"/>
        </w:rPr>
        <w:t>第三部分项目需求中的内容，在理解的基础上结合本</w:t>
      </w:r>
      <w:r>
        <w:rPr>
          <w:rFonts w:hint="eastAsia" w:ascii="Times New Roman" w:hAnsi="Times New Roman" w:eastAsia="宋体"/>
          <w:color w:val="auto"/>
          <w:sz w:val="24"/>
          <w:szCs w:val="24"/>
          <w:highlight w:val="none"/>
        </w:rPr>
        <w:t>采购</w:t>
      </w:r>
      <w:r>
        <w:rPr>
          <w:rFonts w:hint="eastAsia" w:ascii="Times New Roman" w:hAnsi="Times New Roman" w:eastAsia="宋体"/>
          <w:color w:val="auto"/>
          <w:sz w:val="24"/>
          <w:szCs w:val="24"/>
          <w:highlight w:val="none"/>
          <w:lang w:val="zh-CN"/>
        </w:rPr>
        <w:t>文件第四部分中的商务技术分评分细则进行技术文件的编写。</w:t>
      </w:r>
    </w:p>
    <w:p>
      <w:pPr>
        <w:pStyle w:val="46"/>
        <w:numPr>
          <w:ilvl w:val="0"/>
          <w:numId w:val="25"/>
        </w:numPr>
        <w:snapToGrid w:val="0"/>
        <w:spacing w:line="480" w:lineRule="exact"/>
        <w:ind w:firstLine="482" w:firstLineChars="200"/>
        <w:rPr>
          <w:rFonts w:hint="default"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U盘</w:t>
      </w:r>
      <w:r>
        <w:rPr>
          <w:rFonts w:hint="default" w:ascii="Times New Roman" w:hAnsi="Times New Roman" w:eastAsia="宋体"/>
          <w:b/>
          <w:color w:val="auto"/>
          <w:sz w:val="24"/>
          <w:szCs w:val="24"/>
          <w:highlight w:val="none"/>
          <w:lang w:val="en-US" w:eastAsia="zh-CN"/>
        </w:rPr>
        <w:t>文件</w:t>
      </w:r>
      <w:r>
        <w:rPr>
          <w:rFonts w:ascii="Times New Roman" w:hAnsi="Times New Roman" w:eastAsia="宋体"/>
          <w:b/>
          <w:bCs/>
          <w:color w:val="auto"/>
          <w:kern w:val="0"/>
          <w:sz w:val="24"/>
          <w:szCs w:val="24"/>
          <w:highlight w:val="none"/>
          <w:lang w:val="zh-CN"/>
        </w:rPr>
        <w:t>（不能出现报价）</w:t>
      </w:r>
    </w:p>
    <w:p>
      <w:pPr>
        <w:pStyle w:val="46"/>
        <w:numPr>
          <w:ilvl w:val="0"/>
          <w:numId w:val="26"/>
        </w:numPr>
        <w:snapToGrid w:val="0"/>
        <w:spacing w:line="480" w:lineRule="exact"/>
        <w:ind w:firstLine="480" w:firstLineChars="200"/>
        <w:rPr>
          <w:rFonts w:hint="eastAsia" w:ascii="Times New Roman" w:hAnsi="Times New Roman" w:eastAsia="宋体"/>
          <w:b w:val="0"/>
          <w:color w:val="auto"/>
          <w:sz w:val="24"/>
          <w:szCs w:val="24"/>
          <w:highlight w:val="none"/>
          <w:lang w:val="en-US" w:eastAsia="zh-CN"/>
        </w:rPr>
      </w:pPr>
      <w:r>
        <w:rPr>
          <w:rFonts w:hint="eastAsia" w:ascii="Times New Roman" w:hAnsi="Times New Roman" w:eastAsia="宋体"/>
          <w:b w:val="0"/>
          <w:color w:val="auto"/>
          <w:sz w:val="24"/>
          <w:szCs w:val="24"/>
          <w:highlight w:val="none"/>
          <w:lang w:val="en-US" w:eastAsia="zh-CN"/>
        </w:rPr>
        <w:t>U盘文件（内含样本数据库和样本数据库功能演示视频）；</w:t>
      </w:r>
    </w:p>
    <w:p>
      <w:pPr>
        <w:pStyle w:val="46"/>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2" w:firstLineChars="200"/>
        <w:textAlignment w:val="auto"/>
        <w:rPr>
          <w:rFonts w:hint="eastAsia" w:ascii="Times New Roman" w:hAnsi="Times New Roman" w:eastAsia="宋体"/>
          <w:b/>
          <w:bCs/>
          <w:color w:val="auto"/>
          <w:sz w:val="24"/>
          <w:szCs w:val="24"/>
          <w:highlight w:val="none"/>
          <w:lang w:val="en-US" w:eastAsia="zh-CN"/>
        </w:rPr>
      </w:pPr>
      <w:r>
        <w:rPr>
          <w:rFonts w:hint="eastAsia" w:ascii="Times New Roman" w:hAnsi="Times New Roman" w:eastAsia="宋体"/>
          <w:b/>
          <w:bCs/>
          <w:color w:val="auto"/>
          <w:sz w:val="24"/>
          <w:szCs w:val="24"/>
          <w:highlight w:val="none"/>
          <w:lang w:val="en-US" w:eastAsia="zh-CN"/>
        </w:rPr>
        <w:t>注：供应商须自带电脑、演示设备，委派1名讲解陈述员现场演示样本数据库运行情况、讲解陈述样本数据库演示视频内容，时间控制在20分钟内。</w:t>
      </w:r>
    </w:p>
    <w:p>
      <w:pPr>
        <w:pStyle w:val="46"/>
        <w:snapToGrid w:val="0"/>
        <w:spacing w:line="480" w:lineRule="exact"/>
        <w:ind w:firstLine="482" w:firstLineChars="200"/>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lang w:val="en-US" w:eastAsia="zh-CN"/>
        </w:rPr>
        <w:t>四、</w:t>
      </w:r>
      <w:r>
        <w:rPr>
          <w:rFonts w:hint="eastAsia" w:ascii="Times New Roman" w:hAnsi="Times New Roman" w:eastAsia="宋体"/>
          <w:b/>
          <w:color w:val="auto"/>
          <w:sz w:val="24"/>
          <w:szCs w:val="24"/>
          <w:highlight w:val="none"/>
        </w:rPr>
        <w:t>报价</w:t>
      </w:r>
      <w:r>
        <w:rPr>
          <w:rFonts w:ascii="Times New Roman" w:hAnsi="Times New Roman" w:eastAsia="宋体"/>
          <w:b/>
          <w:color w:val="auto"/>
          <w:sz w:val="24"/>
          <w:szCs w:val="24"/>
          <w:highlight w:val="none"/>
        </w:rPr>
        <w:t>文件</w:t>
      </w:r>
    </w:p>
    <w:p>
      <w:pPr>
        <w:tabs>
          <w:tab w:val="left" w:pos="3375"/>
        </w:tabs>
        <w:autoSpaceDE w:val="0"/>
        <w:autoSpaceDN w:val="0"/>
        <w:adjustRightInd w:val="0"/>
        <w:snapToGrid w:val="0"/>
        <w:spacing w:line="480" w:lineRule="exact"/>
        <w:ind w:left="1" w:firstLine="480" w:firstLineChars="200"/>
        <w:rPr>
          <w:color w:val="auto"/>
          <w:sz w:val="24"/>
          <w:highlight w:val="none"/>
        </w:rPr>
      </w:pPr>
      <w:r>
        <w:rPr>
          <w:color w:val="auto"/>
          <w:sz w:val="24"/>
          <w:highlight w:val="none"/>
        </w:rPr>
        <w:t>1、磋商报价总表；</w:t>
      </w:r>
    </w:p>
    <w:p>
      <w:pPr>
        <w:tabs>
          <w:tab w:val="left" w:pos="3375"/>
        </w:tabs>
        <w:autoSpaceDE w:val="0"/>
        <w:autoSpaceDN w:val="0"/>
        <w:adjustRightInd w:val="0"/>
        <w:snapToGrid w:val="0"/>
        <w:spacing w:line="480" w:lineRule="exact"/>
        <w:ind w:left="1" w:firstLine="480" w:firstLineChars="200"/>
        <w:rPr>
          <w:color w:val="auto"/>
          <w:sz w:val="24"/>
          <w:highlight w:val="none"/>
        </w:rPr>
      </w:pPr>
      <w:r>
        <w:rPr>
          <w:rFonts w:hint="eastAsia"/>
          <w:color w:val="auto"/>
          <w:sz w:val="24"/>
          <w:highlight w:val="none"/>
        </w:rPr>
        <w:t>2、磋商响应报价明细表（首次）；</w:t>
      </w:r>
    </w:p>
    <w:p>
      <w:pPr>
        <w:spacing w:line="360" w:lineRule="auto"/>
        <w:rPr>
          <w:rFonts w:ascii="Calibri" w:hAnsi="Calibri"/>
          <w:b/>
          <w:bCs/>
          <w:color w:val="auto"/>
          <w:sz w:val="32"/>
          <w:szCs w:val="32"/>
          <w:highlight w:val="none"/>
        </w:rPr>
      </w:pPr>
      <w:r>
        <w:rPr>
          <w:rFonts w:ascii="Calibri" w:hAnsi="Calibri"/>
          <w:b/>
          <w:bCs/>
          <w:color w:val="auto"/>
          <w:sz w:val="32"/>
          <w:szCs w:val="32"/>
          <w:highlight w:val="none"/>
        </w:rPr>
        <w:br w:type="page"/>
      </w:r>
      <w:r>
        <w:rPr>
          <w:rFonts w:hint="eastAsia" w:ascii="Calibri" w:hAnsi="Calibri"/>
          <w:b/>
          <w:bCs/>
          <w:color w:val="auto"/>
          <w:sz w:val="32"/>
          <w:szCs w:val="32"/>
          <w:highlight w:val="none"/>
        </w:rPr>
        <w:t>附件：</w:t>
      </w:r>
    </w:p>
    <w:p>
      <w:pPr>
        <w:ind w:firstLine="480"/>
        <w:rPr>
          <w:color w:val="auto"/>
          <w:highlight w:val="none"/>
        </w:rPr>
      </w:pPr>
    </w:p>
    <w:p>
      <w:pPr>
        <w:spacing w:line="360" w:lineRule="auto"/>
        <w:ind w:firstLine="480" w:firstLineChars="200"/>
        <w:rPr>
          <w:rFonts w:ascii="宋体" w:hAnsi="宋体" w:cs="宋体"/>
          <w:color w:val="auto"/>
          <w:sz w:val="24"/>
          <w:highlight w:val="none"/>
        </w:rPr>
      </w:pPr>
    </w:p>
    <w:p>
      <w:pPr>
        <w:spacing w:line="360" w:lineRule="auto"/>
        <w:ind w:firstLine="482"/>
        <w:jc w:val="center"/>
        <w:rPr>
          <w:rFonts w:ascii="宋体" w:hAnsi="宋体" w:cs="宋体"/>
          <w:b/>
          <w:color w:val="auto"/>
          <w:sz w:val="24"/>
          <w:highlight w:val="none"/>
          <w:u w:val="single"/>
        </w:rPr>
      </w:pPr>
      <w:r>
        <w:rPr>
          <w:rFonts w:hint="eastAsia" w:ascii="宋体" w:hAnsi="宋体" w:cs="宋体"/>
          <w:b/>
          <w:color w:val="auto"/>
          <w:sz w:val="24"/>
          <w:highlight w:val="none"/>
          <w:u w:val="single"/>
        </w:rPr>
        <w:t>项目名称</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项目编号：</w:t>
      </w:r>
    </w:p>
    <w:p>
      <w:pPr>
        <w:spacing w:line="360" w:lineRule="auto"/>
        <w:ind w:firstLine="2400" w:firstLineChars="1000"/>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ind w:firstLine="482"/>
        <w:jc w:val="center"/>
        <w:rPr>
          <w:rFonts w:ascii="宋体" w:hAnsi="宋体" w:cs="宋体"/>
          <w:b/>
          <w:bCs/>
          <w:color w:val="auto"/>
          <w:sz w:val="24"/>
          <w:highlight w:val="none"/>
        </w:rPr>
      </w:pPr>
      <w:r>
        <w:rPr>
          <w:rFonts w:hint="eastAsia" w:ascii="宋体" w:hAnsi="宋体" w:cs="宋体"/>
          <w:b/>
          <w:bCs/>
          <w:color w:val="auto"/>
          <w:sz w:val="24"/>
          <w:highlight w:val="none"/>
        </w:rPr>
        <w:t>磋商响应文件</w:t>
      </w:r>
    </w:p>
    <w:p>
      <w:pPr>
        <w:spacing w:line="360" w:lineRule="auto"/>
        <w:rPr>
          <w:rFonts w:ascii="宋体" w:hAnsi="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填写：资格审查文件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填写：商务技术文件</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2520" w:firstLineChars="105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对应磋商响应文件填写：U盘文件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520" w:firstLineChars="1050"/>
        <w:textAlignment w:val="auto"/>
        <w:rPr>
          <w:rFonts w:ascii="宋体" w:hAnsi="宋体" w:cs="宋体"/>
          <w:bCs/>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填写：报价文件</w:t>
      </w:r>
    </w:p>
    <w:p>
      <w:pPr>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ascii="宋体" w:hAnsi="宋体" w:cs="宋体"/>
          <w:b/>
          <w:color w:val="auto"/>
          <w:sz w:val="24"/>
          <w:highlight w:val="none"/>
        </w:rPr>
      </w:pPr>
      <w:r>
        <w:rPr>
          <w:rFonts w:hint="eastAsia" w:ascii="宋体" w:hAnsi="宋体" w:cs="宋体"/>
          <w:b/>
          <w:color w:val="auto"/>
          <w:sz w:val="24"/>
          <w:highlight w:val="none"/>
        </w:rPr>
        <w:t>（资格后审）</w:t>
      </w:r>
    </w:p>
    <w:p>
      <w:pPr>
        <w:ind w:firstLine="482"/>
        <w:jc w:val="center"/>
        <w:rPr>
          <w:rFonts w:ascii="宋体" w:hAnsi="宋体" w:cs="宋体"/>
          <w:b/>
          <w:color w:val="auto"/>
          <w:sz w:val="24"/>
          <w:highlight w:val="none"/>
        </w:rPr>
      </w:pPr>
    </w:p>
    <w:p>
      <w:pPr>
        <w:snapToGrid w:val="0"/>
        <w:spacing w:line="520" w:lineRule="exact"/>
        <w:ind w:firstLine="482"/>
        <w:jc w:val="center"/>
        <w:rPr>
          <w:rFonts w:ascii="宋体" w:hAnsi="宋体" w:cs="宋体"/>
          <w:b/>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响应供应商：参加供应商全称（公章）</w:t>
      </w:r>
    </w:p>
    <w:p>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日  期：      年  月  日</w:t>
      </w:r>
    </w:p>
    <w:p>
      <w:pPr>
        <w:jc w:val="left"/>
        <w:rPr>
          <w:rFonts w:ascii="宋体" w:hAnsi="宋体" w:cs="宋体"/>
          <w:b/>
          <w:bCs/>
          <w:color w:val="auto"/>
          <w:sz w:val="24"/>
          <w:highlight w:val="none"/>
        </w:rPr>
      </w:pPr>
      <w:r>
        <w:rPr>
          <w:rFonts w:ascii="宋体" w:hAnsi="宋体" w:cs="宋体"/>
          <w:color w:val="auto"/>
          <w:sz w:val="24"/>
          <w:highlight w:val="none"/>
        </w:rPr>
        <w:br w:type="page"/>
      </w:r>
      <w:r>
        <w:rPr>
          <w:rFonts w:hint="eastAsia" w:ascii="宋体" w:hAnsi="宋体" w:cs="宋体"/>
          <w:b/>
          <w:bCs/>
          <w:color w:val="auto"/>
          <w:sz w:val="24"/>
          <w:highlight w:val="none"/>
        </w:rPr>
        <w:t>一、资格审查文件相关的格式文件及表格</w:t>
      </w:r>
    </w:p>
    <w:p>
      <w:pPr>
        <w:pStyle w:val="62"/>
        <w:spacing w:line="56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1、供应商声明函</w:t>
      </w:r>
    </w:p>
    <w:p>
      <w:pPr>
        <w:spacing w:line="460" w:lineRule="exact"/>
        <w:ind w:firstLine="883"/>
        <w:rPr>
          <w:b/>
          <w:bCs/>
          <w:color w:val="auto"/>
          <w:sz w:val="44"/>
          <w:szCs w:val="44"/>
          <w:highlight w:val="none"/>
        </w:rPr>
      </w:pPr>
    </w:p>
    <w:p>
      <w:pPr>
        <w:spacing w:line="520" w:lineRule="exact"/>
        <w:ind w:firstLine="480" w:firstLineChars="200"/>
        <w:rPr>
          <w:b/>
          <w:bCs/>
          <w:color w:val="auto"/>
          <w:sz w:val="24"/>
          <w:highlight w:val="none"/>
        </w:rPr>
      </w:pPr>
      <w:r>
        <w:rPr>
          <w:bCs/>
          <w:color w:val="auto"/>
          <w:sz w:val="24"/>
          <w:highlight w:val="none"/>
        </w:rPr>
        <w:t>我单位参加</w:t>
      </w:r>
      <w:r>
        <w:rPr>
          <w:bCs/>
          <w:color w:val="auto"/>
          <w:sz w:val="24"/>
          <w:szCs w:val="21"/>
          <w:highlight w:val="none"/>
          <w:u w:val="single"/>
        </w:rPr>
        <w:t>（项目名称）</w:t>
      </w:r>
      <w:r>
        <w:rPr>
          <w:rFonts w:hint="eastAsia"/>
          <w:bCs/>
          <w:color w:val="auto"/>
          <w:sz w:val="24"/>
          <w:szCs w:val="21"/>
          <w:highlight w:val="none"/>
          <w:u w:val="single"/>
          <w:lang w:val="en-US" w:eastAsia="zh-CN"/>
        </w:rPr>
        <w:t xml:space="preserve">       </w:t>
      </w:r>
      <w:r>
        <w:rPr>
          <w:rFonts w:hint="eastAsia"/>
          <w:bCs/>
          <w:color w:val="auto"/>
          <w:sz w:val="24"/>
          <w:szCs w:val="21"/>
          <w:highlight w:val="none"/>
        </w:rPr>
        <w:t>采购</w:t>
      </w:r>
      <w:r>
        <w:rPr>
          <w:bCs/>
          <w:color w:val="auto"/>
          <w:sz w:val="24"/>
          <w:szCs w:val="21"/>
          <w:highlight w:val="none"/>
        </w:rPr>
        <w:t>活动。</w:t>
      </w:r>
      <w:r>
        <w:rPr>
          <w:bCs/>
          <w:color w:val="auto"/>
          <w:sz w:val="24"/>
          <w:highlight w:val="none"/>
        </w:rPr>
        <w:t>我单位</w:t>
      </w:r>
      <w:r>
        <w:rPr>
          <w:bCs/>
          <w:color w:val="auto"/>
          <w:sz w:val="24"/>
          <w:szCs w:val="21"/>
          <w:highlight w:val="none"/>
        </w:rPr>
        <w:t>声明如下：</w:t>
      </w:r>
    </w:p>
    <w:p>
      <w:pPr>
        <w:numPr>
          <w:ilvl w:val="0"/>
          <w:numId w:val="27"/>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我单位具有独立承担民事责任的能力；</w:t>
      </w:r>
    </w:p>
    <w:p>
      <w:pPr>
        <w:numPr>
          <w:ilvl w:val="0"/>
          <w:numId w:val="27"/>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我单位具有良好的商业信誉和健全的财务会计制度；</w:t>
      </w:r>
    </w:p>
    <w:p>
      <w:pPr>
        <w:numPr>
          <w:ilvl w:val="0"/>
          <w:numId w:val="27"/>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 xml:space="preserve">我单位具有履行合同所必需的设备和专业技术能力； </w:t>
      </w:r>
    </w:p>
    <w:p>
      <w:pPr>
        <w:numPr>
          <w:ilvl w:val="0"/>
          <w:numId w:val="27"/>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我单位有依法缴纳税收和社会保障资金的良好记录；</w:t>
      </w:r>
    </w:p>
    <w:p>
      <w:pPr>
        <w:numPr>
          <w:ilvl w:val="0"/>
          <w:numId w:val="27"/>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我单位参加采购活动前三年内，在经营活动中没有重大违法记录；在</w:t>
      </w:r>
      <w:r>
        <w:rPr>
          <w:rFonts w:hint="eastAsia"/>
          <w:color w:val="auto"/>
          <w:kern w:val="0"/>
          <w:sz w:val="24"/>
          <w:highlight w:val="none"/>
        </w:rPr>
        <w:t>递交响应文件</w:t>
      </w:r>
      <w:r>
        <w:rPr>
          <w:color w:val="auto"/>
          <w:kern w:val="0"/>
          <w:sz w:val="24"/>
          <w:highlight w:val="none"/>
          <w:lang w:val="zh-CN"/>
        </w:rPr>
        <w:t>截止时间节点，没有被“信用中国”网站（www.creditchina.gov.cn）列入失信被执行人、重大税收违法案件当事人名单、政府采购严重失信行为记录名单；</w:t>
      </w:r>
    </w:p>
    <w:p>
      <w:pPr>
        <w:numPr>
          <w:ilvl w:val="0"/>
          <w:numId w:val="27"/>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我单位满足法律、行政法规规定的其他条件。</w:t>
      </w:r>
    </w:p>
    <w:p>
      <w:pPr>
        <w:spacing w:line="500" w:lineRule="exact"/>
        <w:ind w:firstLine="480"/>
        <w:rPr>
          <w:color w:val="auto"/>
          <w:sz w:val="24"/>
          <w:highlight w:val="none"/>
        </w:rPr>
      </w:pPr>
    </w:p>
    <w:p>
      <w:pPr>
        <w:spacing w:line="460" w:lineRule="exact"/>
        <w:jc w:val="center"/>
        <w:rPr>
          <w:bCs/>
          <w:color w:val="auto"/>
          <w:sz w:val="24"/>
          <w:szCs w:val="21"/>
          <w:highlight w:val="none"/>
        </w:rPr>
      </w:pPr>
      <w:r>
        <w:rPr>
          <w:bCs/>
          <w:color w:val="auto"/>
          <w:sz w:val="24"/>
          <w:szCs w:val="21"/>
          <w:highlight w:val="none"/>
        </w:rPr>
        <w:t xml:space="preserve">                                     承诺人名称（盖单位公章）：</w:t>
      </w:r>
    </w:p>
    <w:p>
      <w:pPr>
        <w:spacing w:line="460" w:lineRule="exact"/>
        <w:jc w:val="right"/>
        <w:rPr>
          <w:bCs/>
          <w:color w:val="auto"/>
          <w:sz w:val="24"/>
          <w:szCs w:val="21"/>
          <w:highlight w:val="none"/>
        </w:rPr>
      </w:pPr>
    </w:p>
    <w:p>
      <w:pPr>
        <w:spacing w:line="360" w:lineRule="auto"/>
        <w:ind w:firstLine="1320" w:firstLineChars="550"/>
        <w:jc w:val="right"/>
        <w:rPr>
          <w:rFonts w:ascii="宋体" w:hAnsi="宋体" w:cs="宋体"/>
          <w:color w:val="auto"/>
          <w:sz w:val="24"/>
          <w:highlight w:val="none"/>
        </w:rPr>
      </w:pPr>
      <w:r>
        <w:rPr>
          <w:bCs/>
          <w:color w:val="auto"/>
          <w:sz w:val="24"/>
          <w:szCs w:val="21"/>
          <w:highlight w:val="none"/>
        </w:rPr>
        <w:t xml:space="preserve">                              日期：</w:t>
      </w:r>
      <w:r>
        <w:rPr>
          <w:rFonts w:hint="eastAsia"/>
          <w:bCs/>
          <w:color w:val="auto"/>
          <w:sz w:val="24"/>
          <w:szCs w:val="21"/>
          <w:highlight w:val="none"/>
          <w:u w:val="single"/>
          <w:lang w:val="en-US" w:eastAsia="zh-CN"/>
        </w:rPr>
        <w:t xml:space="preserve">    </w:t>
      </w:r>
      <w:r>
        <w:rPr>
          <w:rFonts w:hint="eastAsia"/>
          <w:bCs/>
          <w:color w:val="auto"/>
          <w:sz w:val="24"/>
          <w:szCs w:val="21"/>
          <w:highlight w:val="none"/>
          <w:lang w:val="en-US" w:eastAsia="zh-CN"/>
        </w:rPr>
        <w:t xml:space="preserve"> </w:t>
      </w:r>
      <w:r>
        <w:rPr>
          <w:bCs/>
          <w:color w:val="auto"/>
          <w:sz w:val="24"/>
          <w:szCs w:val="21"/>
          <w:highlight w:val="none"/>
        </w:rPr>
        <w:t>年</w:t>
      </w:r>
      <w:r>
        <w:rPr>
          <w:rFonts w:hint="eastAsia"/>
          <w:bCs/>
          <w:color w:val="auto"/>
          <w:sz w:val="24"/>
          <w:szCs w:val="21"/>
          <w:highlight w:val="none"/>
          <w:u w:val="single"/>
          <w:lang w:val="en-US" w:eastAsia="zh-CN"/>
        </w:rPr>
        <w:t xml:space="preserve">    </w:t>
      </w:r>
      <w:r>
        <w:rPr>
          <w:bCs/>
          <w:color w:val="auto"/>
          <w:sz w:val="24"/>
          <w:szCs w:val="21"/>
          <w:highlight w:val="none"/>
        </w:rPr>
        <w:t>月</w:t>
      </w:r>
      <w:r>
        <w:rPr>
          <w:rFonts w:hint="eastAsia"/>
          <w:bCs/>
          <w:color w:val="auto"/>
          <w:sz w:val="24"/>
          <w:szCs w:val="21"/>
          <w:highlight w:val="none"/>
          <w:u w:val="single"/>
          <w:lang w:val="en-US" w:eastAsia="zh-CN"/>
        </w:rPr>
        <w:t xml:space="preserve">    </w:t>
      </w:r>
      <w:r>
        <w:rPr>
          <w:bCs/>
          <w:color w:val="auto"/>
          <w:sz w:val="24"/>
          <w:szCs w:val="21"/>
          <w:highlight w:val="none"/>
        </w:rPr>
        <w:t>日</w:t>
      </w:r>
    </w:p>
    <w:p>
      <w:pPr>
        <w:spacing w:line="360" w:lineRule="auto"/>
        <w:ind w:firstLine="482"/>
        <w:jc w:val="center"/>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2、法定代表人身份证明</w:t>
      </w:r>
    </w:p>
    <w:p>
      <w:pPr>
        <w:spacing w:line="360" w:lineRule="auto"/>
        <w:jc w:val="center"/>
        <w:rPr>
          <w:rFonts w:ascii="宋体" w:hAnsi="宋体" w:cs="宋体"/>
          <w:color w:val="auto"/>
          <w:sz w:val="24"/>
          <w:highlight w:val="none"/>
        </w:rPr>
      </w:pPr>
    </w:p>
    <w:p>
      <w:pPr>
        <w:adjustRightInd w:val="0"/>
        <w:snapToGrid w:val="0"/>
        <w:spacing w:line="360" w:lineRule="auto"/>
        <w:jc w:val="left"/>
        <w:rPr>
          <w:rFonts w:ascii="宋体" w:hAnsi="宋体" w:cs="宋体"/>
          <w:color w:val="auto"/>
          <w:sz w:val="24"/>
          <w:highlight w:val="none"/>
          <w:u w:val="single"/>
        </w:rPr>
      </w:pPr>
    </w:p>
    <w:p>
      <w:pPr>
        <w:adjustRightInd w:val="0"/>
        <w:snapToGrid w:val="0"/>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我公司法定代表人</w:t>
      </w:r>
      <w:r>
        <w:rPr>
          <w:rFonts w:hint="eastAsia" w:ascii="宋体" w:hAnsi="宋体" w:cs="宋体"/>
          <w:color w:val="auto"/>
          <w:sz w:val="24"/>
          <w:highlight w:val="none"/>
          <w:u w:val="single"/>
        </w:rPr>
        <w:t>　（姓名）</w:t>
      </w:r>
      <w:r>
        <w:rPr>
          <w:rFonts w:hint="eastAsia" w:ascii="宋体" w:hAnsi="宋体" w:cs="宋体"/>
          <w:color w:val="auto"/>
          <w:sz w:val="24"/>
          <w:highlight w:val="none"/>
        </w:rPr>
        <w:t>参加贵单位组织的</w:t>
      </w:r>
      <w:r>
        <w:rPr>
          <w:rFonts w:hint="eastAsia" w:ascii="宋体" w:hAnsi="宋体" w:cs="宋体"/>
          <w:color w:val="auto"/>
          <w:sz w:val="24"/>
          <w:highlight w:val="none"/>
          <w:u w:val="single"/>
        </w:rPr>
        <w:t>（竞争性磋商项目名称及项目编号）</w:t>
      </w:r>
      <w:r>
        <w:rPr>
          <w:rFonts w:hint="eastAsia" w:ascii="宋体" w:hAnsi="宋体" w:cs="宋体"/>
          <w:color w:val="auto"/>
          <w:sz w:val="24"/>
          <w:highlight w:val="none"/>
        </w:rPr>
        <w:t>项目的磋商活动，全权代表我公司处理竞争性磋商的有关事宜。</w:t>
      </w:r>
    </w:p>
    <w:p>
      <w:pPr>
        <w:spacing w:line="360" w:lineRule="auto"/>
        <w:ind w:firstLine="480" w:firstLineChars="200"/>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附：法定代表人情况：</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手机：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pPr>
        <w:adjustRightInd w:val="0"/>
        <w:snapToGrid w:val="0"/>
        <w:spacing w:line="360" w:lineRule="auto"/>
        <w:ind w:firstLine="480"/>
        <w:rPr>
          <w:color w:val="auto"/>
          <w:kern w:val="0"/>
          <w:sz w:val="24"/>
          <w:szCs w:val="20"/>
          <w:highlight w:val="none"/>
          <w:shd w:val="clear" w:color="auto" w:fill="FFFFFF"/>
        </w:rPr>
      </w:pPr>
    </w:p>
    <w:p>
      <w:pPr>
        <w:rPr>
          <w:rFonts w:ascii="宋体" w:hAnsi="宋体" w:cs="宋体"/>
          <w:color w:val="auto"/>
          <w:sz w:val="24"/>
          <w:highlight w:val="none"/>
        </w:rPr>
      </w:pPr>
    </w:p>
    <w:p>
      <w:pPr>
        <w:widowControl/>
        <w:tabs>
          <w:tab w:val="right" w:leader="hyphen" w:pos="9736"/>
        </w:tabs>
        <w:spacing w:after="100" w:line="276" w:lineRule="auto"/>
        <w:ind w:firstLine="440"/>
        <w:jc w:val="center"/>
        <w:rPr>
          <w:rFonts w:ascii="Calibri" w:hAnsi="Calibri"/>
          <w:color w:val="auto"/>
          <w:kern w:val="0"/>
          <w:sz w:val="22"/>
          <w:szCs w:val="22"/>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法定代表人身份证复印件（正反面）</w:t>
      </w:r>
    </w:p>
    <w:p>
      <w:pPr>
        <w:spacing w:line="360" w:lineRule="auto"/>
        <w:rPr>
          <w:rFonts w:ascii="宋体" w:hAnsi="宋体" w:cs="宋体"/>
          <w:color w:val="auto"/>
          <w:sz w:val="24"/>
          <w:highlight w:val="none"/>
        </w:rPr>
      </w:pPr>
    </w:p>
    <w:p>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pPr>
        <w:spacing w:line="360" w:lineRule="auto"/>
        <w:ind w:firstLine="2289" w:firstLineChars="950"/>
        <w:rPr>
          <w:rFonts w:ascii="宋体" w:hAnsi="宋体" w:cs="宋体"/>
          <w:b/>
          <w:bCs/>
          <w:color w:val="auto"/>
          <w:sz w:val="24"/>
          <w:highlight w:val="none"/>
        </w:rPr>
      </w:pPr>
    </w:p>
    <w:p>
      <w:pPr>
        <w:spacing w:line="360" w:lineRule="auto"/>
        <w:ind w:firstLine="2289" w:firstLineChars="950"/>
        <w:rPr>
          <w:rFonts w:ascii="宋体" w:hAnsi="宋体" w:cs="宋体"/>
          <w:b/>
          <w:bCs/>
          <w:color w:val="auto"/>
          <w:sz w:val="24"/>
          <w:highlight w:val="none"/>
        </w:rPr>
      </w:pPr>
    </w:p>
    <w:p>
      <w:pPr>
        <w:spacing w:line="360" w:lineRule="auto"/>
        <w:ind w:firstLine="482"/>
        <w:jc w:val="center"/>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3、授权委托书</w:t>
      </w:r>
    </w:p>
    <w:p>
      <w:pPr>
        <w:snapToGrid w:val="0"/>
        <w:spacing w:line="360" w:lineRule="auto"/>
        <w:jc w:val="center"/>
        <w:rPr>
          <w:rFonts w:ascii="宋体" w:hAnsi="宋体" w:cs="宋体"/>
          <w:color w:val="auto"/>
          <w:sz w:val="24"/>
          <w:highlight w:val="none"/>
          <w:u w:val="single"/>
        </w:rPr>
      </w:pPr>
    </w:p>
    <w:p>
      <w:pPr>
        <w:snapToGrid w:val="0"/>
        <w:spacing w:line="360" w:lineRule="auto"/>
        <w:rPr>
          <w:rFonts w:ascii="宋体" w:hAnsi="宋体" w:cs="宋体"/>
          <w:bCs/>
          <w:color w:val="auto"/>
          <w:sz w:val="24"/>
          <w:highlight w:val="none"/>
        </w:rPr>
      </w:pPr>
    </w:p>
    <w:p>
      <w:pPr>
        <w:adjustRightInd w:val="0"/>
        <w:snapToGrid w:val="0"/>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pPr>
        <w:snapToGrid w:val="0"/>
        <w:spacing w:line="360" w:lineRule="auto"/>
        <w:ind w:firstLine="480" w:firstLineChars="200"/>
        <w:rPr>
          <w:rFonts w:ascii="宋体" w:hAnsi="宋体" w:cs="宋体"/>
          <w:color w:val="auto"/>
          <w:sz w:val="24"/>
          <w:highlight w:val="none"/>
        </w:rPr>
      </w:pPr>
      <w:r>
        <w:rPr>
          <w:rFonts w:hint="eastAsia" w:hAnsi="宋体" w:cs="宋体"/>
          <w:color w:val="auto"/>
          <w:sz w:val="24"/>
          <w:highlight w:val="none"/>
        </w:rPr>
        <w:t>兹授权</w:t>
      </w:r>
      <w:r>
        <w:rPr>
          <w:rFonts w:hint="eastAsia" w:hAnsi="宋体" w:cs="宋体"/>
          <w:color w:val="auto"/>
          <w:sz w:val="24"/>
          <w:highlight w:val="none"/>
          <w:u w:val="single"/>
        </w:rPr>
        <w:t xml:space="preserve">    （</w:t>
      </w:r>
      <w:r>
        <w:rPr>
          <w:rFonts w:hint="eastAsia" w:hAnsi="宋体" w:cs="宋体"/>
          <w:color w:val="auto"/>
          <w:sz w:val="24"/>
          <w:highlight w:val="none"/>
        </w:rPr>
        <w:t>被授权人的姓名）代表我公司参加</w:t>
      </w:r>
      <w:r>
        <w:rPr>
          <w:rFonts w:hint="eastAsia" w:hAnsi="宋体" w:cs="宋体"/>
          <w:color w:val="auto"/>
          <w:sz w:val="24"/>
          <w:highlight w:val="none"/>
          <w:u w:val="single"/>
        </w:rPr>
        <w:t xml:space="preserve">   （</w:t>
      </w:r>
      <w:r>
        <w:rPr>
          <w:rFonts w:hint="eastAsia" w:ascii="宋体" w:hAnsi="宋体" w:cs="宋体"/>
          <w:color w:val="auto"/>
          <w:sz w:val="24"/>
          <w:highlight w:val="none"/>
          <w:u w:val="single"/>
        </w:rPr>
        <w:t>竞争性磋商项目名称及项目编号）</w:t>
      </w:r>
      <w:r>
        <w:rPr>
          <w:rFonts w:hint="eastAsia" w:hAnsi="宋体" w:cs="宋体"/>
          <w:color w:val="auto"/>
          <w:sz w:val="24"/>
          <w:highlight w:val="none"/>
        </w:rPr>
        <w:t>项目的采购活动，全权处理一切与该采购项目有关的事务。其在办理上述事宜过程中所签署的所有文件我公司均予以承认。</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被授权人无转委托权，特此委托。</w:t>
      </w:r>
    </w:p>
    <w:p>
      <w:pPr>
        <w:adjustRightInd w:val="0"/>
        <w:snapToGrid w:val="0"/>
        <w:spacing w:line="360" w:lineRule="auto"/>
        <w:ind w:firstLine="480" w:firstLineChars="200"/>
        <w:jc w:val="left"/>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附：被授权人情况：</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手机：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法定代表人身份证复印件（正反面）</w:t>
      </w:r>
    </w:p>
    <w:p>
      <w:pPr>
        <w:spacing w:line="360" w:lineRule="auto"/>
        <w:rPr>
          <w:rFonts w:ascii="宋体" w:hAnsi="宋体" w:cs="宋体"/>
          <w:color w:val="auto"/>
          <w:sz w:val="24"/>
          <w:highlight w:val="none"/>
        </w:rPr>
      </w:pPr>
    </w:p>
    <w:p>
      <w:pPr>
        <w:spacing w:line="360" w:lineRule="auto"/>
        <w:ind w:firstLine="2160" w:firstLineChars="900"/>
        <w:rPr>
          <w:rFonts w:ascii="宋体" w:hAnsi="宋体" w:cs="宋体"/>
          <w:color w:val="auto"/>
          <w:sz w:val="24"/>
          <w:highlight w:val="none"/>
        </w:rPr>
      </w:pPr>
      <w:r>
        <w:rPr>
          <w:rFonts w:hint="eastAsia" w:ascii="宋体" w:hAnsi="宋体" w:cs="宋体"/>
          <w:color w:val="auto"/>
          <w:sz w:val="24"/>
          <w:highlight w:val="none"/>
        </w:rPr>
        <w:t>（粘贴此处）</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被授权人身份证复印件（正反面）</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pPr>
        <w:spacing w:line="360" w:lineRule="auto"/>
        <w:ind w:firstLine="2289" w:firstLineChars="950"/>
        <w:rPr>
          <w:rFonts w:ascii="宋体" w:hAnsi="宋体" w:cs="宋体"/>
          <w:b/>
          <w:bCs/>
          <w:color w:val="auto"/>
          <w:sz w:val="24"/>
          <w:highlight w:val="none"/>
        </w:rPr>
      </w:pPr>
    </w:p>
    <w:p>
      <w:pPr>
        <w:spacing w:line="360" w:lineRule="auto"/>
        <w:ind w:firstLine="482"/>
        <w:jc w:val="center"/>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4、供应商信用承诺书</w:t>
      </w:r>
    </w:p>
    <w:p>
      <w:pPr>
        <w:spacing w:line="360" w:lineRule="auto"/>
        <w:ind w:firstLine="480" w:firstLineChars="200"/>
        <w:rPr>
          <w:color w:val="auto"/>
          <w:kern w:val="0"/>
          <w:sz w:val="24"/>
          <w:highlight w:val="none"/>
          <w:lang w:val="zh-CN"/>
        </w:rPr>
      </w:pPr>
      <w:r>
        <w:rPr>
          <w:color w:val="auto"/>
          <w:kern w:val="0"/>
          <w:sz w:val="24"/>
          <w:highlight w:val="none"/>
          <w:lang w:val="zh-CN"/>
        </w:rPr>
        <w:t>为营造公开、公平、公正的采购环境，树立诚信守法的</w:t>
      </w:r>
      <w:r>
        <w:rPr>
          <w:rFonts w:hint="eastAsia"/>
          <w:color w:val="auto"/>
          <w:kern w:val="0"/>
          <w:sz w:val="24"/>
          <w:highlight w:val="none"/>
        </w:rPr>
        <w:t>供应商</w:t>
      </w:r>
      <w:r>
        <w:rPr>
          <w:color w:val="auto"/>
          <w:kern w:val="0"/>
          <w:sz w:val="24"/>
          <w:highlight w:val="none"/>
          <w:lang w:val="zh-CN"/>
        </w:rPr>
        <w:t>形象，本人代表本单位作出以下承诺：</w:t>
      </w:r>
    </w:p>
    <w:p>
      <w:pPr>
        <w:spacing w:line="360" w:lineRule="auto"/>
        <w:ind w:firstLine="480" w:firstLineChars="200"/>
        <w:rPr>
          <w:color w:val="auto"/>
          <w:kern w:val="0"/>
          <w:sz w:val="24"/>
          <w:highlight w:val="none"/>
          <w:lang w:val="zh-CN"/>
        </w:rPr>
      </w:pPr>
      <w:r>
        <w:rPr>
          <w:color w:val="auto"/>
          <w:kern w:val="0"/>
          <w:sz w:val="24"/>
          <w:highlight w:val="none"/>
          <w:lang w:val="zh-CN"/>
        </w:rPr>
        <w:t>一、本单位对所提交的单位基本信息、单位负责人、从业资质和资格、业绩、财务状况、信誉等所有资料，均合法、真实、准确、有效，无任何伪造、修改、虚假成分；</w:t>
      </w:r>
    </w:p>
    <w:p>
      <w:pPr>
        <w:spacing w:line="360" w:lineRule="auto"/>
        <w:ind w:firstLine="480" w:firstLineChars="200"/>
        <w:rPr>
          <w:color w:val="auto"/>
          <w:kern w:val="0"/>
          <w:sz w:val="24"/>
          <w:highlight w:val="none"/>
          <w:lang w:val="zh-CN"/>
        </w:rPr>
      </w:pPr>
      <w:r>
        <w:rPr>
          <w:color w:val="auto"/>
          <w:kern w:val="0"/>
          <w:sz w:val="24"/>
          <w:highlight w:val="none"/>
          <w:lang w:val="zh-CN"/>
        </w:rPr>
        <w:t>二、严格依照国家和省、市、县关于</w:t>
      </w:r>
      <w:r>
        <w:rPr>
          <w:rFonts w:hint="eastAsia"/>
          <w:color w:val="auto"/>
          <w:kern w:val="0"/>
          <w:sz w:val="24"/>
          <w:highlight w:val="none"/>
        </w:rPr>
        <w:t>招标投标（采购）</w:t>
      </w:r>
      <w:r>
        <w:rPr>
          <w:color w:val="auto"/>
          <w:kern w:val="0"/>
          <w:sz w:val="24"/>
          <w:highlight w:val="none"/>
          <w:lang w:val="zh-CN"/>
        </w:rPr>
        <w:t>等方面的</w:t>
      </w:r>
      <w:r>
        <w:rPr>
          <w:rFonts w:hint="eastAsia"/>
          <w:color w:val="auto"/>
          <w:kern w:val="0"/>
          <w:sz w:val="24"/>
          <w:highlight w:val="none"/>
          <w:lang w:val="zh-CN"/>
        </w:rPr>
        <w:t>法律法规</w:t>
      </w:r>
      <w:r>
        <w:rPr>
          <w:color w:val="auto"/>
          <w:kern w:val="0"/>
          <w:sz w:val="24"/>
          <w:highlight w:val="none"/>
          <w:lang w:val="zh-CN"/>
        </w:rPr>
        <w:t>、规章、规范性文件，参加本项目的</w:t>
      </w:r>
      <w:r>
        <w:rPr>
          <w:rFonts w:hint="eastAsia"/>
          <w:color w:val="auto"/>
          <w:kern w:val="0"/>
          <w:sz w:val="24"/>
          <w:highlight w:val="none"/>
        </w:rPr>
        <w:t>采购</w:t>
      </w:r>
      <w:r>
        <w:rPr>
          <w:color w:val="auto"/>
          <w:kern w:val="0"/>
          <w:sz w:val="24"/>
          <w:highlight w:val="none"/>
          <w:lang w:val="zh-CN"/>
        </w:rPr>
        <w:t>活动；积极履行社会责任，促进廉政建设；</w:t>
      </w:r>
    </w:p>
    <w:p>
      <w:pPr>
        <w:spacing w:line="360" w:lineRule="auto"/>
        <w:ind w:firstLine="480" w:firstLineChars="200"/>
        <w:rPr>
          <w:color w:val="auto"/>
          <w:kern w:val="0"/>
          <w:sz w:val="24"/>
          <w:highlight w:val="none"/>
          <w:lang w:val="zh-CN"/>
        </w:rPr>
      </w:pPr>
      <w:r>
        <w:rPr>
          <w:color w:val="auto"/>
          <w:kern w:val="0"/>
          <w:sz w:val="24"/>
          <w:highlight w:val="none"/>
          <w:lang w:val="zh-CN"/>
        </w:rPr>
        <w:t>三、自我约束、自我管理，守合同、重信用，不参与围标串标、弄虚作假、骗取</w:t>
      </w:r>
      <w:r>
        <w:rPr>
          <w:rFonts w:hint="eastAsia"/>
          <w:color w:val="auto"/>
          <w:kern w:val="0"/>
          <w:sz w:val="24"/>
          <w:highlight w:val="none"/>
          <w:lang w:val="zh-CN"/>
        </w:rPr>
        <w:t>成交</w:t>
      </w:r>
      <w:r>
        <w:rPr>
          <w:color w:val="auto"/>
          <w:kern w:val="0"/>
          <w:sz w:val="24"/>
          <w:highlight w:val="none"/>
          <w:lang w:val="zh-CN"/>
        </w:rPr>
        <w:t>、干扰评标、违约毁约、恶意投诉等行为，主动维护采购人</w:t>
      </w:r>
      <w:r>
        <w:rPr>
          <w:rFonts w:hint="eastAsia"/>
          <w:color w:val="auto"/>
          <w:kern w:val="0"/>
          <w:sz w:val="24"/>
          <w:highlight w:val="none"/>
        </w:rPr>
        <w:t>采购活动</w:t>
      </w:r>
      <w:r>
        <w:rPr>
          <w:color w:val="auto"/>
          <w:kern w:val="0"/>
          <w:sz w:val="24"/>
          <w:highlight w:val="none"/>
          <w:lang w:val="zh-CN"/>
        </w:rPr>
        <w:t>的良好秩序；</w:t>
      </w:r>
    </w:p>
    <w:p>
      <w:pPr>
        <w:spacing w:line="360" w:lineRule="auto"/>
        <w:ind w:firstLine="480" w:firstLineChars="200"/>
        <w:rPr>
          <w:color w:val="auto"/>
          <w:kern w:val="0"/>
          <w:sz w:val="24"/>
          <w:highlight w:val="none"/>
          <w:lang w:val="zh-CN"/>
        </w:rPr>
      </w:pPr>
      <w:r>
        <w:rPr>
          <w:color w:val="auto"/>
          <w:kern w:val="0"/>
          <w:sz w:val="24"/>
          <w:highlight w:val="none"/>
          <w:lang w:val="zh-CN"/>
        </w:rPr>
        <w:t>四、本单位自愿接受</w:t>
      </w:r>
      <w:r>
        <w:rPr>
          <w:rFonts w:hint="eastAsia"/>
          <w:color w:val="auto"/>
          <w:kern w:val="0"/>
          <w:sz w:val="24"/>
          <w:highlight w:val="none"/>
        </w:rPr>
        <w:t>采购</w:t>
      </w:r>
      <w:r>
        <w:rPr>
          <w:color w:val="auto"/>
          <w:kern w:val="0"/>
          <w:sz w:val="24"/>
          <w:highlight w:val="none"/>
          <w:lang w:val="zh-CN"/>
        </w:rPr>
        <w:t>有关行政监督部门的依法检查。如发生违法违规或不良行为或存在其他法律法规对招标投标</w:t>
      </w:r>
      <w:r>
        <w:rPr>
          <w:rFonts w:hint="eastAsia"/>
          <w:color w:val="auto"/>
          <w:kern w:val="0"/>
          <w:sz w:val="24"/>
          <w:highlight w:val="none"/>
          <w:lang w:val="zh-CN"/>
        </w:rPr>
        <w:t>（</w:t>
      </w:r>
      <w:r>
        <w:rPr>
          <w:rFonts w:hint="eastAsia"/>
          <w:color w:val="auto"/>
          <w:kern w:val="0"/>
          <w:sz w:val="24"/>
          <w:highlight w:val="none"/>
        </w:rPr>
        <w:t>采购活动</w:t>
      </w:r>
      <w:r>
        <w:rPr>
          <w:rFonts w:hint="eastAsia"/>
          <w:color w:val="auto"/>
          <w:kern w:val="0"/>
          <w:sz w:val="24"/>
          <w:highlight w:val="none"/>
          <w:lang w:val="zh-CN"/>
        </w:rPr>
        <w:t>）</w:t>
      </w:r>
      <w:r>
        <w:rPr>
          <w:color w:val="auto"/>
          <w:kern w:val="0"/>
          <w:sz w:val="24"/>
          <w:highlight w:val="none"/>
          <w:lang w:val="zh-CN"/>
        </w:rPr>
        <w:t>行为予以限制的情形，自愿接受招标投标</w:t>
      </w:r>
      <w:r>
        <w:rPr>
          <w:rFonts w:hint="eastAsia"/>
          <w:color w:val="auto"/>
          <w:kern w:val="0"/>
          <w:sz w:val="24"/>
          <w:highlight w:val="none"/>
          <w:lang w:val="zh-CN"/>
        </w:rPr>
        <w:t>（</w:t>
      </w:r>
      <w:r>
        <w:rPr>
          <w:rFonts w:hint="eastAsia"/>
          <w:color w:val="auto"/>
          <w:kern w:val="0"/>
          <w:sz w:val="24"/>
          <w:highlight w:val="none"/>
        </w:rPr>
        <w:t>采购</w:t>
      </w:r>
      <w:r>
        <w:rPr>
          <w:rFonts w:hint="eastAsia"/>
          <w:color w:val="auto"/>
          <w:kern w:val="0"/>
          <w:sz w:val="24"/>
          <w:highlight w:val="none"/>
          <w:lang w:val="zh-CN"/>
        </w:rPr>
        <w:t>）</w:t>
      </w:r>
      <w:r>
        <w:rPr>
          <w:color w:val="auto"/>
          <w:kern w:val="0"/>
          <w:sz w:val="24"/>
          <w:highlight w:val="none"/>
          <w:lang w:val="zh-CN"/>
        </w:rPr>
        <w:t>有关行政监督部门依法给予的行政处罚（处理），并依法承担相应的法律责任；</w:t>
      </w:r>
    </w:p>
    <w:p>
      <w:pPr>
        <w:spacing w:line="360" w:lineRule="auto"/>
        <w:ind w:firstLine="480" w:firstLineChars="200"/>
        <w:rPr>
          <w:color w:val="auto"/>
          <w:kern w:val="0"/>
          <w:sz w:val="24"/>
          <w:highlight w:val="none"/>
          <w:lang w:val="zh-CN"/>
        </w:rPr>
      </w:pPr>
      <w:r>
        <w:rPr>
          <w:color w:val="auto"/>
          <w:kern w:val="0"/>
          <w:sz w:val="24"/>
          <w:highlight w:val="none"/>
          <w:lang w:val="zh-CN"/>
        </w:rPr>
        <w:t>五、自觉接受</w:t>
      </w:r>
      <w:r>
        <w:rPr>
          <w:color w:val="auto"/>
          <w:kern w:val="0"/>
          <w:sz w:val="24"/>
          <w:highlight w:val="none"/>
        </w:rPr>
        <w:t>相关</w:t>
      </w:r>
      <w:r>
        <w:rPr>
          <w:color w:val="auto"/>
          <w:kern w:val="0"/>
          <w:sz w:val="24"/>
          <w:highlight w:val="none"/>
          <w:lang w:val="zh-CN"/>
        </w:rPr>
        <w:t>部门、行业组织、社会公众、新闻舆论等监督；</w:t>
      </w:r>
    </w:p>
    <w:p>
      <w:pPr>
        <w:spacing w:line="360" w:lineRule="auto"/>
        <w:ind w:firstLine="480" w:firstLineChars="200"/>
        <w:rPr>
          <w:color w:val="auto"/>
          <w:kern w:val="0"/>
          <w:sz w:val="24"/>
          <w:highlight w:val="none"/>
          <w:lang w:val="zh-CN"/>
        </w:rPr>
      </w:pPr>
      <w:r>
        <w:rPr>
          <w:color w:val="auto"/>
          <w:kern w:val="0"/>
          <w:sz w:val="24"/>
          <w:highlight w:val="none"/>
          <w:lang w:val="zh-CN"/>
        </w:rPr>
        <w:t>六、上述承诺已向本单位员工</w:t>
      </w:r>
      <w:r>
        <w:rPr>
          <w:rFonts w:hint="eastAsia"/>
          <w:color w:val="auto"/>
          <w:kern w:val="0"/>
          <w:sz w:val="24"/>
          <w:highlight w:val="none"/>
          <w:lang w:val="zh-CN"/>
        </w:rPr>
        <w:t>做</w:t>
      </w:r>
      <w:r>
        <w:rPr>
          <w:color w:val="auto"/>
          <w:kern w:val="0"/>
          <w:sz w:val="24"/>
          <w:highlight w:val="none"/>
          <w:lang w:val="zh-CN"/>
        </w:rPr>
        <w:t>了宣传教育；</w:t>
      </w:r>
    </w:p>
    <w:p>
      <w:pPr>
        <w:spacing w:line="360" w:lineRule="auto"/>
        <w:ind w:firstLine="482" w:firstLineChars="200"/>
        <w:rPr>
          <w:b/>
          <w:color w:val="auto"/>
          <w:kern w:val="0"/>
          <w:sz w:val="24"/>
          <w:highlight w:val="none"/>
          <w:lang w:val="zh-CN"/>
        </w:rPr>
      </w:pPr>
      <w:r>
        <w:rPr>
          <w:b/>
          <w:color w:val="auto"/>
          <w:kern w:val="0"/>
          <w:sz w:val="24"/>
          <w:highlight w:val="none"/>
          <w:lang w:val="zh-CN"/>
        </w:rPr>
        <w:t>如有违反上述承诺的不良行为，本单位同意将其予以上网公示。</w:t>
      </w:r>
    </w:p>
    <w:p>
      <w:pPr>
        <w:spacing w:line="360" w:lineRule="auto"/>
        <w:rPr>
          <w:color w:val="auto"/>
          <w:kern w:val="0"/>
          <w:sz w:val="24"/>
          <w:highlight w:val="none"/>
          <w:lang w:val="zh-CN"/>
        </w:rPr>
      </w:pPr>
    </w:p>
    <w:p>
      <w:pPr>
        <w:spacing w:line="360" w:lineRule="auto"/>
        <w:ind w:firstLine="4560" w:firstLineChars="1900"/>
        <w:rPr>
          <w:color w:val="auto"/>
          <w:kern w:val="0"/>
          <w:sz w:val="24"/>
          <w:highlight w:val="none"/>
          <w:lang w:val="zh-CN"/>
        </w:rPr>
      </w:pPr>
    </w:p>
    <w:p>
      <w:pPr>
        <w:spacing w:line="360" w:lineRule="auto"/>
        <w:jc w:val="center"/>
        <w:rPr>
          <w:color w:val="auto"/>
          <w:kern w:val="0"/>
          <w:sz w:val="24"/>
          <w:highlight w:val="none"/>
          <w:lang w:val="zh-CN"/>
        </w:rPr>
      </w:pPr>
      <w:r>
        <w:rPr>
          <w:rFonts w:hint="eastAsia"/>
          <w:color w:val="auto"/>
          <w:sz w:val="24"/>
          <w:highlight w:val="none"/>
        </w:rPr>
        <w:t>供应商</w:t>
      </w:r>
      <w:r>
        <w:rPr>
          <w:bCs/>
          <w:color w:val="auto"/>
          <w:sz w:val="24"/>
          <w:szCs w:val="21"/>
          <w:highlight w:val="none"/>
        </w:rPr>
        <w:t>（盖单位公章）</w:t>
      </w:r>
      <w:r>
        <w:rPr>
          <w:color w:val="auto"/>
          <w:sz w:val="24"/>
          <w:highlight w:val="none"/>
        </w:rPr>
        <w:t>：</w:t>
      </w:r>
    </w:p>
    <w:p>
      <w:pPr>
        <w:spacing w:line="360" w:lineRule="auto"/>
        <w:jc w:val="center"/>
        <w:rPr>
          <w:color w:val="auto"/>
          <w:sz w:val="24"/>
          <w:highlight w:val="none"/>
          <w:u w:val="single"/>
          <w:lang w:val="zh-CN"/>
        </w:rPr>
      </w:pPr>
      <w:r>
        <w:rPr>
          <w:color w:val="auto"/>
          <w:kern w:val="0"/>
          <w:sz w:val="24"/>
          <w:highlight w:val="none"/>
          <w:lang w:val="zh-CN"/>
        </w:rPr>
        <w:t>法定代表人或</w:t>
      </w:r>
      <w:r>
        <w:rPr>
          <w:color w:val="auto"/>
          <w:kern w:val="0"/>
          <w:sz w:val="24"/>
          <w:highlight w:val="none"/>
        </w:rPr>
        <w:t>其委托代理人</w:t>
      </w:r>
      <w:r>
        <w:rPr>
          <w:color w:val="auto"/>
          <w:kern w:val="0"/>
          <w:sz w:val="24"/>
          <w:highlight w:val="none"/>
          <w:lang w:val="zh-CN"/>
        </w:rPr>
        <w:t>（签字或盖章）：</w:t>
      </w:r>
    </w:p>
    <w:p>
      <w:pPr>
        <w:wordWrap w:val="0"/>
        <w:snapToGrid w:val="0"/>
        <w:spacing w:line="460" w:lineRule="exact"/>
        <w:jc w:val="right"/>
        <w:rPr>
          <w:rFonts w:ascii="宋体" w:hAnsi="宋体"/>
          <w:bCs/>
          <w:color w:val="auto"/>
          <w:sz w:val="24"/>
          <w:highlight w:val="none"/>
        </w:rPr>
      </w:pPr>
      <w:r>
        <w:rPr>
          <w:color w:val="auto"/>
          <w:kern w:val="0"/>
          <w:sz w:val="24"/>
          <w:highlight w:val="none"/>
          <w:lang w:val="zh-CN"/>
        </w:rPr>
        <w:t xml:space="preserve">  年  月   日</w:t>
      </w:r>
    </w:p>
    <w:p>
      <w:pPr>
        <w:spacing w:line="360" w:lineRule="auto"/>
        <w:ind w:firstLine="482"/>
        <w:jc w:val="left"/>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二、商务技术文件相关的格式文件及表格</w:t>
      </w:r>
    </w:p>
    <w:p>
      <w:pPr>
        <w:spacing w:line="440" w:lineRule="exact"/>
        <w:ind w:firstLine="482"/>
        <w:jc w:val="center"/>
        <w:rPr>
          <w:rFonts w:ascii="宋体" w:hAnsi="宋体" w:cs="宋体"/>
          <w:b/>
          <w:bCs/>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rPr>
        <w:t>、竞争性磋商响应函</w:t>
      </w:r>
    </w:p>
    <w:p>
      <w:pPr>
        <w:spacing w:line="440" w:lineRule="exact"/>
        <w:rPr>
          <w:rFonts w:ascii="宋体" w:hAnsi="宋体" w:cs="宋体"/>
          <w:color w:val="auto"/>
          <w:sz w:val="24"/>
          <w:highlight w:val="none"/>
        </w:rPr>
      </w:pPr>
      <w:r>
        <w:rPr>
          <w:rFonts w:hint="eastAsia" w:ascii="宋体" w:hAnsi="宋体" w:cs="宋体"/>
          <w:color w:val="auto"/>
          <w:sz w:val="24"/>
          <w:highlight w:val="none"/>
          <w:u w:val="single"/>
        </w:rPr>
        <w:t>致    （采购人）    ：</w:t>
      </w:r>
    </w:p>
    <w:p>
      <w:pPr>
        <w:pStyle w:val="19"/>
        <w:shd w:val="clear" w:color="auto" w:fill="FFFFFF"/>
        <w:wordWrap w:val="0"/>
        <w:spacing w:before="0" w:beforeAutospacing="0" w:after="0" w:afterAutospacing="0" w:line="44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根据贵方的</w:t>
      </w:r>
      <w:r>
        <w:rPr>
          <w:rFonts w:hint="eastAsia" w:ascii="Times New Roman" w:hAnsi="Times New Roman" w:cs="Times New Roman"/>
          <w:color w:val="auto"/>
          <w:highlight w:val="none"/>
          <w:u w:val="single"/>
        </w:rPr>
        <w:t>（竞争性磋商项目名称和项目编号）</w:t>
      </w:r>
      <w:r>
        <w:rPr>
          <w:rFonts w:ascii="Times New Roman" w:hAnsi="Times New Roman" w:cs="Times New Roman"/>
          <w:color w:val="auto"/>
          <w:highlight w:val="none"/>
        </w:rPr>
        <w:t>磋商文件，正式授权下述签字人</w:t>
      </w:r>
      <w:r>
        <w:rPr>
          <w:rFonts w:hint="eastAsia" w:ascii="Times New Roman" w:hAnsi="Times New Roman" w:cs="Times New Roman"/>
          <w:color w:val="auto"/>
          <w:highlight w:val="none"/>
          <w:u w:val="single"/>
        </w:rPr>
        <w:t>（</w:t>
      </w:r>
      <w:r>
        <w:rPr>
          <w:rFonts w:ascii="Times New Roman" w:hAnsi="Times New Roman" w:cs="Times New Roman"/>
          <w:color w:val="auto"/>
          <w:highlight w:val="none"/>
          <w:u w:val="single"/>
        </w:rPr>
        <w:t>姓名和职务</w:t>
      </w:r>
      <w:r>
        <w:rPr>
          <w:rFonts w:hint="eastAsia" w:ascii="Times New Roman" w:hAnsi="Times New Roman" w:cs="Times New Roman"/>
          <w:color w:val="auto"/>
          <w:highlight w:val="none"/>
          <w:u w:val="single"/>
        </w:rPr>
        <w:t>）</w:t>
      </w:r>
      <w:r>
        <w:rPr>
          <w:rFonts w:ascii="Times New Roman" w:hAnsi="Times New Roman" w:cs="Times New Roman"/>
          <w:color w:val="auto"/>
          <w:highlight w:val="none"/>
        </w:rPr>
        <w:t>代表我方</w:t>
      </w:r>
      <w:r>
        <w:rPr>
          <w:rFonts w:ascii="Times New Roman" w:hAnsi="Times New Roman" w:cs="Times New Roman"/>
          <w:color w:val="auto"/>
          <w:highlight w:val="none"/>
          <w:u w:val="single"/>
        </w:rPr>
        <w:t xml:space="preserve">         （供应商的名称）</w:t>
      </w:r>
      <w:r>
        <w:rPr>
          <w:rFonts w:ascii="Times New Roman" w:hAnsi="Times New Roman" w:cs="Times New Roman"/>
          <w:color w:val="auto"/>
          <w:highlight w:val="none"/>
        </w:rPr>
        <w:t>，全权处理本次项目磋商采购的有关事宜。</w:t>
      </w:r>
    </w:p>
    <w:p>
      <w:pPr>
        <w:pStyle w:val="19"/>
        <w:shd w:val="clear" w:color="auto" w:fill="FFFFFF"/>
        <w:wordWrap w:val="0"/>
        <w:spacing w:before="0" w:beforeAutospacing="0" w:after="0" w:afterAutospacing="0" w:line="44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据此函，</w:t>
      </w:r>
      <w:r>
        <w:rPr>
          <w:rFonts w:ascii="Times New Roman" w:hAnsi="Times New Roman" w:cs="Times New Roman"/>
          <w:color w:val="auto"/>
          <w:highlight w:val="none"/>
          <w:u w:val="single"/>
        </w:rPr>
        <w:t xml:space="preserve">       （签字人</w:t>
      </w:r>
      <w:r>
        <w:rPr>
          <w:rFonts w:hint="eastAsia" w:ascii="Times New Roman" w:hAnsi="Times New Roman" w:cs="Times New Roman"/>
          <w:color w:val="auto"/>
          <w:highlight w:val="none"/>
          <w:u w:val="single"/>
        </w:rPr>
        <w:t>姓名</w:t>
      </w:r>
      <w:r>
        <w:rPr>
          <w:rFonts w:ascii="Times New Roman" w:hAnsi="Times New Roman" w:cs="Times New Roman"/>
          <w:color w:val="auto"/>
          <w:highlight w:val="none"/>
          <w:u w:val="single"/>
        </w:rPr>
        <w:t>）</w:t>
      </w:r>
      <w:r>
        <w:rPr>
          <w:rFonts w:ascii="Times New Roman" w:hAnsi="Times New Roman" w:cs="Times New Roman"/>
          <w:color w:val="auto"/>
          <w:highlight w:val="none"/>
        </w:rPr>
        <w:t>兹宣布同意如下：</w:t>
      </w:r>
    </w:p>
    <w:p>
      <w:pPr>
        <w:pStyle w:val="19"/>
        <w:shd w:val="clear" w:color="auto" w:fill="FFFFFF"/>
        <w:wordWrap w:val="0"/>
        <w:spacing w:before="0" w:beforeAutospacing="0" w:after="0" w:afterAutospacing="0" w:line="44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1.按磋商文件规定的各项要求，向买方提供所需货物、服务。</w:t>
      </w:r>
    </w:p>
    <w:p>
      <w:pPr>
        <w:pStyle w:val="19"/>
        <w:shd w:val="clear" w:color="auto" w:fill="FFFFFF"/>
        <w:wordWrap w:val="0"/>
        <w:spacing w:before="0" w:beforeAutospacing="0" w:after="0" w:afterAutospacing="0" w:line="44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2.我们已详细审核全部磋商文件及其有效补充文件，我们知道必须放弃提出含糊不清或误解问题的权利。</w:t>
      </w:r>
    </w:p>
    <w:p>
      <w:pPr>
        <w:pStyle w:val="19"/>
        <w:shd w:val="clear" w:color="auto" w:fill="FFFFFF"/>
        <w:wordWrap w:val="0"/>
        <w:spacing w:before="0" w:beforeAutospacing="0" w:after="0" w:afterAutospacing="0" w:line="44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3.我们同意从规定的响应文件接收截止时间起遵循本响应文件，并在规定的磋商、有效期期满之前均具有约束力。</w:t>
      </w:r>
    </w:p>
    <w:p>
      <w:pPr>
        <w:pStyle w:val="19"/>
        <w:shd w:val="clear" w:color="auto" w:fill="FFFFFF"/>
        <w:wordWrap w:val="0"/>
        <w:spacing w:before="0" w:beforeAutospacing="0" w:after="0" w:afterAutospacing="0" w:line="44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4.同意向贵方提供贵方可能另外要求的与磋商采购有关的任何证据或资料，并保证我方已提供和将要提供的文件是真实的、准确的。</w:t>
      </w:r>
    </w:p>
    <w:p>
      <w:pPr>
        <w:pStyle w:val="19"/>
        <w:shd w:val="clear" w:color="auto" w:fill="FFFFFF"/>
        <w:wordWrap w:val="0"/>
        <w:spacing w:before="0" w:beforeAutospacing="0" w:after="0" w:afterAutospacing="0" w:line="44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5.一旦我方成交，我方将根据磋商文件的规定，严格履行合同的责任和义务，并保证在磋商文件规定的时间完成项目，交付买方验收、使用。</w:t>
      </w:r>
    </w:p>
    <w:p>
      <w:pPr>
        <w:pStyle w:val="19"/>
        <w:shd w:val="clear" w:color="auto" w:fill="FFFFFF"/>
        <w:wordWrap w:val="0"/>
        <w:spacing w:before="0" w:beforeAutospacing="0" w:after="0" w:afterAutospacing="0" w:line="44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6.遵守磋商文件中要求的收费项目和标准。</w:t>
      </w:r>
    </w:p>
    <w:p>
      <w:pPr>
        <w:pStyle w:val="19"/>
        <w:shd w:val="clear" w:color="auto" w:fill="FFFFFF"/>
        <w:wordWrap w:val="0"/>
        <w:spacing w:before="0" w:beforeAutospacing="0" w:after="0" w:afterAutospacing="0" w:line="44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7.与本磋商采购有关的正式通讯地址为：</w:t>
      </w:r>
    </w:p>
    <w:p>
      <w:pPr>
        <w:widowControl/>
        <w:shd w:val="clear" w:color="auto" w:fill="FFFFFF"/>
        <w:wordWrap w:val="0"/>
        <w:spacing w:line="44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地址</w:t>
      </w:r>
      <w:r>
        <w:rPr>
          <w:rFonts w:hint="eastAsia" w:ascii="宋体" w:hAnsi="宋体" w:cs="Tahoma"/>
          <w:color w:val="auto"/>
          <w:kern w:val="0"/>
          <w:sz w:val="24"/>
          <w:highlight w:val="none"/>
          <w:u w:val="single"/>
        </w:rPr>
        <w:t xml:space="preserve">：            </w:t>
      </w:r>
    </w:p>
    <w:p>
      <w:pPr>
        <w:widowControl/>
        <w:shd w:val="clear" w:color="auto" w:fill="FFFFFF"/>
        <w:wordWrap w:val="0"/>
        <w:spacing w:line="44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邮编</w:t>
      </w:r>
      <w:r>
        <w:rPr>
          <w:rFonts w:hint="eastAsia" w:ascii="宋体" w:hAnsi="宋体" w:cs="Tahoma"/>
          <w:color w:val="auto"/>
          <w:kern w:val="0"/>
          <w:sz w:val="24"/>
          <w:highlight w:val="none"/>
          <w:u w:val="single"/>
        </w:rPr>
        <w:t xml:space="preserve">：            </w:t>
      </w:r>
    </w:p>
    <w:p>
      <w:pPr>
        <w:widowControl/>
        <w:shd w:val="clear" w:color="auto" w:fill="FFFFFF"/>
        <w:wordWrap w:val="0"/>
        <w:spacing w:line="44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电话</w:t>
      </w:r>
      <w:r>
        <w:rPr>
          <w:rFonts w:hint="eastAsia" w:ascii="宋体" w:hAnsi="宋体" w:cs="Tahoma"/>
          <w:color w:val="auto"/>
          <w:kern w:val="0"/>
          <w:sz w:val="24"/>
          <w:highlight w:val="none"/>
          <w:u w:val="single"/>
        </w:rPr>
        <w:t xml:space="preserve">：            </w:t>
      </w:r>
    </w:p>
    <w:p>
      <w:pPr>
        <w:widowControl/>
        <w:shd w:val="clear" w:color="auto" w:fill="FFFFFF"/>
        <w:wordWrap w:val="0"/>
        <w:spacing w:line="44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传真</w:t>
      </w:r>
      <w:r>
        <w:rPr>
          <w:rFonts w:hint="eastAsia" w:ascii="宋体" w:hAnsi="宋体" w:cs="Tahoma"/>
          <w:color w:val="auto"/>
          <w:kern w:val="0"/>
          <w:sz w:val="24"/>
          <w:highlight w:val="none"/>
          <w:u w:val="single"/>
        </w:rPr>
        <w:t xml:space="preserve">：            </w:t>
      </w:r>
    </w:p>
    <w:p>
      <w:pPr>
        <w:widowControl/>
        <w:shd w:val="clear" w:color="auto" w:fill="FFFFFF"/>
        <w:wordWrap w:val="0"/>
        <w:spacing w:line="44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供应商开户行</w:t>
      </w:r>
      <w:r>
        <w:rPr>
          <w:rFonts w:hint="eastAsia" w:ascii="宋体" w:hAnsi="宋体" w:cs="Tahoma"/>
          <w:color w:val="auto"/>
          <w:kern w:val="0"/>
          <w:sz w:val="24"/>
          <w:highlight w:val="none"/>
          <w:u w:val="single"/>
        </w:rPr>
        <w:t xml:space="preserve">：            </w:t>
      </w:r>
    </w:p>
    <w:p>
      <w:pPr>
        <w:widowControl/>
        <w:shd w:val="clear" w:color="auto" w:fill="FFFFFF"/>
        <w:wordWrap w:val="0"/>
        <w:spacing w:line="44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账户</w:t>
      </w:r>
      <w:r>
        <w:rPr>
          <w:rFonts w:hint="eastAsia" w:ascii="宋体" w:hAnsi="宋体" w:cs="Tahoma"/>
          <w:color w:val="auto"/>
          <w:kern w:val="0"/>
          <w:sz w:val="24"/>
          <w:highlight w:val="none"/>
          <w:u w:val="single"/>
        </w:rPr>
        <w:t xml:space="preserve">：            </w:t>
      </w:r>
    </w:p>
    <w:p>
      <w:pPr>
        <w:kinsoku w:val="0"/>
        <w:topLinePunct/>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pPr>
        <w:kinsoku w:val="0"/>
        <w:topLinePunct/>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pPr>
        <w:kinsoku w:val="0"/>
        <w:topLinePunct/>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pPr>
        <w:spacing w:line="440" w:lineRule="exact"/>
        <w:ind w:firstLine="482"/>
        <w:jc w:val="center"/>
        <w:rPr>
          <w:rFonts w:ascii="宋体" w:hAnsi="宋体" w:cs="宋体"/>
          <w:b/>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w:t>
      </w:r>
      <w:r>
        <w:rPr>
          <w:rFonts w:hint="eastAsia" w:ascii="宋体" w:hAnsi="宋体" w:cs="宋体"/>
          <w:b/>
          <w:color w:val="auto"/>
          <w:sz w:val="24"/>
          <w:highlight w:val="none"/>
        </w:rPr>
        <w:t>技术部分正负偏离表</w:t>
      </w:r>
    </w:p>
    <w:p>
      <w:pPr>
        <w:ind w:firstLine="560"/>
        <w:jc w:val="center"/>
        <w:rPr>
          <w:rFonts w:ascii="宋体" w:hAnsi="宋体"/>
          <w:color w:val="auto"/>
          <w:sz w:val="24"/>
          <w:highlight w:val="none"/>
        </w:rPr>
      </w:pPr>
      <w:r>
        <w:rPr>
          <w:color w:val="auto"/>
          <w:sz w:val="28"/>
          <w:szCs w:val="28"/>
          <w:highlight w:val="none"/>
        </w:rPr>
        <w:t>（由</w:t>
      </w:r>
      <w:r>
        <w:rPr>
          <w:rFonts w:hint="eastAsia"/>
          <w:color w:val="auto"/>
          <w:sz w:val="28"/>
          <w:szCs w:val="28"/>
          <w:highlight w:val="none"/>
        </w:rPr>
        <w:t>供应商</w:t>
      </w:r>
      <w:r>
        <w:rPr>
          <w:color w:val="auto"/>
          <w:sz w:val="28"/>
          <w:szCs w:val="28"/>
          <w:highlight w:val="none"/>
        </w:rPr>
        <w:t>据实填写，表格不够自行添加）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7"/>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2852" w:type="dxa"/>
            <w:noWrap/>
            <w:vAlign w:val="center"/>
          </w:tcPr>
          <w:p>
            <w:pPr>
              <w:jc w:val="center"/>
              <w:rPr>
                <w:rFonts w:ascii="宋体" w:hAnsi="宋体"/>
                <w:color w:val="auto"/>
                <w:sz w:val="24"/>
                <w:highlight w:val="none"/>
              </w:rPr>
            </w:pPr>
            <w:r>
              <w:rPr>
                <w:rFonts w:hint="eastAsia" w:ascii="宋体" w:hAnsi="宋体"/>
                <w:color w:val="auto"/>
                <w:sz w:val="24"/>
                <w:highlight w:val="none"/>
              </w:rPr>
              <w:t>磋商要求</w:t>
            </w:r>
          </w:p>
        </w:tc>
        <w:tc>
          <w:tcPr>
            <w:tcW w:w="2852" w:type="dxa"/>
            <w:noWrap/>
            <w:vAlign w:val="center"/>
          </w:tcPr>
          <w:p>
            <w:pPr>
              <w:jc w:val="center"/>
              <w:rPr>
                <w:rFonts w:ascii="宋体" w:hAnsi="宋体"/>
                <w:color w:val="auto"/>
                <w:sz w:val="24"/>
                <w:highlight w:val="none"/>
              </w:rPr>
            </w:pPr>
            <w:r>
              <w:rPr>
                <w:rFonts w:hint="eastAsia" w:ascii="宋体" w:hAnsi="宋体"/>
                <w:color w:val="auto"/>
                <w:sz w:val="24"/>
                <w:highlight w:val="none"/>
              </w:rPr>
              <w:t>磋商响应</w:t>
            </w:r>
          </w:p>
        </w:tc>
        <w:tc>
          <w:tcPr>
            <w:tcW w:w="1307" w:type="dxa"/>
            <w:noWrap/>
            <w:vAlign w:val="center"/>
          </w:tcPr>
          <w:p>
            <w:pPr>
              <w:jc w:val="center"/>
              <w:rPr>
                <w:rFonts w:ascii="宋体" w:hAnsi="宋体"/>
                <w:color w:val="auto"/>
                <w:sz w:val="24"/>
                <w:highlight w:val="none"/>
              </w:rPr>
            </w:pPr>
            <w:r>
              <w:rPr>
                <w:rFonts w:hint="eastAsia" w:ascii="宋体" w:hAnsi="宋体"/>
                <w:color w:val="auto"/>
                <w:sz w:val="24"/>
                <w:highlight w:val="none"/>
              </w:rPr>
              <w:t>超出、符合或偏离</w:t>
            </w:r>
          </w:p>
        </w:tc>
        <w:tc>
          <w:tcPr>
            <w:tcW w:w="1174" w:type="dxa"/>
            <w:noWrap/>
            <w:vAlign w:val="center"/>
          </w:tcPr>
          <w:p>
            <w:pPr>
              <w:jc w:val="center"/>
              <w:rPr>
                <w:rFonts w:ascii="宋体" w:hAnsi="宋体"/>
                <w:color w:val="auto"/>
                <w:sz w:val="24"/>
                <w:highlight w:val="none"/>
              </w:rPr>
            </w:pPr>
            <w:r>
              <w:rPr>
                <w:rFonts w:hint="eastAsia" w:ascii="宋体" w:hAnsi="宋体"/>
                <w:color w:val="auto"/>
                <w:sz w:val="24"/>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highlight w:val="none"/>
              </w:rPr>
            </w:pPr>
          </w:p>
        </w:tc>
        <w:tc>
          <w:tcPr>
            <w:tcW w:w="2852" w:type="dxa"/>
            <w:noWrap/>
          </w:tcPr>
          <w:p>
            <w:pPr>
              <w:jc w:val="center"/>
              <w:rPr>
                <w:rFonts w:ascii="宋体" w:hAnsi="宋体"/>
                <w:color w:val="auto"/>
                <w:sz w:val="24"/>
                <w:highlight w:val="none"/>
              </w:rPr>
            </w:pPr>
          </w:p>
        </w:tc>
        <w:tc>
          <w:tcPr>
            <w:tcW w:w="2852" w:type="dxa"/>
            <w:noWrap/>
          </w:tcPr>
          <w:p>
            <w:pPr>
              <w:jc w:val="center"/>
              <w:rPr>
                <w:rFonts w:ascii="宋体" w:hAnsi="宋体"/>
                <w:color w:val="auto"/>
                <w:sz w:val="24"/>
                <w:highlight w:val="none"/>
              </w:rPr>
            </w:pPr>
          </w:p>
        </w:tc>
        <w:tc>
          <w:tcPr>
            <w:tcW w:w="1307" w:type="dxa"/>
            <w:noWrap/>
          </w:tcPr>
          <w:p>
            <w:pPr>
              <w:jc w:val="center"/>
              <w:rPr>
                <w:rFonts w:ascii="宋体" w:hAnsi="宋体"/>
                <w:color w:val="auto"/>
                <w:sz w:val="24"/>
                <w:highlight w:val="none"/>
              </w:rPr>
            </w:pPr>
          </w:p>
        </w:tc>
        <w:tc>
          <w:tcPr>
            <w:tcW w:w="1174" w:type="dxa"/>
            <w:noWrap/>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highlight w:val="none"/>
              </w:rPr>
            </w:pPr>
          </w:p>
        </w:tc>
        <w:tc>
          <w:tcPr>
            <w:tcW w:w="2852" w:type="dxa"/>
            <w:noWrap/>
          </w:tcPr>
          <w:p>
            <w:pPr>
              <w:jc w:val="center"/>
              <w:rPr>
                <w:rFonts w:ascii="宋体" w:hAnsi="宋体"/>
                <w:color w:val="auto"/>
                <w:sz w:val="24"/>
                <w:highlight w:val="none"/>
              </w:rPr>
            </w:pPr>
          </w:p>
        </w:tc>
        <w:tc>
          <w:tcPr>
            <w:tcW w:w="2852" w:type="dxa"/>
            <w:noWrap/>
          </w:tcPr>
          <w:p>
            <w:pPr>
              <w:jc w:val="center"/>
              <w:rPr>
                <w:rFonts w:ascii="宋体" w:hAnsi="宋体"/>
                <w:color w:val="auto"/>
                <w:sz w:val="24"/>
                <w:highlight w:val="none"/>
              </w:rPr>
            </w:pPr>
          </w:p>
        </w:tc>
        <w:tc>
          <w:tcPr>
            <w:tcW w:w="1307" w:type="dxa"/>
            <w:noWrap/>
          </w:tcPr>
          <w:p>
            <w:pPr>
              <w:jc w:val="center"/>
              <w:rPr>
                <w:rFonts w:ascii="宋体" w:hAnsi="宋体"/>
                <w:color w:val="auto"/>
                <w:sz w:val="24"/>
                <w:highlight w:val="none"/>
              </w:rPr>
            </w:pPr>
          </w:p>
        </w:tc>
        <w:tc>
          <w:tcPr>
            <w:tcW w:w="1174" w:type="dxa"/>
            <w:noWrap/>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highlight w:val="none"/>
              </w:rPr>
            </w:pPr>
          </w:p>
        </w:tc>
        <w:tc>
          <w:tcPr>
            <w:tcW w:w="2852" w:type="dxa"/>
            <w:noWrap/>
          </w:tcPr>
          <w:p>
            <w:pPr>
              <w:jc w:val="center"/>
              <w:rPr>
                <w:rFonts w:ascii="宋体" w:hAnsi="宋体"/>
                <w:color w:val="auto"/>
                <w:sz w:val="24"/>
                <w:highlight w:val="none"/>
              </w:rPr>
            </w:pPr>
          </w:p>
        </w:tc>
        <w:tc>
          <w:tcPr>
            <w:tcW w:w="2852" w:type="dxa"/>
            <w:noWrap/>
          </w:tcPr>
          <w:p>
            <w:pPr>
              <w:jc w:val="center"/>
              <w:rPr>
                <w:rFonts w:ascii="宋体" w:hAnsi="宋体"/>
                <w:color w:val="auto"/>
                <w:sz w:val="24"/>
                <w:highlight w:val="none"/>
              </w:rPr>
            </w:pPr>
          </w:p>
        </w:tc>
        <w:tc>
          <w:tcPr>
            <w:tcW w:w="1307" w:type="dxa"/>
            <w:noWrap/>
          </w:tcPr>
          <w:p>
            <w:pPr>
              <w:jc w:val="center"/>
              <w:rPr>
                <w:rFonts w:ascii="宋体" w:hAnsi="宋体"/>
                <w:color w:val="auto"/>
                <w:sz w:val="24"/>
                <w:highlight w:val="none"/>
              </w:rPr>
            </w:pPr>
          </w:p>
        </w:tc>
        <w:tc>
          <w:tcPr>
            <w:tcW w:w="1174" w:type="dxa"/>
            <w:noWrap/>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highlight w:val="none"/>
              </w:rPr>
            </w:pPr>
          </w:p>
        </w:tc>
        <w:tc>
          <w:tcPr>
            <w:tcW w:w="2852" w:type="dxa"/>
            <w:noWrap/>
          </w:tcPr>
          <w:p>
            <w:pPr>
              <w:jc w:val="center"/>
              <w:rPr>
                <w:rFonts w:ascii="宋体" w:hAnsi="宋体"/>
                <w:color w:val="auto"/>
                <w:sz w:val="24"/>
                <w:highlight w:val="none"/>
              </w:rPr>
            </w:pPr>
          </w:p>
        </w:tc>
        <w:tc>
          <w:tcPr>
            <w:tcW w:w="2852" w:type="dxa"/>
            <w:noWrap/>
          </w:tcPr>
          <w:p>
            <w:pPr>
              <w:jc w:val="center"/>
              <w:rPr>
                <w:rFonts w:ascii="宋体" w:hAnsi="宋体"/>
                <w:color w:val="auto"/>
                <w:sz w:val="24"/>
                <w:highlight w:val="none"/>
              </w:rPr>
            </w:pPr>
          </w:p>
        </w:tc>
        <w:tc>
          <w:tcPr>
            <w:tcW w:w="1307" w:type="dxa"/>
            <w:noWrap/>
          </w:tcPr>
          <w:p>
            <w:pPr>
              <w:jc w:val="center"/>
              <w:rPr>
                <w:rFonts w:ascii="宋体" w:hAnsi="宋体"/>
                <w:color w:val="auto"/>
                <w:sz w:val="24"/>
                <w:highlight w:val="none"/>
              </w:rPr>
            </w:pPr>
          </w:p>
        </w:tc>
        <w:tc>
          <w:tcPr>
            <w:tcW w:w="1174" w:type="dxa"/>
            <w:noWrap/>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highlight w:val="none"/>
              </w:rPr>
            </w:pPr>
          </w:p>
        </w:tc>
        <w:tc>
          <w:tcPr>
            <w:tcW w:w="2852" w:type="dxa"/>
            <w:noWrap/>
          </w:tcPr>
          <w:p>
            <w:pPr>
              <w:jc w:val="center"/>
              <w:rPr>
                <w:rFonts w:ascii="宋体" w:hAnsi="宋体"/>
                <w:color w:val="auto"/>
                <w:sz w:val="24"/>
                <w:highlight w:val="none"/>
              </w:rPr>
            </w:pPr>
          </w:p>
        </w:tc>
        <w:tc>
          <w:tcPr>
            <w:tcW w:w="2852" w:type="dxa"/>
            <w:noWrap/>
          </w:tcPr>
          <w:p>
            <w:pPr>
              <w:jc w:val="center"/>
              <w:rPr>
                <w:rFonts w:ascii="宋体" w:hAnsi="宋体"/>
                <w:color w:val="auto"/>
                <w:sz w:val="24"/>
                <w:highlight w:val="none"/>
              </w:rPr>
            </w:pPr>
          </w:p>
        </w:tc>
        <w:tc>
          <w:tcPr>
            <w:tcW w:w="1307" w:type="dxa"/>
            <w:noWrap/>
          </w:tcPr>
          <w:p>
            <w:pPr>
              <w:jc w:val="center"/>
              <w:rPr>
                <w:rFonts w:ascii="宋体" w:hAnsi="宋体"/>
                <w:color w:val="auto"/>
                <w:sz w:val="24"/>
                <w:highlight w:val="none"/>
              </w:rPr>
            </w:pPr>
          </w:p>
        </w:tc>
        <w:tc>
          <w:tcPr>
            <w:tcW w:w="1174" w:type="dxa"/>
            <w:noWrap/>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highlight w:val="none"/>
              </w:rPr>
            </w:pPr>
          </w:p>
        </w:tc>
        <w:tc>
          <w:tcPr>
            <w:tcW w:w="2852" w:type="dxa"/>
            <w:noWrap/>
          </w:tcPr>
          <w:p>
            <w:pPr>
              <w:jc w:val="center"/>
              <w:rPr>
                <w:rFonts w:ascii="宋体" w:hAnsi="宋体"/>
                <w:color w:val="auto"/>
                <w:sz w:val="24"/>
                <w:highlight w:val="none"/>
              </w:rPr>
            </w:pPr>
          </w:p>
        </w:tc>
        <w:tc>
          <w:tcPr>
            <w:tcW w:w="2852" w:type="dxa"/>
            <w:noWrap/>
          </w:tcPr>
          <w:p>
            <w:pPr>
              <w:jc w:val="center"/>
              <w:rPr>
                <w:rFonts w:ascii="宋体" w:hAnsi="宋体"/>
                <w:color w:val="auto"/>
                <w:sz w:val="24"/>
                <w:highlight w:val="none"/>
              </w:rPr>
            </w:pPr>
          </w:p>
        </w:tc>
        <w:tc>
          <w:tcPr>
            <w:tcW w:w="1307" w:type="dxa"/>
            <w:noWrap/>
          </w:tcPr>
          <w:p>
            <w:pPr>
              <w:jc w:val="center"/>
              <w:rPr>
                <w:rFonts w:ascii="宋体" w:hAnsi="宋体"/>
                <w:color w:val="auto"/>
                <w:sz w:val="24"/>
                <w:highlight w:val="none"/>
              </w:rPr>
            </w:pPr>
          </w:p>
        </w:tc>
        <w:tc>
          <w:tcPr>
            <w:tcW w:w="1174" w:type="dxa"/>
            <w:noWrap/>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highlight w:val="none"/>
              </w:rPr>
            </w:pPr>
          </w:p>
        </w:tc>
        <w:tc>
          <w:tcPr>
            <w:tcW w:w="2852" w:type="dxa"/>
            <w:noWrap/>
          </w:tcPr>
          <w:p>
            <w:pPr>
              <w:jc w:val="center"/>
              <w:rPr>
                <w:rFonts w:ascii="宋体" w:hAnsi="宋体"/>
                <w:color w:val="auto"/>
                <w:sz w:val="24"/>
                <w:highlight w:val="none"/>
              </w:rPr>
            </w:pPr>
          </w:p>
        </w:tc>
        <w:tc>
          <w:tcPr>
            <w:tcW w:w="2852" w:type="dxa"/>
            <w:noWrap/>
          </w:tcPr>
          <w:p>
            <w:pPr>
              <w:jc w:val="center"/>
              <w:rPr>
                <w:rFonts w:ascii="宋体" w:hAnsi="宋体"/>
                <w:color w:val="auto"/>
                <w:sz w:val="24"/>
                <w:highlight w:val="none"/>
              </w:rPr>
            </w:pPr>
          </w:p>
        </w:tc>
        <w:tc>
          <w:tcPr>
            <w:tcW w:w="1307" w:type="dxa"/>
            <w:noWrap/>
          </w:tcPr>
          <w:p>
            <w:pPr>
              <w:jc w:val="center"/>
              <w:rPr>
                <w:rFonts w:ascii="宋体" w:hAnsi="宋体"/>
                <w:color w:val="auto"/>
                <w:sz w:val="24"/>
                <w:highlight w:val="none"/>
              </w:rPr>
            </w:pPr>
          </w:p>
        </w:tc>
        <w:tc>
          <w:tcPr>
            <w:tcW w:w="1174" w:type="dxa"/>
            <w:noWrap/>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highlight w:val="none"/>
              </w:rPr>
            </w:pPr>
          </w:p>
        </w:tc>
        <w:tc>
          <w:tcPr>
            <w:tcW w:w="2852" w:type="dxa"/>
            <w:noWrap/>
          </w:tcPr>
          <w:p>
            <w:pPr>
              <w:jc w:val="center"/>
              <w:rPr>
                <w:rFonts w:ascii="宋体" w:hAnsi="宋体"/>
                <w:color w:val="auto"/>
                <w:sz w:val="24"/>
                <w:highlight w:val="none"/>
              </w:rPr>
            </w:pPr>
          </w:p>
        </w:tc>
        <w:tc>
          <w:tcPr>
            <w:tcW w:w="2852" w:type="dxa"/>
            <w:noWrap/>
          </w:tcPr>
          <w:p>
            <w:pPr>
              <w:jc w:val="center"/>
              <w:rPr>
                <w:rFonts w:ascii="宋体" w:hAnsi="宋体"/>
                <w:color w:val="auto"/>
                <w:sz w:val="24"/>
                <w:highlight w:val="none"/>
              </w:rPr>
            </w:pPr>
          </w:p>
        </w:tc>
        <w:tc>
          <w:tcPr>
            <w:tcW w:w="1307" w:type="dxa"/>
            <w:noWrap/>
          </w:tcPr>
          <w:p>
            <w:pPr>
              <w:jc w:val="center"/>
              <w:rPr>
                <w:rFonts w:ascii="宋体" w:hAnsi="宋体"/>
                <w:color w:val="auto"/>
                <w:sz w:val="24"/>
                <w:highlight w:val="none"/>
              </w:rPr>
            </w:pPr>
          </w:p>
        </w:tc>
        <w:tc>
          <w:tcPr>
            <w:tcW w:w="1174" w:type="dxa"/>
            <w:noWrap/>
          </w:tcPr>
          <w:p>
            <w:pPr>
              <w:jc w:val="center"/>
              <w:rPr>
                <w:rFonts w:ascii="宋体" w:hAnsi="宋体"/>
                <w:color w:val="auto"/>
                <w:sz w:val="24"/>
                <w:highlight w:val="none"/>
              </w:rPr>
            </w:pPr>
          </w:p>
        </w:tc>
      </w:tr>
    </w:tbl>
    <w:p>
      <w:pPr>
        <w:spacing w:line="480" w:lineRule="exact"/>
        <w:rPr>
          <w:rFonts w:ascii="宋体" w:hAnsi="宋体"/>
          <w:color w:val="auto"/>
          <w:sz w:val="24"/>
          <w:highlight w:val="none"/>
        </w:rPr>
      </w:pP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pPr>
        <w:rPr>
          <w:rFonts w:ascii="宋体" w:hAnsi="宋体"/>
          <w:color w:val="auto"/>
          <w:sz w:val="24"/>
          <w:highlight w:val="none"/>
        </w:rPr>
      </w:pPr>
    </w:p>
    <w:p>
      <w:pPr>
        <w:spacing w:line="480" w:lineRule="exact"/>
        <w:rPr>
          <w:rFonts w:ascii="宋体" w:hAnsi="宋体"/>
          <w:color w:val="auto"/>
          <w:sz w:val="24"/>
          <w:highlight w:val="none"/>
        </w:rPr>
      </w:pPr>
    </w:p>
    <w:p>
      <w:pPr>
        <w:snapToGrid w:val="0"/>
        <w:spacing w:line="300" w:lineRule="auto"/>
        <w:ind w:firstLine="482"/>
        <w:contextualSpacing/>
        <w:rPr>
          <w:b/>
          <w:color w:val="auto"/>
          <w:sz w:val="24"/>
          <w:highlight w:val="none"/>
        </w:rPr>
      </w:pPr>
      <w:r>
        <w:rPr>
          <w:b/>
          <w:color w:val="auto"/>
          <w:sz w:val="24"/>
          <w:highlight w:val="none"/>
        </w:rPr>
        <w:t>注：</w:t>
      </w:r>
    </w:p>
    <w:p>
      <w:pPr>
        <w:snapToGrid w:val="0"/>
        <w:spacing w:line="300" w:lineRule="auto"/>
        <w:ind w:firstLine="480" w:firstLineChars="200"/>
        <w:contextualSpacing/>
        <w:rPr>
          <w:color w:val="auto"/>
          <w:sz w:val="24"/>
          <w:highlight w:val="none"/>
        </w:rPr>
      </w:pPr>
      <w:r>
        <w:rPr>
          <w:color w:val="auto"/>
          <w:sz w:val="24"/>
          <w:highlight w:val="none"/>
        </w:rPr>
        <w:t>1.</w:t>
      </w:r>
      <w:r>
        <w:rPr>
          <w:rFonts w:hint="eastAsia"/>
          <w:color w:val="auto"/>
          <w:sz w:val="24"/>
          <w:highlight w:val="none"/>
        </w:rPr>
        <w:t>供应商</w:t>
      </w:r>
      <w:r>
        <w:rPr>
          <w:color w:val="auto"/>
          <w:sz w:val="24"/>
          <w:highlight w:val="none"/>
        </w:rPr>
        <w:t>提交的</w:t>
      </w:r>
      <w:r>
        <w:rPr>
          <w:rFonts w:hint="eastAsia"/>
          <w:color w:val="auto"/>
          <w:sz w:val="24"/>
          <w:highlight w:val="none"/>
        </w:rPr>
        <w:t>响应</w:t>
      </w:r>
      <w:r>
        <w:rPr>
          <w:color w:val="auto"/>
          <w:sz w:val="24"/>
          <w:highlight w:val="none"/>
        </w:rPr>
        <w:t>文件中与</w:t>
      </w:r>
      <w:r>
        <w:rPr>
          <w:rFonts w:hint="eastAsia"/>
          <w:color w:val="auto"/>
          <w:sz w:val="24"/>
          <w:highlight w:val="none"/>
        </w:rPr>
        <w:t>采购</w:t>
      </w:r>
      <w:r>
        <w:rPr>
          <w:color w:val="auto"/>
          <w:sz w:val="24"/>
          <w:highlight w:val="none"/>
        </w:rPr>
        <w:t>文件第三部分“项目需求”中的技术部分的要求，应逐条填列在偏离表中。</w:t>
      </w:r>
    </w:p>
    <w:p>
      <w:pPr>
        <w:snapToGrid w:val="0"/>
        <w:spacing w:line="300" w:lineRule="auto"/>
        <w:ind w:firstLine="480" w:firstLineChars="200"/>
        <w:contextualSpacing/>
        <w:rPr>
          <w:color w:val="auto"/>
          <w:sz w:val="24"/>
          <w:highlight w:val="none"/>
        </w:rPr>
      </w:pPr>
      <w:r>
        <w:rPr>
          <w:color w:val="auto"/>
          <w:sz w:val="24"/>
          <w:highlight w:val="none"/>
        </w:rPr>
        <w:t>2. “偏离说明”一栏选择“正偏离</w:t>
      </w:r>
      <w:r>
        <w:rPr>
          <w:rFonts w:hint="eastAsia"/>
          <w:color w:val="auto"/>
          <w:sz w:val="24"/>
          <w:highlight w:val="none"/>
        </w:rPr>
        <w:t>”“</w:t>
      </w:r>
      <w:r>
        <w:rPr>
          <w:color w:val="auto"/>
          <w:sz w:val="24"/>
          <w:highlight w:val="none"/>
        </w:rPr>
        <w:t>无偏离</w:t>
      </w:r>
      <w:r>
        <w:rPr>
          <w:rFonts w:hint="eastAsia"/>
          <w:color w:val="auto"/>
          <w:sz w:val="24"/>
          <w:highlight w:val="none"/>
        </w:rPr>
        <w:t>”“</w:t>
      </w:r>
      <w:r>
        <w:rPr>
          <w:color w:val="auto"/>
          <w:sz w:val="24"/>
          <w:highlight w:val="none"/>
        </w:rPr>
        <w:t>负偏离”进行填写。正偏离、无偏离的确认和负偏离的是否响应</w:t>
      </w:r>
      <w:r>
        <w:rPr>
          <w:rFonts w:hint="eastAsia"/>
          <w:color w:val="auto"/>
          <w:sz w:val="24"/>
          <w:highlight w:val="none"/>
        </w:rPr>
        <w:t>采购</w:t>
      </w:r>
      <w:r>
        <w:rPr>
          <w:color w:val="auto"/>
          <w:sz w:val="24"/>
          <w:highlight w:val="none"/>
        </w:rPr>
        <w:t>文件，由评委认定。</w:t>
      </w:r>
      <w:r>
        <w:rPr>
          <w:rFonts w:hint="eastAsia"/>
          <w:color w:val="auto"/>
          <w:sz w:val="24"/>
          <w:highlight w:val="none"/>
        </w:rPr>
        <w:t>不明示的视同完全响应。</w:t>
      </w:r>
    </w:p>
    <w:p>
      <w:pPr>
        <w:snapToGrid w:val="0"/>
        <w:spacing w:line="300" w:lineRule="auto"/>
        <w:ind w:firstLine="480" w:firstLineChars="200"/>
        <w:contextualSpacing/>
        <w:rPr>
          <w:color w:val="auto"/>
          <w:sz w:val="24"/>
          <w:highlight w:val="none"/>
        </w:rPr>
      </w:pPr>
      <w:r>
        <w:rPr>
          <w:color w:val="auto"/>
          <w:sz w:val="24"/>
          <w:highlight w:val="none"/>
        </w:rPr>
        <w:t>3.所投品牌型号，必须确定、唯一。</w:t>
      </w:r>
    </w:p>
    <w:p>
      <w:pPr>
        <w:snapToGrid w:val="0"/>
        <w:spacing w:line="300" w:lineRule="auto"/>
        <w:ind w:firstLine="480" w:firstLineChars="200"/>
        <w:contextualSpacing/>
        <w:rPr>
          <w:color w:val="auto"/>
          <w:sz w:val="24"/>
          <w:highlight w:val="none"/>
        </w:rPr>
      </w:pPr>
      <w:r>
        <w:rPr>
          <w:bCs/>
          <w:color w:val="auto"/>
          <w:sz w:val="24"/>
          <w:highlight w:val="none"/>
        </w:rPr>
        <w:t>4.供应商若提供其他增值服务，可以在表中自行据实填写。</w:t>
      </w:r>
    </w:p>
    <w:p>
      <w:pPr>
        <w:spacing w:line="480" w:lineRule="exact"/>
        <w:ind w:firstLine="960" w:firstLineChars="400"/>
        <w:rPr>
          <w:rFonts w:ascii="宋体" w:hAnsi="宋体"/>
          <w:color w:val="auto"/>
          <w:sz w:val="24"/>
          <w:highlight w:val="none"/>
        </w:rPr>
      </w:pPr>
    </w:p>
    <w:p>
      <w:pPr>
        <w:spacing w:line="360" w:lineRule="auto"/>
        <w:ind w:firstLine="482"/>
        <w:jc w:val="center"/>
        <w:rPr>
          <w:rFonts w:ascii="宋体" w:hAnsi="宋体"/>
          <w:b/>
          <w:color w:val="auto"/>
          <w:sz w:val="32"/>
          <w:szCs w:val="32"/>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3、商务部分正负偏离表</w:t>
      </w:r>
    </w:p>
    <w:p>
      <w:pPr>
        <w:jc w:val="center"/>
        <w:rPr>
          <w:rFonts w:ascii="宋体" w:hAnsi="宋体"/>
          <w:color w:val="auto"/>
          <w:sz w:val="24"/>
          <w:highlight w:val="none"/>
        </w:rPr>
      </w:pPr>
    </w:p>
    <w:p>
      <w:pPr>
        <w:ind w:firstLine="560"/>
        <w:jc w:val="center"/>
        <w:rPr>
          <w:rFonts w:ascii="宋体" w:hAnsi="宋体"/>
          <w:color w:val="auto"/>
          <w:sz w:val="24"/>
          <w:highlight w:val="none"/>
        </w:rPr>
      </w:pPr>
      <w:r>
        <w:rPr>
          <w:color w:val="auto"/>
          <w:sz w:val="28"/>
          <w:szCs w:val="28"/>
          <w:highlight w:val="none"/>
        </w:rPr>
        <w:t>（由</w:t>
      </w:r>
      <w:r>
        <w:rPr>
          <w:rFonts w:hint="eastAsia"/>
          <w:color w:val="auto"/>
          <w:sz w:val="28"/>
          <w:szCs w:val="28"/>
          <w:highlight w:val="none"/>
        </w:rPr>
        <w:t>供应商</w:t>
      </w:r>
      <w:r>
        <w:rPr>
          <w:color w:val="auto"/>
          <w:sz w:val="28"/>
          <w:szCs w:val="28"/>
          <w:highlight w:val="none"/>
        </w:rPr>
        <w:t>据实填写，表格不够自行添加）</w:t>
      </w:r>
    </w:p>
    <w:tbl>
      <w:tblPr>
        <w:tblStyle w:val="22"/>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3544"/>
        <w:gridCol w:w="1276"/>
        <w:gridCol w:w="24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51"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项目</w:t>
            </w:r>
          </w:p>
        </w:tc>
        <w:tc>
          <w:tcPr>
            <w:tcW w:w="3544" w:type="dxa"/>
            <w:tcBorders>
              <w:top w:val="single" w:color="auto" w:sz="4" w:space="0"/>
              <w:left w:val="single" w:color="auto" w:sz="4" w:space="0"/>
              <w:bottom w:val="single" w:color="auto" w:sz="4" w:space="0"/>
              <w:right w:val="single" w:color="auto" w:sz="4" w:space="0"/>
            </w:tcBorders>
            <w:noWrap/>
          </w:tcPr>
          <w:p>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竞争性磋商文件要求</w:t>
            </w:r>
          </w:p>
        </w:tc>
        <w:tc>
          <w:tcPr>
            <w:tcW w:w="1276" w:type="dxa"/>
            <w:tcBorders>
              <w:top w:val="single" w:color="auto" w:sz="4" w:space="0"/>
              <w:left w:val="single" w:color="auto" w:sz="4" w:space="0"/>
              <w:bottom w:val="single" w:color="auto" w:sz="4" w:space="0"/>
              <w:right w:val="single" w:color="auto" w:sz="4" w:space="0"/>
            </w:tcBorders>
            <w:noWrap/>
          </w:tcPr>
          <w:p>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是否响应</w:t>
            </w:r>
          </w:p>
        </w:tc>
        <w:tc>
          <w:tcPr>
            <w:tcW w:w="2409" w:type="dxa"/>
            <w:tcBorders>
              <w:top w:val="single" w:color="auto" w:sz="4" w:space="0"/>
              <w:left w:val="single" w:color="auto" w:sz="4" w:space="0"/>
              <w:bottom w:val="single" w:color="auto" w:sz="4" w:space="0"/>
              <w:right w:val="single" w:color="auto" w:sz="4" w:space="0"/>
            </w:tcBorders>
            <w:noWrap/>
          </w:tcPr>
          <w:p>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951" w:type="dxa"/>
            <w:tcBorders>
              <w:top w:val="single" w:color="auto" w:sz="4" w:space="0"/>
              <w:left w:val="single" w:color="auto" w:sz="4" w:space="0"/>
              <w:bottom w:val="single" w:color="auto" w:sz="4" w:space="0"/>
              <w:right w:val="single" w:color="auto" w:sz="4" w:space="0"/>
            </w:tcBorders>
            <w:noWrap/>
          </w:tcPr>
          <w:p>
            <w:pPr>
              <w:spacing w:line="340" w:lineRule="exact"/>
              <w:jc w:val="center"/>
              <w:rPr>
                <w:rFonts w:ascii="仿宋_GB2312" w:hAnsi="宋体" w:eastAsia="仿宋_GB2312"/>
                <w:color w:val="auto"/>
                <w:sz w:val="24"/>
                <w:szCs w:val="20"/>
                <w:highlight w:val="none"/>
              </w:rPr>
            </w:pPr>
            <w:r>
              <w:rPr>
                <w:color w:val="auto"/>
                <w:sz w:val="24"/>
                <w:highlight w:val="none"/>
              </w:rPr>
              <w:t>1</w:t>
            </w:r>
          </w:p>
        </w:tc>
        <w:tc>
          <w:tcPr>
            <w:tcW w:w="3544"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951" w:type="dxa"/>
            <w:tcBorders>
              <w:top w:val="single" w:color="auto" w:sz="4" w:space="0"/>
              <w:left w:val="single" w:color="auto" w:sz="4" w:space="0"/>
              <w:bottom w:val="single" w:color="auto" w:sz="4" w:space="0"/>
              <w:right w:val="single" w:color="auto" w:sz="4" w:space="0"/>
            </w:tcBorders>
            <w:noWrap/>
          </w:tcPr>
          <w:p>
            <w:pPr>
              <w:spacing w:line="340" w:lineRule="exact"/>
              <w:jc w:val="center"/>
              <w:rPr>
                <w:rFonts w:ascii="仿宋_GB2312" w:hAnsi="宋体" w:eastAsia="仿宋_GB2312"/>
                <w:color w:val="auto"/>
                <w:sz w:val="24"/>
                <w:szCs w:val="20"/>
                <w:highlight w:val="none"/>
              </w:rPr>
            </w:pPr>
            <w:r>
              <w:rPr>
                <w:color w:val="auto"/>
                <w:sz w:val="24"/>
                <w:highlight w:val="none"/>
              </w:rPr>
              <w:t>2</w:t>
            </w:r>
          </w:p>
        </w:tc>
        <w:tc>
          <w:tcPr>
            <w:tcW w:w="3544"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51" w:type="dxa"/>
            <w:tcBorders>
              <w:top w:val="single" w:color="auto" w:sz="4" w:space="0"/>
              <w:left w:val="single" w:color="auto" w:sz="4" w:space="0"/>
              <w:bottom w:val="single" w:color="auto" w:sz="4" w:space="0"/>
              <w:right w:val="single" w:color="auto" w:sz="4" w:space="0"/>
            </w:tcBorders>
            <w:noWrap/>
          </w:tcPr>
          <w:p>
            <w:pPr>
              <w:spacing w:line="340" w:lineRule="exact"/>
              <w:jc w:val="center"/>
              <w:rPr>
                <w:rFonts w:ascii="仿宋_GB2312" w:hAnsi="宋体" w:eastAsia="仿宋_GB2312"/>
                <w:color w:val="auto"/>
                <w:sz w:val="24"/>
                <w:szCs w:val="20"/>
                <w:highlight w:val="none"/>
              </w:rPr>
            </w:pPr>
            <w:r>
              <w:rPr>
                <w:color w:val="auto"/>
                <w:sz w:val="24"/>
                <w:highlight w:val="none"/>
              </w:rPr>
              <w:t>3</w:t>
            </w:r>
          </w:p>
        </w:tc>
        <w:tc>
          <w:tcPr>
            <w:tcW w:w="3544"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51" w:type="dxa"/>
            <w:tcBorders>
              <w:top w:val="single" w:color="auto" w:sz="4" w:space="0"/>
              <w:left w:val="single" w:color="auto" w:sz="4" w:space="0"/>
              <w:bottom w:val="single" w:color="auto" w:sz="4" w:space="0"/>
              <w:right w:val="single" w:color="auto" w:sz="4" w:space="0"/>
            </w:tcBorders>
            <w:noWrap/>
          </w:tcPr>
          <w:p>
            <w:pPr>
              <w:spacing w:line="340" w:lineRule="exact"/>
              <w:jc w:val="center"/>
              <w:rPr>
                <w:rFonts w:ascii="仿宋_GB2312"/>
                <w:color w:val="auto"/>
                <w:sz w:val="24"/>
                <w:szCs w:val="21"/>
                <w:highlight w:val="none"/>
              </w:rPr>
            </w:pPr>
            <w:r>
              <w:rPr>
                <w:color w:val="auto"/>
                <w:sz w:val="24"/>
                <w:highlight w:val="none"/>
              </w:rPr>
              <w:t>4</w:t>
            </w:r>
          </w:p>
        </w:tc>
        <w:tc>
          <w:tcPr>
            <w:tcW w:w="3544"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color w:val="auto"/>
                <w:sz w:val="24"/>
                <w:szCs w:val="21"/>
                <w:highlight w:val="none"/>
              </w:rPr>
            </w:pPr>
          </w:p>
        </w:tc>
        <w:tc>
          <w:tcPr>
            <w:tcW w:w="1276"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auto"/>
                <w:sz w:val="24"/>
                <w:szCs w:val="20"/>
                <w:highlight w:val="none"/>
              </w:rPr>
            </w:pPr>
          </w:p>
        </w:tc>
      </w:tr>
    </w:tbl>
    <w:p>
      <w:pPr>
        <w:rPr>
          <w:rFonts w:ascii="宋体" w:hAnsi="宋体"/>
          <w:color w:val="auto"/>
          <w:sz w:val="24"/>
          <w:highlight w:val="none"/>
        </w:rPr>
      </w:pP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pPr>
        <w:ind w:firstLine="482" w:firstLineChars="200"/>
        <w:rPr>
          <w:rFonts w:ascii="宋体" w:hAnsi="宋体"/>
          <w:b/>
          <w:color w:val="auto"/>
          <w:sz w:val="24"/>
          <w:highlight w:val="none"/>
        </w:rPr>
      </w:pPr>
    </w:p>
    <w:p>
      <w:pPr>
        <w:snapToGrid w:val="0"/>
        <w:spacing w:line="300" w:lineRule="auto"/>
        <w:ind w:firstLine="482"/>
        <w:contextualSpacing/>
        <w:rPr>
          <w:b/>
          <w:color w:val="auto"/>
          <w:sz w:val="24"/>
          <w:highlight w:val="none"/>
        </w:rPr>
      </w:pPr>
      <w:r>
        <w:rPr>
          <w:b/>
          <w:color w:val="auto"/>
          <w:sz w:val="24"/>
          <w:highlight w:val="none"/>
        </w:rPr>
        <w:t>注：</w:t>
      </w:r>
    </w:p>
    <w:p>
      <w:pPr>
        <w:snapToGrid w:val="0"/>
        <w:spacing w:line="300" w:lineRule="auto"/>
        <w:ind w:firstLine="480" w:firstLineChars="200"/>
        <w:contextualSpacing/>
        <w:rPr>
          <w:color w:val="auto"/>
          <w:sz w:val="24"/>
          <w:highlight w:val="none"/>
        </w:rPr>
      </w:pPr>
      <w:r>
        <w:rPr>
          <w:color w:val="auto"/>
          <w:sz w:val="24"/>
          <w:highlight w:val="none"/>
        </w:rPr>
        <w:t>1.</w:t>
      </w:r>
      <w:r>
        <w:rPr>
          <w:rFonts w:hint="eastAsia"/>
          <w:color w:val="auto"/>
          <w:sz w:val="24"/>
          <w:highlight w:val="none"/>
        </w:rPr>
        <w:t>供应商</w:t>
      </w:r>
      <w:r>
        <w:rPr>
          <w:color w:val="auto"/>
          <w:sz w:val="24"/>
          <w:highlight w:val="none"/>
        </w:rPr>
        <w:t>提交的</w:t>
      </w:r>
      <w:r>
        <w:rPr>
          <w:rFonts w:hint="eastAsia"/>
          <w:color w:val="auto"/>
          <w:sz w:val="24"/>
          <w:highlight w:val="none"/>
        </w:rPr>
        <w:t>响应</w:t>
      </w:r>
      <w:r>
        <w:rPr>
          <w:color w:val="auto"/>
          <w:sz w:val="24"/>
          <w:highlight w:val="none"/>
        </w:rPr>
        <w:t>文件中与</w:t>
      </w:r>
      <w:r>
        <w:rPr>
          <w:rFonts w:hint="eastAsia"/>
          <w:color w:val="auto"/>
          <w:sz w:val="24"/>
          <w:highlight w:val="none"/>
        </w:rPr>
        <w:t>采购</w:t>
      </w:r>
      <w:r>
        <w:rPr>
          <w:color w:val="auto"/>
          <w:sz w:val="24"/>
          <w:highlight w:val="none"/>
        </w:rPr>
        <w:t>文件第三部分“项目需求”中的商务部分的要求，应逐条填列在偏离表中。</w:t>
      </w:r>
    </w:p>
    <w:p>
      <w:pPr>
        <w:snapToGrid w:val="0"/>
        <w:spacing w:line="300" w:lineRule="auto"/>
        <w:ind w:firstLine="480" w:firstLineChars="200"/>
        <w:contextualSpacing/>
        <w:rPr>
          <w:color w:val="auto"/>
          <w:sz w:val="24"/>
          <w:highlight w:val="none"/>
        </w:rPr>
      </w:pPr>
      <w:r>
        <w:rPr>
          <w:color w:val="auto"/>
          <w:sz w:val="24"/>
          <w:highlight w:val="none"/>
        </w:rPr>
        <w:t>2.“偏离说明”一栏选择“正偏离</w:t>
      </w:r>
      <w:r>
        <w:rPr>
          <w:rFonts w:hint="eastAsia"/>
          <w:color w:val="auto"/>
          <w:sz w:val="24"/>
          <w:highlight w:val="none"/>
        </w:rPr>
        <w:t>”“</w:t>
      </w:r>
      <w:r>
        <w:rPr>
          <w:color w:val="auto"/>
          <w:sz w:val="24"/>
          <w:highlight w:val="none"/>
        </w:rPr>
        <w:t>无偏离</w:t>
      </w:r>
      <w:r>
        <w:rPr>
          <w:rFonts w:hint="eastAsia"/>
          <w:color w:val="auto"/>
          <w:sz w:val="24"/>
          <w:highlight w:val="none"/>
        </w:rPr>
        <w:t>”“</w:t>
      </w:r>
      <w:r>
        <w:rPr>
          <w:color w:val="auto"/>
          <w:sz w:val="24"/>
          <w:highlight w:val="none"/>
        </w:rPr>
        <w:t>负偏离”进行填写。正偏离、无偏离的确认和负偏离的是否响应</w:t>
      </w:r>
      <w:r>
        <w:rPr>
          <w:rFonts w:hint="eastAsia"/>
          <w:color w:val="auto"/>
          <w:sz w:val="24"/>
          <w:highlight w:val="none"/>
        </w:rPr>
        <w:t>采购</w:t>
      </w:r>
      <w:r>
        <w:rPr>
          <w:color w:val="auto"/>
          <w:sz w:val="24"/>
          <w:highlight w:val="none"/>
        </w:rPr>
        <w:t>文件，由评委认定。</w:t>
      </w:r>
      <w:r>
        <w:rPr>
          <w:rFonts w:hint="eastAsia"/>
          <w:color w:val="auto"/>
          <w:sz w:val="24"/>
          <w:highlight w:val="none"/>
        </w:rPr>
        <w:t>不明示的视同完全响应。</w:t>
      </w:r>
    </w:p>
    <w:p>
      <w:pPr>
        <w:snapToGrid w:val="0"/>
        <w:spacing w:line="300" w:lineRule="auto"/>
        <w:ind w:firstLine="480" w:firstLineChars="200"/>
        <w:contextualSpacing/>
        <w:rPr>
          <w:bCs/>
          <w:color w:val="auto"/>
          <w:sz w:val="24"/>
          <w:highlight w:val="none"/>
        </w:rPr>
      </w:pPr>
      <w:r>
        <w:rPr>
          <w:color w:val="auto"/>
          <w:sz w:val="24"/>
          <w:highlight w:val="none"/>
        </w:rPr>
        <w:t>3.</w:t>
      </w:r>
      <w:r>
        <w:rPr>
          <w:bCs/>
          <w:color w:val="auto"/>
          <w:sz w:val="24"/>
          <w:highlight w:val="none"/>
        </w:rPr>
        <w:t>供应商若提供其他增值服务，可以在表中自行据实填写。</w:t>
      </w:r>
    </w:p>
    <w:p>
      <w:pPr>
        <w:spacing w:line="360" w:lineRule="auto"/>
        <w:ind w:firstLine="482"/>
        <w:jc w:val="center"/>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4、供应商一般情况表</w:t>
      </w:r>
    </w:p>
    <w:tbl>
      <w:tblPr>
        <w:tblStyle w:val="22"/>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企业名称</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总部地址</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分支机构</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当地代表处地址</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电话</w:t>
            </w:r>
          </w:p>
        </w:tc>
        <w:tc>
          <w:tcPr>
            <w:tcW w:w="2408"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946"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传真</w:t>
            </w:r>
          </w:p>
        </w:tc>
        <w:tc>
          <w:tcPr>
            <w:tcW w:w="2408"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电子邮件</w:t>
            </w:r>
          </w:p>
        </w:tc>
        <w:tc>
          <w:tcPr>
            <w:tcW w:w="2946"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注册地</w:t>
            </w:r>
          </w:p>
        </w:tc>
        <w:tc>
          <w:tcPr>
            <w:tcW w:w="2408"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注册年份</w:t>
            </w:r>
          </w:p>
        </w:tc>
        <w:tc>
          <w:tcPr>
            <w:tcW w:w="2946"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资质等级</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r>
              <w:rPr>
                <w:rFonts w:hint="eastAsia" w:ascii="宋体" w:hAnsi="宋体" w:cs="宋体"/>
                <w:color w:val="auto"/>
                <w:sz w:val="24"/>
                <w:highlight w:val="none"/>
              </w:rPr>
              <w:t>公司具备的相关资质等级及相应的证书号</w:t>
            </w:r>
          </w:p>
          <w:p>
            <w:pPr>
              <w:spacing w:line="360" w:lineRule="auto"/>
              <w:rPr>
                <w:rFonts w:ascii="宋体" w:hAnsi="宋体" w:cs="宋体"/>
                <w:color w:val="auto"/>
                <w:sz w:val="24"/>
                <w:highlight w:val="none"/>
              </w:rPr>
            </w:pPr>
            <w:r>
              <w:rPr>
                <w:rFonts w:hint="eastAsia" w:ascii="宋体" w:hAnsi="宋体" w:cs="宋体"/>
                <w:color w:val="auto"/>
                <w:sz w:val="24"/>
                <w:highlight w:val="none"/>
              </w:rPr>
              <w:t>（请附有关证书的复印件）</w:t>
            </w: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质量管理体系</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r>
              <w:rPr>
                <w:rFonts w:hint="eastAsia" w:ascii="宋体" w:hAnsi="宋体" w:cs="宋体"/>
                <w:color w:val="auto"/>
                <w:sz w:val="24"/>
                <w:highlight w:val="none"/>
              </w:rPr>
              <w:t>公司</w:t>
            </w:r>
            <w:r>
              <w:rPr>
                <w:rFonts w:hint="eastAsia" w:ascii="宋体" w:hAnsi="宋体" w:cs="宋体"/>
                <w:color w:val="auto"/>
                <w:sz w:val="24"/>
                <w:highlight w:val="none"/>
                <w:u w:val="single"/>
              </w:rPr>
              <w:t xml:space="preserve">   （是否通过，何种）   </w:t>
            </w:r>
            <w:r>
              <w:rPr>
                <w:rFonts w:hint="eastAsia" w:ascii="宋体" w:hAnsi="宋体" w:cs="宋体"/>
                <w:color w:val="auto"/>
                <w:sz w:val="24"/>
                <w:highlight w:val="none"/>
              </w:rPr>
              <w:t>质量保证体系认证（如通过请附相关在有效期内的证书复印件）</w:t>
            </w: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1559"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color w:val="auto"/>
                <w:sz w:val="24"/>
                <w:highlight w:val="none"/>
              </w:rPr>
            </w:pPr>
          </w:p>
        </w:tc>
        <w:tc>
          <w:tcPr>
            <w:tcW w:w="1417"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466"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467" w:type="dxa"/>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职务职称</w:t>
            </w:r>
          </w:p>
        </w:tc>
        <w:tc>
          <w:tcPr>
            <w:tcW w:w="2976" w:type="dxa"/>
            <w:gridSpan w:val="4"/>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p>
        </w:tc>
        <w:tc>
          <w:tcPr>
            <w:tcW w:w="1466" w:type="dxa"/>
            <w:gridSpan w:val="2"/>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r>
              <w:rPr>
                <w:rFonts w:hint="eastAsia" w:ascii="宋体" w:hAnsi="宋体" w:cs="宋体"/>
                <w:color w:val="auto"/>
                <w:sz w:val="24"/>
                <w:highlight w:val="none"/>
              </w:rPr>
              <w:t>执业资格</w:t>
            </w:r>
          </w:p>
        </w:tc>
        <w:tc>
          <w:tcPr>
            <w:tcW w:w="2787" w:type="dxa"/>
            <w:gridSpan w:val="2"/>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r>
              <w:rPr>
                <w:rFonts w:hint="eastAsia" w:ascii="宋体" w:hAnsi="宋体" w:cs="宋体"/>
                <w:color w:val="auto"/>
                <w:sz w:val="24"/>
                <w:highlight w:val="none"/>
              </w:rPr>
              <w:t>营业执照载明：</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1.</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2.</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3.</w:t>
            </w:r>
          </w:p>
          <w:p>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tcPr>
          <w:p>
            <w:pPr>
              <w:spacing w:line="360" w:lineRule="auto"/>
              <w:rPr>
                <w:rFonts w:ascii="宋体" w:hAnsi="宋体" w:cs="宋体"/>
                <w:color w:val="auto"/>
                <w:sz w:val="24"/>
                <w:highlight w:val="none"/>
              </w:rPr>
            </w:pPr>
          </w:p>
        </w:tc>
      </w:tr>
    </w:tbl>
    <w:p>
      <w:pPr>
        <w:spacing w:line="360" w:lineRule="auto"/>
        <w:ind w:firstLine="480" w:firstLineChars="200"/>
        <w:jc w:val="right"/>
        <w:rPr>
          <w:rFonts w:ascii="宋体" w:hAnsi="宋体" w:cs="宋体"/>
          <w:color w:val="auto"/>
          <w:sz w:val="24"/>
          <w:highlight w:val="none"/>
        </w:rPr>
      </w:pP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供应商：（加盖公章）</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pPr>
        <w:spacing w:line="360" w:lineRule="auto"/>
        <w:ind w:firstLine="1320" w:firstLineChars="550"/>
        <w:jc w:val="right"/>
        <w:rPr>
          <w:rFonts w:ascii="宋体" w:hAnsi="宋体" w:cs="宋体"/>
          <w:color w:val="auto"/>
          <w:sz w:val="24"/>
          <w:highlight w:val="none"/>
        </w:rPr>
      </w:pPr>
      <w:r>
        <w:rPr>
          <w:rFonts w:hint="eastAsia" w:ascii="宋体" w:hAnsi="宋体" w:cs="宋体"/>
          <w:color w:val="auto"/>
          <w:sz w:val="24"/>
          <w:highlight w:val="none"/>
        </w:rPr>
        <w:t>年      月     日</w:t>
      </w: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spacing w:line="520" w:lineRule="exact"/>
        <w:ind w:firstLine="482"/>
        <w:jc w:val="center"/>
        <w:rPr>
          <w:rFonts w:ascii="宋体" w:hAnsi="宋体" w:cs="宋体"/>
          <w:b/>
          <w:color w:val="auto"/>
          <w:sz w:val="24"/>
          <w:highlight w:val="none"/>
        </w:rPr>
      </w:pPr>
      <w:r>
        <w:rPr>
          <w:rFonts w:hint="eastAsia" w:ascii="宋体" w:hAnsi="宋体" w:cs="宋体"/>
          <w:b/>
          <w:bCs/>
          <w:color w:val="auto"/>
          <w:sz w:val="24"/>
          <w:highlight w:val="none"/>
        </w:rPr>
        <w:t>三、</w:t>
      </w:r>
      <w:r>
        <w:rPr>
          <w:rFonts w:hint="eastAsia" w:ascii="宋体" w:hAnsi="宋体" w:cs="宋体"/>
          <w:b/>
          <w:color w:val="auto"/>
          <w:sz w:val="24"/>
          <w:highlight w:val="none"/>
        </w:rPr>
        <w:t>报价文件相关的格式文件及表格</w:t>
      </w:r>
    </w:p>
    <w:p>
      <w:pPr>
        <w:widowControl/>
        <w:shd w:val="clear" w:color="auto" w:fill="FFFFFF"/>
        <w:ind w:firstLine="643"/>
        <w:jc w:val="center"/>
        <w:rPr>
          <w:rFonts w:ascii="宋体" w:hAnsi="宋体"/>
          <w:b/>
          <w:color w:val="auto"/>
          <w:sz w:val="32"/>
          <w:szCs w:val="32"/>
          <w:highlight w:val="none"/>
        </w:rPr>
      </w:pPr>
      <w:r>
        <w:rPr>
          <w:rFonts w:hint="eastAsia" w:ascii="宋体" w:hAnsi="宋体"/>
          <w:b/>
          <w:color w:val="auto"/>
          <w:sz w:val="32"/>
          <w:szCs w:val="32"/>
          <w:highlight w:val="none"/>
        </w:rPr>
        <w:t>1、磋商报价总表</w:t>
      </w:r>
    </w:p>
    <w:tbl>
      <w:tblPr>
        <w:tblStyle w:val="22"/>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jc w:val="center"/>
        </w:trPr>
        <w:tc>
          <w:tcPr>
            <w:tcW w:w="2756" w:type="dxa"/>
            <w:noWrap/>
            <w:vAlign w:val="center"/>
          </w:tcPr>
          <w:p>
            <w:pPr>
              <w:kinsoku w:val="0"/>
              <w:topLinePunct/>
              <w:jc w:val="center"/>
              <w:rPr>
                <w:rFonts w:ascii="宋体" w:hAnsi="宋体"/>
                <w:color w:val="auto"/>
                <w:sz w:val="24"/>
                <w:highlight w:val="none"/>
              </w:rPr>
            </w:pPr>
            <w:r>
              <w:rPr>
                <w:rFonts w:hint="eastAsia" w:ascii="宋体" w:hAnsi="宋体" w:cs="宋体"/>
                <w:color w:val="auto"/>
                <w:sz w:val="24"/>
                <w:highlight w:val="none"/>
              </w:rPr>
              <w:t>项目名称</w:t>
            </w:r>
          </w:p>
        </w:tc>
        <w:tc>
          <w:tcPr>
            <w:tcW w:w="5997" w:type="dxa"/>
            <w:noWrap/>
            <w:vAlign w:val="center"/>
          </w:tcPr>
          <w:p>
            <w:pPr>
              <w:kinsoku w:val="0"/>
              <w:topLinePunct/>
              <w:rPr>
                <w:rFonts w:ascii="宋体" w:hAnsi="宋体"/>
                <w:strike/>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pPr>
              <w:kinsoku w:val="0"/>
              <w:topLinePunct/>
              <w:jc w:val="center"/>
              <w:rPr>
                <w:rFonts w:ascii="宋体" w:hAnsi="宋体"/>
                <w:color w:val="auto"/>
                <w:sz w:val="24"/>
                <w:highlight w:val="none"/>
              </w:rPr>
            </w:pPr>
            <w:r>
              <w:rPr>
                <w:rFonts w:hint="eastAsia" w:ascii="宋体" w:hAnsi="宋体" w:cs="宋体"/>
                <w:color w:val="auto"/>
                <w:sz w:val="24"/>
                <w:highlight w:val="none"/>
              </w:rPr>
              <w:t>项目编号</w:t>
            </w:r>
          </w:p>
        </w:tc>
        <w:tc>
          <w:tcPr>
            <w:tcW w:w="5997" w:type="dxa"/>
            <w:noWrap/>
            <w:vAlign w:val="center"/>
          </w:tcPr>
          <w:p>
            <w:pPr>
              <w:kinsoku w:val="0"/>
              <w:topLinePun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restart"/>
            <w:noWrap/>
            <w:vAlign w:val="center"/>
          </w:tcPr>
          <w:p>
            <w:pPr>
              <w:kinsoku w:val="0"/>
              <w:topLinePunct/>
              <w:jc w:val="center"/>
              <w:rPr>
                <w:rFonts w:ascii="宋体" w:hAnsi="宋体"/>
                <w:color w:val="auto"/>
                <w:sz w:val="24"/>
                <w:highlight w:val="none"/>
              </w:rPr>
            </w:pPr>
            <w:r>
              <w:rPr>
                <w:rFonts w:hint="eastAsia" w:ascii="宋体" w:hAnsi="宋体" w:cs="宋体"/>
                <w:color w:val="auto"/>
                <w:sz w:val="24"/>
                <w:highlight w:val="none"/>
              </w:rPr>
              <w:t>首次报价</w:t>
            </w:r>
          </w:p>
        </w:tc>
        <w:tc>
          <w:tcPr>
            <w:tcW w:w="5997" w:type="dxa"/>
            <w:noWrap/>
            <w:vAlign w:val="center"/>
          </w:tcPr>
          <w:p>
            <w:pPr>
              <w:kinsoku w:val="0"/>
              <w:topLinePunct/>
              <w:spacing w:line="500" w:lineRule="exact"/>
              <w:rPr>
                <w:rFonts w:hint="eastAsia" w:ascii="宋体" w:hAnsi="宋体"/>
                <w:color w:val="auto"/>
                <w:sz w:val="24"/>
                <w:highlight w:val="none"/>
              </w:rPr>
            </w:pPr>
            <w:r>
              <w:rPr>
                <w:rFonts w:hint="eastAsia" w:ascii="宋体" w:hAnsi="宋体"/>
                <w:color w:val="auto"/>
                <w:sz w:val="24"/>
                <w:highlight w:val="none"/>
              </w:rPr>
              <w:t>总价：</w:t>
            </w:r>
          </w:p>
          <w:p>
            <w:pPr>
              <w:kinsoku w:val="0"/>
              <w:topLinePunct/>
              <w:spacing w:line="500" w:lineRule="exact"/>
              <w:rPr>
                <w:rFonts w:ascii="宋体" w:hAnsi="宋体" w:cs="宋体"/>
                <w:color w:val="auto"/>
                <w:sz w:val="24"/>
                <w:highlight w:val="none"/>
                <w:u w:val="single"/>
              </w:rPr>
            </w:pP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pPr>
              <w:kinsoku w:val="0"/>
              <w:topLinePunct/>
              <w:spacing w:line="500" w:lineRule="exact"/>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756" w:type="dxa"/>
            <w:vMerge w:val="continue"/>
            <w:noWrap/>
            <w:vAlign w:val="center"/>
          </w:tcPr>
          <w:p>
            <w:pPr>
              <w:kinsoku w:val="0"/>
              <w:topLinePunct/>
              <w:jc w:val="center"/>
              <w:rPr>
                <w:rFonts w:ascii="宋体" w:hAnsi="宋体" w:cs="宋体"/>
                <w:color w:val="auto"/>
                <w:sz w:val="24"/>
                <w:highlight w:val="none"/>
              </w:rPr>
            </w:pPr>
          </w:p>
        </w:tc>
        <w:tc>
          <w:tcPr>
            <w:tcW w:w="5997" w:type="dxa"/>
            <w:noWrap/>
            <w:vAlign w:val="center"/>
          </w:tcPr>
          <w:p>
            <w:pPr>
              <w:kinsoku w:val="0"/>
              <w:topLinePunct/>
              <w:rPr>
                <w:rFonts w:ascii="宋体" w:hAnsi="宋体"/>
                <w:color w:val="auto"/>
                <w:sz w:val="24"/>
                <w:highlight w:val="none"/>
                <w:u w:val="single"/>
              </w:rPr>
            </w:pPr>
            <w:r>
              <w:rPr>
                <w:rFonts w:hint="eastAsia" w:ascii="宋体" w:hAnsi="宋体"/>
                <w:color w:val="auto"/>
                <w:sz w:val="24"/>
                <w:highlight w:val="none"/>
              </w:rPr>
              <w:t>税率：</w:t>
            </w:r>
            <w:r>
              <w:rPr>
                <w:rFonts w:hint="eastAsia" w:ascii="宋体" w:hAnsi="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restart"/>
            <w:noWrap/>
            <w:vAlign w:val="center"/>
          </w:tcPr>
          <w:p>
            <w:pPr>
              <w:kinsoku w:val="0"/>
              <w:topLinePunct/>
              <w:jc w:val="center"/>
              <w:rPr>
                <w:rFonts w:ascii="宋体" w:hAnsi="宋体" w:cs="宋体"/>
                <w:color w:val="auto"/>
                <w:sz w:val="24"/>
                <w:highlight w:val="none"/>
              </w:rPr>
            </w:pPr>
            <w:r>
              <w:rPr>
                <w:rFonts w:hint="eastAsia" w:ascii="宋体" w:hAnsi="宋体" w:cs="宋体"/>
                <w:color w:val="auto"/>
                <w:sz w:val="24"/>
                <w:highlight w:val="none"/>
              </w:rPr>
              <w:t>最后报价</w:t>
            </w:r>
          </w:p>
        </w:tc>
        <w:tc>
          <w:tcPr>
            <w:tcW w:w="5997" w:type="dxa"/>
            <w:noWrap/>
            <w:vAlign w:val="center"/>
          </w:tcPr>
          <w:p>
            <w:pPr>
              <w:kinsoku w:val="0"/>
              <w:topLinePunct/>
              <w:spacing w:line="500" w:lineRule="exact"/>
              <w:rPr>
                <w:rFonts w:hint="eastAsia" w:ascii="宋体" w:hAnsi="宋体"/>
                <w:color w:val="auto"/>
                <w:sz w:val="24"/>
                <w:highlight w:val="none"/>
              </w:rPr>
            </w:pPr>
            <w:r>
              <w:rPr>
                <w:rFonts w:hint="eastAsia" w:ascii="宋体" w:hAnsi="宋体"/>
                <w:color w:val="auto"/>
                <w:sz w:val="24"/>
                <w:highlight w:val="none"/>
              </w:rPr>
              <w:t>总价：</w:t>
            </w:r>
          </w:p>
          <w:p>
            <w:pPr>
              <w:kinsoku w:val="0"/>
              <w:topLinePunct/>
              <w:spacing w:line="500" w:lineRule="exact"/>
              <w:rPr>
                <w:rFonts w:ascii="宋体" w:hAnsi="宋体" w:cs="宋体"/>
                <w:color w:val="auto"/>
                <w:sz w:val="24"/>
                <w:highlight w:val="none"/>
                <w:u w:val="single"/>
              </w:rPr>
            </w:pP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pPr>
              <w:kinsoku w:val="0"/>
              <w:topLinePunct/>
              <w:spacing w:line="500" w:lineRule="exact"/>
              <w:rPr>
                <w:rFonts w:ascii="宋体" w:hAnsi="宋体"/>
                <w:color w:val="auto"/>
                <w:sz w:val="24"/>
                <w:highlight w:val="none"/>
                <w:u w:val="singl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756" w:type="dxa"/>
            <w:vMerge w:val="continue"/>
            <w:noWrap/>
            <w:vAlign w:val="center"/>
          </w:tcPr>
          <w:p>
            <w:pPr>
              <w:kinsoku w:val="0"/>
              <w:topLinePunct/>
              <w:jc w:val="center"/>
              <w:rPr>
                <w:rFonts w:ascii="宋体" w:hAnsi="宋体" w:cs="宋体"/>
                <w:color w:val="auto"/>
                <w:sz w:val="24"/>
                <w:highlight w:val="none"/>
              </w:rPr>
            </w:pPr>
          </w:p>
        </w:tc>
        <w:tc>
          <w:tcPr>
            <w:tcW w:w="5997" w:type="dxa"/>
            <w:noWrap/>
            <w:vAlign w:val="center"/>
          </w:tcPr>
          <w:p>
            <w:pPr>
              <w:kinsoku w:val="0"/>
              <w:topLinePunct/>
              <w:rPr>
                <w:rFonts w:ascii="宋体" w:hAnsi="宋体"/>
                <w:color w:val="auto"/>
                <w:sz w:val="24"/>
                <w:highlight w:val="none"/>
                <w:u w:val="single"/>
              </w:rPr>
            </w:pPr>
            <w:r>
              <w:rPr>
                <w:rFonts w:hint="eastAsia" w:ascii="宋体" w:hAnsi="宋体"/>
                <w:color w:val="auto"/>
                <w:sz w:val="24"/>
                <w:highlight w:val="none"/>
              </w:rPr>
              <w:t>税率：</w:t>
            </w:r>
            <w:r>
              <w:rPr>
                <w:rFonts w:hint="eastAsia" w:ascii="宋体" w:hAnsi="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53" w:type="dxa"/>
            <w:gridSpan w:val="2"/>
            <w:noWrap/>
            <w:vAlign w:val="center"/>
          </w:tcPr>
          <w:p>
            <w:pPr>
              <w:topLinePunct/>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注：以上所报总价均包含增值税税率对应税金，</w:t>
            </w:r>
            <w:r>
              <w:rPr>
                <w:rFonts w:hint="eastAsia" w:ascii="宋体" w:hAnsi="宋体"/>
                <w:b/>
                <w:bCs/>
                <w:color w:val="auto"/>
                <w:sz w:val="24"/>
                <w:highlight w:val="none"/>
              </w:rPr>
              <w:t>税率由供应商根据自身单位情况自行填报。</w:t>
            </w:r>
          </w:p>
        </w:tc>
      </w:tr>
    </w:tbl>
    <w:p>
      <w:pPr>
        <w:kinsoku w:val="0"/>
        <w:topLinePunct/>
        <w:snapToGrid w:val="0"/>
        <w:spacing w:line="520" w:lineRule="exact"/>
        <w:rPr>
          <w:rFonts w:ascii="宋体" w:hAnsi="宋体" w:cs="宋体"/>
          <w:color w:val="auto"/>
          <w:sz w:val="24"/>
          <w:highlight w:val="none"/>
        </w:rPr>
      </w:pPr>
      <w:r>
        <w:rPr>
          <w:rFonts w:hint="eastAsia" w:ascii="宋体" w:hAnsi="宋体" w:cs="宋体"/>
          <w:color w:val="auto"/>
          <w:sz w:val="24"/>
          <w:highlight w:val="none"/>
        </w:rPr>
        <w:t>竞争性磋商响应单位：（盖章）</w:t>
      </w:r>
    </w:p>
    <w:p>
      <w:pPr>
        <w:kinsoku w:val="0"/>
        <w:topLinePunct/>
        <w:snapToGrid w:val="0"/>
        <w:spacing w:line="520" w:lineRule="exact"/>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pPr>
        <w:kinsoku w:val="0"/>
        <w:topLinePunct/>
        <w:snapToGrid w:val="0"/>
        <w:spacing w:line="520" w:lineRule="exact"/>
        <w:rPr>
          <w:rFonts w:ascii="宋体" w:hAnsi="宋体" w:cs="宋体"/>
          <w:color w:val="auto"/>
          <w:sz w:val="24"/>
          <w:highlight w:val="none"/>
        </w:rPr>
      </w:pPr>
      <w:r>
        <w:rPr>
          <w:rFonts w:hint="eastAsia" w:ascii="宋体" w:hAnsi="宋体" w:cs="宋体"/>
          <w:color w:val="auto"/>
          <w:sz w:val="24"/>
          <w:highlight w:val="none"/>
        </w:rPr>
        <w:t>日期：      年    月    日</w:t>
      </w:r>
    </w:p>
    <w:p>
      <w:pPr>
        <w:snapToGrid w:val="0"/>
        <w:spacing w:line="48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注：</w:t>
      </w:r>
    </w:p>
    <w:p>
      <w:pPr>
        <w:snapToGrid w:val="0"/>
        <w:spacing w:line="480" w:lineRule="exact"/>
        <w:ind w:firstLine="482" w:firstLineChars="200"/>
        <w:jc w:val="left"/>
        <w:rPr>
          <w:rFonts w:ascii="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1</w:t>
      </w:r>
      <w:r>
        <w:rPr>
          <w:rFonts w:hint="eastAsia" w:ascii="宋体" w:hAnsi="宋体" w:cs="宋体"/>
          <w:b/>
          <w:bCs/>
          <w:color w:val="auto"/>
          <w:sz w:val="24"/>
          <w:highlight w:val="none"/>
        </w:rPr>
        <w:t>）本表为格式表，不得自行改动，必须提供。</w:t>
      </w:r>
    </w:p>
    <w:p>
      <w:pPr>
        <w:snapToGrid w:val="0"/>
        <w:spacing w:line="48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（2）最后报价将在磋商现场填写，响应文件密封提交时只需填写首次报价。</w:t>
      </w:r>
    </w:p>
    <w:p>
      <w:pPr>
        <w:snapToGrid w:val="0"/>
        <w:spacing w:line="48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（3）最后报价中的税率必须与首次报价中的税率相同，否则作无效响应处理。</w:t>
      </w:r>
    </w:p>
    <w:p>
      <w:pPr>
        <w:snapToGrid w:val="0"/>
        <w:spacing w:line="480" w:lineRule="exact"/>
        <w:ind w:firstLine="482" w:firstLineChars="200"/>
        <w:jc w:val="left"/>
        <w:rPr>
          <w:rFonts w:ascii="宋体" w:hAnsi="宋体" w:cs="宋体"/>
          <w:b/>
          <w:bCs/>
          <w:color w:val="auto"/>
          <w:sz w:val="24"/>
          <w:highlight w:val="none"/>
        </w:rPr>
        <w:sectPr>
          <w:footerReference r:id="rId3" w:type="default"/>
          <w:pgSz w:w="11907" w:h="16839"/>
          <w:pgMar w:top="1418" w:right="1417" w:bottom="1418" w:left="1474" w:header="851" w:footer="851" w:gutter="0"/>
          <w:pgNumType w:start="1"/>
          <w:cols w:space="720" w:num="1"/>
          <w:docGrid w:linePitch="286" w:charSpace="0"/>
        </w:sectPr>
      </w:pPr>
      <w:r>
        <w:rPr>
          <w:rFonts w:hint="eastAsia" w:ascii="宋体" w:hAnsi="宋体" w:cs="宋体"/>
          <w:b/>
          <w:bCs/>
          <w:color w:val="auto"/>
          <w:sz w:val="24"/>
          <w:highlight w:val="none"/>
        </w:rPr>
        <w:t>（4）最终报价不得高于各自供应商首次报价，否则作无效响应处理。</w:t>
      </w:r>
    </w:p>
    <w:p>
      <w:pPr>
        <w:widowControl/>
        <w:shd w:val="clear" w:color="auto" w:fill="FFFFFF"/>
        <w:ind w:firstLine="643"/>
        <w:jc w:val="center"/>
        <w:rPr>
          <w:rFonts w:ascii="宋体" w:hAnsi="宋体"/>
          <w:b/>
          <w:color w:val="auto"/>
          <w:sz w:val="32"/>
          <w:szCs w:val="32"/>
          <w:highlight w:val="none"/>
        </w:rPr>
      </w:pPr>
      <w:r>
        <w:rPr>
          <w:rFonts w:hint="eastAsia" w:ascii="宋体" w:hAnsi="宋体"/>
          <w:b/>
          <w:color w:val="auto"/>
          <w:sz w:val="32"/>
          <w:szCs w:val="32"/>
          <w:highlight w:val="none"/>
        </w:rPr>
        <w:t>2、磋商响应报价明细表（首次）</w:t>
      </w:r>
    </w:p>
    <w:p>
      <w:pPr>
        <w:widowControl/>
        <w:shd w:val="clear" w:color="auto" w:fill="FFFFFF"/>
        <w:ind w:firstLine="643"/>
        <w:rPr>
          <w:rFonts w:ascii="宋体" w:hAnsi="宋体"/>
          <w:b/>
          <w:bCs/>
          <w:color w:val="auto"/>
          <w:sz w:val="32"/>
          <w:szCs w:val="32"/>
          <w:highlight w:val="none"/>
        </w:rPr>
      </w:pPr>
    </w:p>
    <w:tbl>
      <w:tblPr>
        <w:tblStyle w:val="23"/>
        <w:tblW w:w="515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0"/>
        <w:gridCol w:w="1845"/>
        <w:gridCol w:w="1240"/>
        <w:gridCol w:w="1061"/>
        <w:gridCol w:w="1200"/>
        <w:gridCol w:w="1307"/>
        <w:gridCol w:w="11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报纸名称</w:t>
            </w:r>
          </w:p>
        </w:tc>
        <w:tc>
          <w:tcPr>
            <w:tcW w:w="10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时间范围</w:t>
            </w:r>
          </w:p>
        </w:tc>
        <w:tc>
          <w:tcPr>
            <w:tcW w:w="6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字体版式</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开本</w:t>
            </w:r>
          </w:p>
        </w:tc>
        <w:tc>
          <w:tcPr>
            <w:tcW w:w="6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版面数量</w:t>
            </w:r>
          </w:p>
        </w:tc>
        <w:tc>
          <w:tcPr>
            <w:tcW w:w="7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单价</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元</w:t>
            </w:r>
            <w:r>
              <w:rPr>
                <w:rFonts w:hint="eastAsia" w:asciiTheme="minorEastAsia" w:hAnsiTheme="minorEastAsia" w:eastAsiaTheme="minorEastAsia" w:cstheme="minorEastAsia"/>
                <w:color w:val="auto"/>
                <w:kern w:val="0"/>
                <w:szCs w:val="21"/>
                <w:highlight w:val="none"/>
                <w:lang w:eastAsia="zh-CN"/>
              </w:rPr>
              <w:t>）</w:t>
            </w:r>
          </w:p>
        </w:tc>
        <w:tc>
          <w:tcPr>
            <w:tcW w:w="6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小计（元）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江海报</w:t>
            </w:r>
          </w:p>
        </w:tc>
        <w:tc>
          <w:tcPr>
            <w:tcW w:w="10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1942-1952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1952-1957</w:t>
            </w:r>
          </w:p>
        </w:tc>
        <w:tc>
          <w:tcPr>
            <w:tcW w:w="6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繁体竖排</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四开</w:t>
            </w:r>
          </w:p>
        </w:tc>
        <w:tc>
          <w:tcPr>
            <w:tcW w:w="6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4000版</w:t>
            </w:r>
          </w:p>
        </w:tc>
        <w:tc>
          <w:tcPr>
            <w:tcW w:w="7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c>
          <w:tcPr>
            <w:tcW w:w="6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7"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南通日报</w:t>
            </w:r>
          </w:p>
        </w:tc>
        <w:tc>
          <w:tcPr>
            <w:tcW w:w="10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1951.8.6—1951.8.17 1952.11.16—1955.12.30</w:t>
            </w:r>
          </w:p>
        </w:tc>
        <w:tc>
          <w:tcPr>
            <w:tcW w:w="6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繁体竖排</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四开</w:t>
            </w:r>
          </w:p>
        </w:tc>
        <w:tc>
          <w:tcPr>
            <w:tcW w:w="6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1352版</w:t>
            </w:r>
          </w:p>
        </w:tc>
        <w:tc>
          <w:tcPr>
            <w:tcW w:w="7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c>
          <w:tcPr>
            <w:tcW w:w="6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c>
          <w:tcPr>
            <w:tcW w:w="10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1956.1.1—1964.5.31</w:t>
            </w:r>
          </w:p>
        </w:tc>
        <w:tc>
          <w:tcPr>
            <w:tcW w:w="6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繁体横排</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四开</w:t>
            </w:r>
          </w:p>
        </w:tc>
        <w:tc>
          <w:tcPr>
            <w:tcW w:w="6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8474版</w:t>
            </w:r>
          </w:p>
        </w:tc>
        <w:tc>
          <w:tcPr>
            <w:tcW w:w="7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c>
          <w:tcPr>
            <w:tcW w:w="6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c>
          <w:tcPr>
            <w:tcW w:w="10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1964.6.1—1971.8.31</w:t>
            </w:r>
          </w:p>
        </w:tc>
        <w:tc>
          <w:tcPr>
            <w:tcW w:w="6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繁简混排</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四开</w:t>
            </w:r>
          </w:p>
        </w:tc>
        <w:tc>
          <w:tcPr>
            <w:tcW w:w="6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9048版</w:t>
            </w:r>
          </w:p>
        </w:tc>
        <w:tc>
          <w:tcPr>
            <w:tcW w:w="7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c>
          <w:tcPr>
            <w:tcW w:w="6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c>
          <w:tcPr>
            <w:tcW w:w="10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1977.6.25—1981.12.31</w:t>
            </w:r>
          </w:p>
        </w:tc>
        <w:tc>
          <w:tcPr>
            <w:tcW w:w="6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简体横排</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四开</w:t>
            </w:r>
          </w:p>
        </w:tc>
        <w:tc>
          <w:tcPr>
            <w:tcW w:w="6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1836版</w:t>
            </w:r>
          </w:p>
        </w:tc>
        <w:tc>
          <w:tcPr>
            <w:tcW w:w="7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c>
          <w:tcPr>
            <w:tcW w:w="6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c>
          <w:tcPr>
            <w:tcW w:w="10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补缺预估</w:t>
            </w:r>
          </w:p>
        </w:tc>
        <w:tc>
          <w:tcPr>
            <w:tcW w:w="6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繁体横排</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四开</w:t>
            </w:r>
          </w:p>
        </w:tc>
        <w:tc>
          <w:tcPr>
            <w:tcW w:w="6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300版</w:t>
            </w:r>
          </w:p>
        </w:tc>
        <w:tc>
          <w:tcPr>
            <w:tcW w:w="7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c>
          <w:tcPr>
            <w:tcW w:w="6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c>
          <w:tcPr>
            <w:tcW w:w="10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补缺预估</w:t>
            </w:r>
          </w:p>
        </w:tc>
        <w:tc>
          <w:tcPr>
            <w:tcW w:w="6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简体横排</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四开</w:t>
            </w:r>
          </w:p>
        </w:tc>
        <w:tc>
          <w:tcPr>
            <w:tcW w:w="6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200版</w:t>
            </w:r>
          </w:p>
        </w:tc>
        <w:tc>
          <w:tcPr>
            <w:tcW w:w="7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c>
          <w:tcPr>
            <w:tcW w:w="6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检索数据库</w:t>
            </w:r>
          </w:p>
        </w:tc>
        <w:tc>
          <w:tcPr>
            <w:tcW w:w="2897" w:type="pct"/>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1套（本地化部署）</w:t>
            </w:r>
          </w:p>
        </w:tc>
        <w:tc>
          <w:tcPr>
            <w:tcW w:w="7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c>
          <w:tcPr>
            <w:tcW w:w="6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7"/>
            <w:vAlign w:val="center"/>
          </w:tcPr>
          <w:p>
            <w:pPr>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 w:val="22"/>
                <w:highlight w:val="none"/>
              </w:rPr>
              <w:t>合计人民币（小写）：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7"/>
            <w:vAlign w:val="center"/>
          </w:tcPr>
          <w:p>
            <w:pPr>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 w:val="22"/>
                <w:highlight w:val="none"/>
              </w:rPr>
              <w:t>合计人民币（大写）：</w:t>
            </w:r>
          </w:p>
        </w:tc>
      </w:tr>
    </w:tbl>
    <w:p>
      <w:pPr>
        <w:widowControl/>
        <w:shd w:val="clear" w:color="auto" w:fill="FFFFFF"/>
        <w:rPr>
          <w:rFonts w:ascii="宋体" w:hAnsi="宋体"/>
          <w:b/>
          <w:bCs/>
          <w:color w:val="auto"/>
          <w:sz w:val="32"/>
          <w:szCs w:val="32"/>
          <w:highlight w:val="none"/>
        </w:rPr>
      </w:pP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w:t>
      </w:r>
    </w:p>
    <w:p>
      <w:pPr>
        <w:numPr>
          <w:ilvl w:val="0"/>
          <w:numId w:val="28"/>
        </w:num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本表中数量为暂定，在响应文件中不得变动，结算时以具体数量进行结算</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2、结算时磋商响应报价明细表中单价报价以最终报价与首次报价的下浮比例进行同比例下浮，具体计算公式如下：</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最终单价报价=首次单价报价*（1-下浮率）</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下浮率=[1-最后报价总价/首次报价总价]*100%</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3、本磋商响应报价明细表在响应文件中不得变动，否则作无效响应处理。</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供应商（盖单位公章）：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drawing>
          <wp:anchor distT="0" distB="0" distL="114300" distR="114300" simplePos="0" relativeHeight="251659264" behindDoc="1" locked="0" layoutInCell="0" allowOverlap="1">
            <wp:simplePos x="0" y="0"/>
            <wp:positionH relativeFrom="column">
              <wp:posOffset>2799715</wp:posOffset>
            </wp:positionH>
            <wp:positionV relativeFrom="paragraph">
              <wp:posOffset>219710</wp:posOffset>
            </wp:positionV>
            <wp:extent cx="1930400" cy="12065"/>
            <wp:effectExtent l="0" t="0" r="0" b="0"/>
            <wp:wrapNone/>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7"/>
                    <a:stretch>
                      <a:fillRect/>
                    </a:stretch>
                  </pic:blipFill>
                  <pic:spPr>
                    <a:xfrm>
                      <a:off x="0" y="0"/>
                      <a:ext cx="1930400" cy="12065"/>
                    </a:xfrm>
                    <a:prstGeom prst="rect">
                      <a:avLst/>
                    </a:prstGeom>
                    <a:noFill/>
                    <a:ln>
                      <a:noFill/>
                    </a:ln>
                  </pic:spPr>
                </pic:pic>
              </a:graphicData>
            </a:graphic>
          </wp:anchor>
        </w:drawing>
      </w:r>
      <w:r>
        <w:rPr>
          <w:rFonts w:hint="eastAsia" w:ascii="宋体" w:hAnsi="宋体" w:cs="宋体"/>
          <w:color w:val="auto"/>
          <w:sz w:val="24"/>
          <w:highlight w:val="none"/>
        </w:rPr>
        <w:t>法定代表人或被授权人（签字或盖章）：</w:t>
      </w:r>
    </w:p>
    <w:p>
      <w:pPr>
        <w:pStyle w:val="2"/>
        <w:ind w:firstLine="480" w:firstLineChars="200"/>
        <w:rPr>
          <w:rFonts w:ascii="宋体" w:hAnsi="宋体" w:eastAsia="宋体" w:cs="宋体"/>
          <w:color w:val="auto"/>
          <w:highlight w:val="none"/>
        </w:rPr>
      </w:pPr>
      <w:r>
        <w:rPr>
          <w:rFonts w:hint="eastAsia" w:ascii="宋体" w:hAnsi="宋体" w:eastAsia="宋体" w:cs="宋体"/>
          <w:color w:val="auto"/>
          <w:szCs w:val="24"/>
          <w:highlight w:val="none"/>
        </w:rPr>
        <w:t>日期：         年    月    日</w:t>
      </w:r>
    </w:p>
    <w:sectPr>
      <w:pgSz w:w="11907" w:h="16839"/>
      <w:pgMar w:top="1418" w:right="1588" w:bottom="1418" w:left="1588" w:header="851" w:footer="737"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Light">
    <w:panose1 w:val="020B0502040204020203"/>
    <w:charset w:val="86"/>
    <w:family w:val="auto"/>
    <w:pitch w:val="default"/>
    <w:sig w:usb0="80000287" w:usb1="2ACF001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10</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0987A"/>
    <w:multiLevelType w:val="singleLevel"/>
    <w:tmpl w:val="8BF0987A"/>
    <w:lvl w:ilvl="0" w:tentative="0">
      <w:start w:val="1"/>
      <w:numFmt w:val="decimal"/>
      <w:lvlText w:val="%1)"/>
      <w:lvlJc w:val="left"/>
      <w:pPr>
        <w:ind w:left="0" w:firstLine="0"/>
      </w:pPr>
      <w:rPr>
        <w:rFonts w:hint="default"/>
      </w:rPr>
    </w:lvl>
  </w:abstractNum>
  <w:abstractNum w:abstractNumId="1">
    <w:nsid w:val="95C589EF"/>
    <w:multiLevelType w:val="multilevel"/>
    <w:tmpl w:val="95C589EF"/>
    <w:lvl w:ilvl="0" w:tentative="0">
      <w:start w:val="2"/>
      <w:numFmt w:val="decimal"/>
      <w:lvlText w:val="%1."/>
      <w:lvlJc w:val="left"/>
      <w:pPr>
        <w:ind w:left="425" w:hanging="425"/>
      </w:pPr>
      <w:rPr>
        <w:rFonts w:hint="default"/>
      </w:rPr>
    </w:lvl>
    <w:lvl w:ilvl="1" w:tentative="0">
      <w:start w:val="4"/>
      <w:numFmt w:val="decimal"/>
      <w:lvlText w:val="%1.%2."/>
      <w:lvlJc w:val="left"/>
      <w:pPr>
        <w:tabs>
          <w:tab w:val="left" w:pos="0"/>
        </w:tabs>
        <w:ind w:left="0" w:firstLine="0"/>
      </w:pPr>
      <w:rPr>
        <w:rFonts w:hint="default" w:eastAsia="仿宋"/>
        <w:sz w:val="24"/>
      </w:rPr>
    </w:lvl>
    <w:lvl w:ilvl="2" w:tentative="0">
      <w:start w:val="1"/>
      <w:numFmt w:val="decimal"/>
      <w:lvlText w:val="%1.%2.%3."/>
      <w:lvlJc w:val="left"/>
      <w:pPr>
        <w:ind w:left="0" w:firstLine="0"/>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98B34949"/>
    <w:multiLevelType w:val="multilevel"/>
    <w:tmpl w:val="98B34949"/>
    <w:lvl w:ilvl="0" w:tentative="0">
      <w:start w:val="1"/>
      <w:numFmt w:val="decimal"/>
      <w:lvlText w:val="%1."/>
      <w:lvlJc w:val="left"/>
      <w:pPr>
        <w:ind w:left="425" w:hanging="425"/>
      </w:pPr>
      <w:rPr>
        <w:rFonts w:hint="default" w:eastAsia="仿宋" w:cs="仿宋"/>
        <w:sz w:val="24"/>
        <w:szCs w:val="28"/>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9A87375C"/>
    <w:multiLevelType w:val="singleLevel"/>
    <w:tmpl w:val="9A87375C"/>
    <w:lvl w:ilvl="0" w:tentative="0">
      <w:start w:val="1"/>
      <w:numFmt w:val="decimal"/>
      <w:suff w:val="nothing"/>
      <w:lvlText w:val="（%1）"/>
      <w:lvlJc w:val="left"/>
    </w:lvl>
  </w:abstractNum>
  <w:abstractNum w:abstractNumId="4">
    <w:nsid w:val="9D7409D3"/>
    <w:multiLevelType w:val="singleLevel"/>
    <w:tmpl w:val="9D7409D3"/>
    <w:lvl w:ilvl="0" w:tentative="0">
      <w:start w:val="2"/>
      <w:numFmt w:val="decimal"/>
      <w:suff w:val="nothing"/>
      <w:lvlText w:val="%1、"/>
      <w:lvlJc w:val="left"/>
    </w:lvl>
  </w:abstractNum>
  <w:abstractNum w:abstractNumId="5">
    <w:nsid w:val="A48E8FB2"/>
    <w:multiLevelType w:val="multilevel"/>
    <w:tmpl w:val="A48E8FB2"/>
    <w:lvl w:ilvl="0" w:tentative="0">
      <w:start w:val="1"/>
      <w:numFmt w:val="decimal"/>
      <w:lvlText w:val="%1."/>
      <w:lvlJc w:val="left"/>
      <w:pPr>
        <w:tabs>
          <w:tab w:val="left" w:pos="0"/>
        </w:tabs>
        <w:ind w:left="425" w:hanging="425"/>
      </w:pPr>
      <w:rPr>
        <w:rFonts w:hint="default"/>
      </w:rPr>
    </w:lvl>
    <w:lvl w:ilvl="1" w:tentative="0">
      <w:start w:val="1"/>
      <w:numFmt w:val="decimal"/>
      <w:suff w:val="nothing"/>
      <w:lvlText w:val="%1.%2."/>
      <w:lvlJc w:val="left"/>
      <w:pPr>
        <w:ind w:left="0" w:firstLine="0"/>
      </w:pPr>
      <w:rPr>
        <w:rFonts w:hint="default"/>
      </w:rPr>
    </w:lvl>
    <w:lvl w:ilvl="2" w:tentative="0">
      <w:start w:val="1"/>
      <w:numFmt w:val="decimal"/>
      <w:lvlText w:val="%1.%2.%3."/>
      <w:lvlJc w:val="left"/>
      <w:pPr>
        <w:tabs>
          <w:tab w:val="left" w:pos="0"/>
        </w:tabs>
        <w:ind w:left="709" w:hanging="709"/>
      </w:pPr>
      <w:rPr>
        <w:rFonts w:hint="default"/>
      </w:rPr>
    </w:lvl>
    <w:lvl w:ilvl="3" w:tentative="0">
      <w:start w:val="1"/>
      <w:numFmt w:val="decimal"/>
      <w:lvlText w:val="%1.%2.%3.%4."/>
      <w:lvlJc w:val="left"/>
      <w:pPr>
        <w:tabs>
          <w:tab w:val="left" w:pos="0"/>
        </w:tabs>
        <w:ind w:left="850" w:hanging="850"/>
      </w:pPr>
      <w:rPr>
        <w:rFonts w:hint="default"/>
      </w:rPr>
    </w:lvl>
    <w:lvl w:ilvl="4" w:tentative="0">
      <w:start w:val="1"/>
      <w:numFmt w:val="decimal"/>
      <w:lvlText w:val="%1.%2.%3.%4.%5."/>
      <w:lvlJc w:val="left"/>
      <w:pPr>
        <w:tabs>
          <w:tab w:val="left" w:pos="0"/>
        </w:tabs>
        <w:ind w:left="991" w:hanging="991"/>
      </w:pPr>
      <w:rPr>
        <w:rFonts w:hint="default"/>
      </w:rPr>
    </w:lvl>
    <w:lvl w:ilvl="5" w:tentative="0">
      <w:start w:val="1"/>
      <w:numFmt w:val="decimal"/>
      <w:lvlText w:val="%1.%2.%3.%4.%5.%6."/>
      <w:lvlJc w:val="left"/>
      <w:pPr>
        <w:tabs>
          <w:tab w:val="left" w:pos="0"/>
        </w:tabs>
        <w:ind w:left="1134" w:hanging="1134"/>
      </w:pPr>
      <w:rPr>
        <w:rFonts w:hint="default"/>
      </w:rPr>
    </w:lvl>
    <w:lvl w:ilvl="6" w:tentative="0">
      <w:start w:val="1"/>
      <w:numFmt w:val="decimal"/>
      <w:lvlText w:val="%1.%2.%3.%4.%5.%6.%7."/>
      <w:lvlJc w:val="left"/>
      <w:pPr>
        <w:tabs>
          <w:tab w:val="left" w:pos="0"/>
        </w:tabs>
        <w:ind w:left="1275" w:hanging="1275"/>
      </w:pPr>
      <w:rPr>
        <w:rFonts w:hint="default"/>
      </w:rPr>
    </w:lvl>
    <w:lvl w:ilvl="7" w:tentative="0">
      <w:start w:val="1"/>
      <w:numFmt w:val="decimal"/>
      <w:lvlText w:val="%1.%2.%3.%4.%5.%6.%7.%8."/>
      <w:lvlJc w:val="left"/>
      <w:pPr>
        <w:tabs>
          <w:tab w:val="left" w:pos="0"/>
        </w:tabs>
        <w:ind w:left="1418" w:hanging="1418"/>
      </w:pPr>
      <w:rPr>
        <w:rFonts w:hint="default"/>
      </w:rPr>
    </w:lvl>
    <w:lvl w:ilvl="8" w:tentative="0">
      <w:start w:val="1"/>
      <w:numFmt w:val="decimal"/>
      <w:lvlText w:val="%1.%2.%3.%4.%5.%6.%7.%8.%9."/>
      <w:lvlJc w:val="left"/>
      <w:pPr>
        <w:tabs>
          <w:tab w:val="left" w:pos="0"/>
        </w:tabs>
        <w:ind w:left="1558" w:hanging="1558"/>
      </w:pPr>
      <w:rPr>
        <w:rFonts w:hint="default"/>
      </w:rPr>
    </w:lvl>
  </w:abstractNum>
  <w:abstractNum w:abstractNumId="6">
    <w:nsid w:val="A7915D97"/>
    <w:multiLevelType w:val="singleLevel"/>
    <w:tmpl w:val="A7915D97"/>
    <w:lvl w:ilvl="0" w:tentative="0">
      <w:start w:val="3"/>
      <w:numFmt w:val="chineseCounting"/>
      <w:suff w:val="nothing"/>
      <w:lvlText w:val="%1、"/>
      <w:lvlJc w:val="left"/>
      <w:rPr>
        <w:rFonts w:hint="eastAsia"/>
      </w:rPr>
    </w:lvl>
  </w:abstractNum>
  <w:abstractNum w:abstractNumId="7">
    <w:nsid w:val="ACBDC1AB"/>
    <w:multiLevelType w:val="multilevel"/>
    <w:tmpl w:val="ACBDC1AB"/>
    <w:lvl w:ilvl="0" w:tentative="0">
      <w:start w:val="1"/>
      <w:numFmt w:val="decimal"/>
      <w:lvlText w:val="%1."/>
      <w:lvlJc w:val="left"/>
      <w:pPr>
        <w:ind w:left="0" w:firstLine="0"/>
      </w:pPr>
      <w:rPr>
        <w:rFonts w:hint="default" w:eastAsia="仿宋" w:cs="仿宋"/>
        <w:sz w:val="24"/>
        <w:szCs w:val="28"/>
      </w:rPr>
    </w:lvl>
    <w:lvl w:ilvl="1" w:tentative="0">
      <w:start w:val="1"/>
      <w:numFmt w:val="decimal"/>
      <w:suff w:val="nothing"/>
      <w:lvlText w:val="%1.%2."/>
      <w:lvlJc w:val="left"/>
      <w:pPr>
        <w:ind w:left="0" w:firstLine="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8">
    <w:nsid w:val="AE597076"/>
    <w:multiLevelType w:val="singleLevel"/>
    <w:tmpl w:val="AE597076"/>
    <w:lvl w:ilvl="0" w:tentative="0">
      <w:start w:val="1"/>
      <w:numFmt w:val="decimal"/>
      <w:lvlText w:val="%1)"/>
      <w:lvlJc w:val="left"/>
      <w:pPr>
        <w:ind w:left="0" w:firstLine="0"/>
      </w:pPr>
      <w:rPr>
        <w:rFonts w:hint="default"/>
      </w:rPr>
    </w:lvl>
  </w:abstractNum>
  <w:abstractNum w:abstractNumId="9">
    <w:nsid w:val="B46B4495"/>
    <w:multiLevelType w:val="multilevel"/>
    <w:tmpl w:val="B46B4495"/>
    <w:lvl w:ilvl="0" w:tentative="0">
      <w:start w:val="1"/>
      <w:numFmt w:val="decimal"/>
      <w:lvlText w:val="%1."/>
      <w:lvlJc w:val="left"/>
      <w:pPr>
        <w:ind w:left="0" w:firstLine="0"/>
      </w:pPr>
      <w:rPr>
        <w:rFonts w:hint="default" w:eastAsia="仿宋" w:cs="仿宋"/>
        <w:sz w:val="24"/>
        <w:szCs w:val="28"/>
      </w:rPr>
    </w:lvl>
    <w:lvl w:ilvl="1" w:tentative="0">
      <w:start w:val="1"/>
      <w:numFmt w:val="decimal"/>
      <w:suff w:val="nothing"/>
      <w:lvlText w:val="%1.%2."/>
      <w:lvlJc w:val="left"/>
      <w:pPr>
        <w:ind w:left="0" w:firstLine="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0">
    <w:nsid w:val="B73AA293"/>
    <w:multiLevelType w:val="multilevel"/>
    <w:tmpl w:val="B73AA293"/>
    <w:lvl w:ilvl="0" w:tentative="0">
      <w:start w:val="2"/>
      <w:numFmt w:val="decimal"/>
      <w:lvlText w:val="%1."/>
      <w:lvlJc w:val="left"/>
      <w:pPr>
        <w:ind w:left="425" w:hanging="425"/>
      </w:pPr>
      <w:rPr>
        <w:rFonts w:hint="default"/>
      </w:rPr>
    </w:lvl>
    <w:lvl w:ilvl="1" w:tentative="0">
      <w:start w:val="2"/>
      <w:numFmt w:val="decimal"/>
      <w:lvlText w:val="%1.%2."/>
      <w:lvlJc w:val="left"/>
      <w:pPr>
        <w:tabs>
          <w:tab w:val="left" w:pos="420"/>
        </w:tabs>
        <w:ind w:left="567" w:hanging="567"/>
      </w:pPr>
      <w:rPr>
        <w:rFonts w:hint="default"/>
      </w:rPr>
    </w:lvl>
    <w:lvl w:ilvl="2" w:tentative="0">
      <w:start w:val="1"/>
      <w:numFmt w:val="decimal"/>
      <w:suff w:val="nothing"/>
      <w:lvlText w:val="%1.%2.%3."/>
      <w:lvlJc w:val="left"/>
      <w:pPr>
        <w:tabs>
          <w:tab w:val="left" w:pos="0"/>
        </w:tabs>
        <w:ind w:left="0" w:firstLine="0"/>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B81C5252"/>
    <w:multiLevelType w:val="multilevel"/>
    <w:tmpl w:val="B81C5252"/>
    <w:lvl w:ilvl="0" w:tentative="0">
      <w:start w:val="2"/>
      <w:numFmt w:val="decimal"/>
      <w:lvlText w:val="%1."/>
      <w:lvlJc w:val="left"/>
      <w:pPr>
        <w:ind w:left="425" w:hanging="425"/>
      </w:pPr>
      <w:rPr>
        <w:rFonts w:hint="default"/>
      </w:rPr>
    </w:lvl>
    <w:lvl w:ilvl="1" w:tentative="0">
      <w:start w:val="1"/>
      <w:numFmt w:val="decimal"/>
      <w:lvlText w:val="%1.%2."/>
      <w:lvlJc w:val="left"/>
      <w:pPr>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DBFAB711"/>
    <w:multiLevelType w:val="multilevel"/>
    <w:tmpl w:val="DBFAB711"/>
    <w:lvl w:ilvl="0" w:tentative="0">
      <w:start w:val="1"/>
      <w:numFmt w:val="chineseCounting"/>
      <w:suff w:val="nothing"/>
      <w:lvlText w:val="%1、"/>
      <w:lvlJc w:val="left"/>
      <w:pPr>
        <w:ind w:left="0" w:firstLine="0"/>
      </w:pPr>
      <w:rPr>
        <w:rFonts w:hint="eastAsia" w:ascii="宋体" w:hAnsi="宋体" w:eastAsia="仿宋" w:cs="宋体"/>
        <w:b/>
        <w:bCs/>
        <w:sz w:val="24"/>
        <w:szCs w:val="30"/>
      </w:rPr>
    </w:lvl>
    <w:lvl w:ilvl="1" w:tentative="0">
      <w:start w:val="1"/>
      <w:numFmt w:val="decimal"/>
      <w:isLgl/>
      <w:lvlText w:val="%1.%2."/>
      <w:lvlJc w:val="left"/>
      <w:pPr>
        <w:tabs>
          <w:tab w:val="left" w:pos="0"/>
        </w:tabs>
        <w:ind w:left="0" w:firstLine="0"/>
      </w:pPr>
      <w:rPr>
        <w:rFonts w:hint="eastAsia" w:ascii="宋体" w:hAnsi="宋体" w:eastAsia="宋体" w:cs="宋体"/>
      </w:rPr>
    </w:lvl>
    <w:lvl w:ilvl="2" w:tentative="0">
      <w:start w:val="1"/>
      <w:numFmt w:val="decimal"/>
      <w:isLgl/>
      <w:lvlText w:val="%1.%2.%3."/>
      <w:lvlJc w:val="left"/>
      <w:pPr>
        <w:tabs>
          <w:tab w:val="left" w:pos="0"/>
        </w:tabs>
        <w:ind w:left="0" w:firstLine="0"/>
      </w:pPr>
      <w:rPr>
        <w:rFonts w:hint="eastAsia" w:ascii="仿宋" w:hAnsi="仿宋" w:eastAsia="仿宋" w:cs="仿宋"/>
        <w:sz w:val="24"/>
        <w:szCs w:val="24"/>
      </w:rPr>
    </w:lvl>
    <w:lvl w:ilvl="3" w:tentative="0">
      <w:start w:val="1"/>
      <w:numFmt w:val="decimal"/>
      <w:isLgl/>
      <w:lvlText w:val="%1.%2.%3.%4."/>
      <w:lvlJc w:val="left"/>
      <w:pPr>
        <w:tabs>
          <w:tab w:val="left" w:pos="0"/>
        </w:tabs>
        <w:ind w:left="24" w:hanging="24"/>
      </w:pPr>
      <w:rPr>
        <w:rFonts w:hint="eastAsia" w:ascii="仿宋" w:hAnsi="仿宋" w:eastAsia="仿宋" w:cs="仿宋"/>
        <w:b/>
        <w:bCs/>
        <w:sz w:val="24"/>
        <w:szCs w:val="24"/>
      </w:rPr>
    </w:lvl>
    <w:lvl w:ilvl="4" w:tentative="0">
      <w:start w:val="1"/>
      <w:numFmt w:val="decimal"/>
      <w:isLgl/>
      <w:lvlText w:val="%1.%2.%3.%4.%5."/>
      <w:lvlJc w:val="left"/>
      <w:pPr>
        <w:tabs>
          <w:tab w:val="left" w:pos="-840"/>
        </w:tabs>
        <w:ind w:left="168" w:hanging="1008"/>
      </w:pPr>
      <w:rPr>
        <w:rFonts w:hint="eastAsia"/>
      </w:rPr>
    </w:lvl>
    <w:lvl w:ilvl="5" w:tentative="0">
      <w:start w:val="1"/>
      <w:numFmt w:val="decimal"/>
      <w:isLgl/>
      <w:lvlText w:val="%1.%2.%3.%4.%5.%6."/>
      <w:lvlJc w:val="left"/>
      <w:pPr>
        <w:tabs>
          <w:tab w:val="left" w:pos="-840"/>
        </w:tabs>
        <w:ind w:left="311" w:hanging="1151"/>
      </w:pPr>
      <w:rPr>
        <w:rFonts w:hint="eastAsia"/>
      </w:rPr>
    </w:lvl>
    <w:lvl w:ilvl="6" w:tentative="0">
      <w:start w:val="1"/>
      <w:numFmt w:val="decimal"/>
      <w:isLgl/>
      <w:lvlText w:val="%1.%2.%3.%4.%5.%6.%7."/>
      <w:lvlJc w:val="left"/>
      <w:pPr>
        <w:tabs>
          <w:tab w:val="left" w:pos="-840"/>
        </w:tabs>
        <w:ind w:left="456" w:hanging="1296"/>
      </w:pPr>
      <w:rPr>
        <w:rFonts w:hint="eastAsia"/>
      </w:rPr>
    </w:lvl>
    <w:lvl w:ilvl="7" w:tentative="0">
      <w:start w:val="1"/>
      <w:numFmt w:val="decimal"/>
      <w:isLgl/>
      <w:lvlText w:val="%1.%2.%3.%4.%5.%6.%7.%8."/>
      <w:lvlJc w:val="left"/>
      <w:pPr>
        <w:tabs>
          <w:tab w:val="left" w:pos="-840"/>
        </w:tabs>
        <w:ind w:left="600" w:hanging="1440"/>
      </w:pPr>
      <w:rPr>
        <w:rFonts w:hint="eastAsia"/>
      </w:rPr>
    </w:lvl>
    <w:lvl w:ilvl="8" w:tentative="0">
      <w:start w:val="1"/>
      <w:numFmt w:val="decimal"/>
      <w:isLgl/>
      <w:lvlText w:val="%1.%2.%3.%4.%5.%6.%7.%8.%9."/>
      <w:lvlJc w:val="left"/>
      <w:pPr>
        <w:tabs>
          <w:tab w:val="left" w:pos="-840"/>
        </w:tabs>
        <w:ind w:left="743" w:hanging="1583"/>
      </w:pPr>
      <w:rPr>
        <w:rFonts w:hint="eastAsia"/>
      </w:rPr>
    </w:lvl>
  </w:abstractNum>
  <w:abstractNum w:abstractNumId="13">
    <w:nsid w:val="DC781F60"/>
    <w:multiLevelType w:val="singleLevel"/>
    <w:tmpl w:val="DC781F60"/>
    <w:lvl w:ilvl="0" w:tentative="0">
      <w:start w:val="1"/>
      <w:numFmt w:val="decimal"/>
      <w:suff w:val="nothing"/>
      <w:lvlText w:val="%1、"/>
      <w:lvlJc w:val="left"/>
    </w:lvl>
  </w:abstractNum>
  <w:abstractNum w:abstractNumId="14">
    <w:nsid w:val="E89FA7B8"/>
    <w:multiLevelType w:val="singleLevel"/>
    <w:tmpl w:val="E89FA7B8"/>
    <w:lvl w:ilvl="0" w:tentative="0">
      <w:start w:val="1"/>
      <w:numFmt w:val="decimal"/>
      <w:lvlText w:val="%1)"/>
      <w:lvlJc w:val="left"/>
      <w:pPr>
        <w:ind w:left="0" w:firstLine="0"/>
      </w:pPr>
      <w:rPr>
        <w:rFonts w:hint="default"/>
      </w:rPr>
    </w:lvl>
  </w:abstractNum>
  <w:abstractNum w:abstractNumId="15">
    <w:nsid w:val="EFFBBA91"/>
    <w:multiLevelType w:val="singleLevel"/>
    <w:tmpl w:val="EFFBBA91"/>
    <w:lvl w:ilvl="0" w:tentative="0">
      <w:start w:val="1"/>
      <w:numFmt w:val="decimal"/>
      <w:lvlText w:val="%1)"/>
      <w:lvlJc w:val="left"/>
      <w:pPr>
        <w:ind w:left="0" w:firstLine="0"/>
      </w:pPr>
      <w:rPr>
        <w:rFonts w:hint="default"/>
      </w:rPr>
    </w:lvl>
  </w:abstractNum>
  <w:abstractNum w:abstractNumId="16">
    <w:nsid w:val="F17FB9FE"/>
    <w:multiLevelType w:val="singleLevel"/>
    <w:tmpl w:val="F17FB9FE"/>
    <w:lvl w:ilvl="0" w:tentative="0">
      <w:start w:val="1"/>
      <w:numFmt w:val="decimal"/>
      <w:lvlText w:val="%1)"/>
      <w:lvlJc w:val="left"/>
      <w:pPr>
        <w:ind w:left="0" w:firstLine="0"/>
      </w:pPr>
      <w:rPr>
        <w:rFonts w:hint="default"/>
      </w:rPr>
    </w:lvl>
  </w:abstractNum>
  <w:abstractNum w:abstractNumId="17">
    <w:nsid w:val="F1D7DB1E"/>
    <w:multiLevelType w:val="singleLevel"/>
    <w:tmpl w:val="F1D7DB1E"/>
    <w:lvl w:ilvl="0" w:tentative="0">
      <w:start w:val="1"/>
      <w:numFmt w:val="decimal"/>
      <w:suff w:val="nothing"/>
      <w:lvlText w:val="%1、"/>
      <w:lvlJc w:val="left"/>
    </w:lvl>
  </w:abstractNum>
  <w:abstractNum w:abstractNumId="18">
    <w:nsid w:val="F2ADE316"/>
    <w:multiLevelType w:val="singleLevel"/>
    <w:tmpl w:val="F2ADE316"/>
    <w:lvl w:ilvl="0" w:tentative="0">
      <w:start w:val="1"/>
      <w:numFmt w:val="decimal"/>
      <w:suff w:val="nothing"/>
      <w:lvlText w:val="%1、"/>
      <w:lvlJc w:val="left"/>
    </w:lvl>
  </w:abstractNum>
  <w:abstractNum w:abstractNumId="19">
    <w:nsid w:val="F7C2C46E"/>
    <w:multiLevelType w:val="multilevel"/>
    <w:tmpl w:val="F7C2C46E"/>
    <w:lvl w:ilvl="0" w:tentative="0">
      <w:start w:val="2"/>
      <w:numFmt w:val="decimal"/>
      <w:lvlText w:val="%1."/>
      <w:lvlJc w:val="left"/>
      <w:pPr>
        <w:ind w:left="425" w:hanging="425"/>
      </w:pPr>
      <w:rPr>
        <w:rFonts w:hint="default"/>
      </w:rPr>
    </w:lvl>
    <w:lvl w:ilvl="1" w:tentative="0">
      <w:start w:val="1"/>
      <w:numFmt w:val="decimal"/>
      <w:suff w:val="nothing"/>
      <w:lvlText w:val="%1.%2."/>
      <w:lvlJc w:val="left"/>
      <w:pPr>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0">
    <w:nsid w:val="0EC007DC"/>
    <w:multiLevelType w:val="multilevel"/>
    <w:tmpl w:val="0EC007D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03C2B47"/>
    <w:multiLevelType w:val="multilevel"/>
    <w:tmpl w:val="103C2B47"/>
    <w:lvl w:ilvl="0" w:tentative="0">
      <w:start w:val="3"/>
      <w:numFmt w:val="decimal"/>
      <w:lvlText w:val="%1."/>
      <w:lvlJc w:val="left"/>
      <w:pPr>
        <w:ind w:left="425" w:hanging="425"/>
      </w:pPr>
      <w:rPr>
        <w:rFonts w:hint="default"/>
      </w:rPr>
    </w:lvl>
    <w:lvl w:ilvl="1" w:tentative="0">
      <w:start w:val="1"/>
      <w:numFmt w:val="decimal"/>
      <w:lvlText w:val="%1.%2."/>
      <w:lvlJc w:val="left"/>
      <w:pPr>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2">
    <w:nsid w:val="145274AB"/>
    <w:multiLevelType w:val="multilevel"/>
    <w:tmpl w:val="145274AB"/>
    <w:lvl w:ilvl="0" w:tentative="0">
      <w:start w:val="2"/>
      <w:numFmt w:val="decimal"/>
      <w:lvlText w:val="%1."/>
      <w:lvlJc w:val="left"/>
      <w:pPr>
        <w:ind w:left="425" w:hanging="425"/>
      </w:pPr>
      <w:rPr>
        <w:rFonts w:hint="default"/>
      </w:rPr>
    </w:lvl>
    <w:lvl w:ilvl="1" w:tentative="0">
      <w:start w:val="3"/>
      <w:numFmt w:val="decimal"/>
      <w:lvlText w:val="%1.%2."/>
      <w:lvlJc w:val="left"/>
      <w:pPr>
        <w:ind w:left="850" w:hanging="453"/>
      </w:pPr>
      <w:rPr>
        <w:rFonts w:hint="default" w:eastAsia="仿宋"/>
        <w:sz w:val="24"/>
      </w:rPr>
    </w:lvl>
    <w:lvl w:ilvl="2" w:tentative="0">
      <w:start w:val="1"/>
      <w:numFmt w:val="decimal"/>
      <w:lvlText w:val="%1.%2.%3."/>
      <w:lvlJc w:val="left"/>
      <w:pPr>
        <w:ind w:left="794" w:hanging="794"/>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3">
    <w:nsid w:val="3A84BDAA"/>
    <w:multiLevelType w:val="singleLevel"/>
    <w:tmpl w:val="3A84BDAA"/>
    <w:lvl w:ilvl="0" w:tentative="0">
      <w:start w:val="1"/>
      <w:numFmt w:val="decimal"/>
      <w:lvlText w:val="%1)"/>
      <w:lvlJc w:val="left"/>
      <w:pPr>
        <w:ind w:left="0" w:firstLine="0"/>
      </w:pPr>
      <w:rPr>
        <w:rFonts w:hint="default"/>
      </w:rPr>
    </w:lvl>
  </w:abstractNum>
  <w:abstractNum w:abstractNumId="24">
    <w:nsid w:val="5E5B2B79"/>
    <w:multiLevelType w:val="multilevel"/>
    <w:tmpl w:val="5E5B2B79"/>
    <w:lvl w:ilvl="0" w:tentative="0">
      <w:start w:val="1"/>
      <w:numFmt w:val="decimal"/>
      <w:lvlText w:val="%1."/>
      <w:lvlJc w:val="left"/>
      <w:pPr>
        <w:ind w:left="425" w:hanging="425"/>
      </w:pPr>
      <w:rPr>
        <w:rFonts w:hint="default"/>
      </w:rPr>
    </w:lvl>
    <w:lvl w:ilvl="1" w:tentative="0">
      <w:start w:val="1"/>
      <w:numFmt w:val="decimal"/>
      <w:lvlText w:val="%1.%2."/>
      <w:lvlJc w:val="left"/>
      <w:pPr>
        <w:ind w:left="850" w:hanging="850"/>
      </w:pPr>
      <w:rPr>
        <w:rFonts w:hint="default" w:eastAsia="仿宋"/>
        <w:sz w:val="24"/>
      </w:rPr>
    </w:lvl>
    <w:lvl w:ilvl="2" w:tentative="0">
      <w:start w:val="1"/>
      <w:numFmt w:val="decimal"/>
      <w:lvlText w:val="%1.%2.%3."/>
      <w:lvlJc w:val="left"/>
      <w:pPr>
        <w:ind w:left="794" w:hanging="794"/>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5">
    <w:nsid w:val="6530F6F6"/>
    <w:multiLevelType w:val="singleLevel"/>
    <w:tmpl w:val="6530F6F6"/>
    <w:lvl w:ilvl="0" w:tentative="0">
      <w:start w:val="1"/>
      <w:numFmt w:val="decimal"/>
      <w:lvlText w:val="%1)"/>
      <w:lvlJc w:val="left"/>
      <w:pPr>
        <w:tabs>
          <w:tab w:val="left" w:pos="420"/>
        </w:tabs>
        <w:ind w:left="425" w:hanging="425"/>
      </w:pPr>
      <w:rPr>
        <w:rFonts w:hint="default"/>
      </w:rPr>
    </w:lvl>
  </w:abstractNum>
  <w:abstractNum w:abstractNumId="26">
    <w:nsid w:val="67670965"/>
    <w:multiLevelType w:val="singleLevel"/>
    <w:tmpl w:val="67670965"/>
    <w:lvl w:ilvl="0" w:tentative="0">
      <w:start w:val="1"/>
      <w:numFmt w:val="decimal"/>
      <w:lvlText w:val="%1)"/>
      <w:lvlJc w:val="left"/>
      <w:pPr>
        <w:ind w:left="0" w:firstLine="0"/>
      </w:pPr>
      <w:rPr>
        <w:rFonts w:hint="default"/>
      </w:rPr>
    </w:lvl>
  </w:abstractNum>
  <w:abstractNum w:abstractNumId="27">
    <w:nsid w:val="7AAA2EA0"/>
    <w:multiLevelType w:val="multilevel"/>
    <w:tmpl w:val="7AAA2EA0"/>
    <w:lvl w:ilvl="0" w:tentative="0">
      <w:start w:val="1"/>
      <w:numFmt w:val="chineseCounting"/>
      <w:suff w:val="nothing"/>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Chinese"/>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lowerLetter"/>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lowerRoman"/>
      <w:suff w:val="nothing"/>
      <w:lvlText w:val="%8．"/>
      <w:lvlJc w:val="left"/>
      <w:pPr>
        <w:ind w:left="0" w:firstLine="0"/>
      </w:pPr>
      <w:rPr>
        <w:rFonts w:hint="eastAsia"/>
      </w:rPr>
    </w:lvl>
    <w:lvl w:ilvl="8" w:tentative="0">
      <w:start w:val="1"/>
      <w:numFmt w:val="lowerRoman"/>
      <w:suff w:val="nothing"/>
      <w:lvlText w:val="%9）"/>
      <w:lvlJc w:val="left"/>
      <w:pPr>
        <w:ind w:left="0" w:firstLine="0"/>
      </w:pPr>
      <w:rPr>
        <w:rFonts w:hint="eastAsia"/>
      </w:rPr>
    </w:lvl>
  </w:abstractNum>
  <w:num w:numId="1">
    <w:abstractNumId w:val="12"/>
  </w:num>
  <w:num w:numId="2">
    <w:abstractNumId w:val="2"/>
  </w:num>
  <w:num w:numId="3">
    <w:abstractNumId w:val="9"/>
  </w:num>
  <w:num w:numId="4">
    <w:abstractNumId w:val="24"/>
  </w:num>
  <w:num w:numId="5">
    <w:abstractNumId w:val="20"/>
  </w:num>
  <w:num w:numId="6">
    <w:abstractNumId w:val="15"/>
  </w:num>
  <w:num w:numId="7">
    <w:abstractNumId w:val="8"/>
  </w:num>
  <w:num w:numId="8">
    <w:abstractNumId w:val="0"/>
  </w:num>
  <w:num w:numId="9">
    <w:abstractNumId w:val="14"/>
  </w:num>
  <w:num w:numId="10">
    <w:abstractNumId w:val="16"/>
  </w:num>
  <w:num w:numId="11">
    <w:abstractNumId w:val="26"/>
  </w:num>
  <w:num w:numId="12">
    <w:abstractNumId w:val="23"/>
  </w:num>
  <w:num w:numId="13">
    <w:abstractNumId w:val="25"/>
  </w:num>
  <w:num w:numId="14">
    <w:abstractNumId w:val="10"/>
  </w:num>
  <w:num w:numId="15">
    <w:abstractNumId w:val="22"/>
  </w:num>
  <w:num w:numId="16">
    <w:abstractNumId w:val="1"/>
  </w:num>
  <w:num w:numId="17">
    <w:abstractNumId w:val="7"/>
  </w:num>
  <w:num w:numId="18">
    <w:abstractNumId w:val="5"/>
  </w:num>
  <w:num w:numId="19">
    <w:abstractNumId w:val="19"/>
  </w:num>
  <w:num w:numId="20">
    <w:abstractNumId w:val="21"/>
  </w:num>
  <w:num w:numId="21">
    <w:abstractNumId w:val="27"/>
  </w:num>
  <w:num w:numId="22">
    <w:abstractNumId w:val="11"/>
  </w:num>
  <w:num w:numId="23">
    <w:abstractNumId w:val="4"/>
  </w:num>
  <w:num w:numId="24">
    <w:abstractNumId w:val="3"/>
  </w:num>
  <w:num w:numId="25">
    <w:abstractNumId w:val="6"/>
  </w:num>
  <w:num w:numId="26">
    <w:abstractNumId w:val="18"/>
  </w:num>
  <w:num w:numId="27">
    <w:abstractNumId w:val="1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dit="readOnly" w:enforcement="0"/>
  <w:defaultTabStop w:val="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NmU4ZDRhMzFiYmFkYzNlMjAwOTU1NWNjODY2MGMifQ=="/>
  </w:docVars>
  <w:rsids>
    <w:rsidRoot w:val="00E1428C"/>
    <w:rsid w:val="00004FB3"/>
    <w:rsid w:val="00006222"/>
    <w:rsid w:val="00006A2C"/>
    <w:rsid w:val="00006B64"/>
    <w:rsid w:val="00007342"/>
    <w:rsid w:val="00011F29"/>
    <w:rsid w:val="00012F0F"/>
    <w:rsid w:val="00013DC0"/>
    <w:rsid w:val="000164A2"/>
    <w:rsid w:val="00025867"/>
    <w:rsid w:val="00027214"/>
    <w:rsid w:val="00030AFF"/>
    <w:rsid w:val="00033A03"/>
    <w:rsid w:val="00034E9B"/>
    <w:rsid w:val="00035F29"/>
    <w:rsid w:val="000363E7"/>
    <w:rsid w:val="000371E6"/>
    <w:rsid w:val="00040BC7"/>
    <w:rsid w:val="00045BF2"/>
    <w:rsid w:val="0004687B"/>
    <w:rsid w:val="00046AE8"/>
    <w:rsid w:val="00051C4B"/>
    <w:rsid w:val="0006533C"/>
    <w:rsid w:val="000674BE"/>
    <w:rsid w:val="000707B4"/>
    <w:rsid w:val="000733BC"/>
    <w:rsid w:val="000733D5"/>
    <w:rsid w:val="00077641"/>
    <w:rsid w:val="000811BB"/>
    <w:rsid w:val="0008288C"/>
    <w:rsid w:val="000860E4"/>
    <w:rsid w:val="00087B5E"/>
    <w:rsid w:val="0009149E"/>
    <w:rsid w:val="0009265A"/>
    <w:rsid w:val="00096D7E"/>
    <w:rsid w:val="000A1908"/>
    <w:rsid w:val="000C00D9"/>
    <w:rsid w:val="000C6148"/>
    <w:rsid w:val="000C6432"/>
    <w:rsid w:val="000D0543"/>
    <w:rsid w:val="000D3C5A"/>
    <w:rsid w:val="000E2F2C"/>
    <w:rsid w:val="000F23EA"/>
    <w:rsid w:val="000F28DF"/>
    <w:rsid w:val="000F78B9"/>
    <w:rsid w:val="000F7F67"/>
    <w:rsid w:val="00104AF2"/>
    <w:rsid w:val="0011035B"/>
    <w:rsid w:val="001104D2"/>
    <w:rsid w:val="00116E44"/>
    <w:rsid w:val="001244CE"/>
    <w:rsid w:val="0012592D"/>
    <w:rsid w:val="0012699C"/>
    <w:rsid w:val="00132D06"/>
    <w:rsid w:val="00137F66"/>
    <w:rsid w:val="0014489A"/>
    <w:rsid w:val="001463C7"/>
    <w:rsid w:val="001467F4"/>
    <w:rsid w:val="00150D31"/>
    <w:rsid w:val="0015270B"/>
    <w:rsid w:val="00154178"/>
    <w:rsid w:val="00155581"/>
    <w:rsid w:val="00156591"/>
    <w:rsid w:val="001570D4"/>
    <w:rsid w:val="00160309"/>
    <w:rsid w:val="0016109E"/>
    <w:rsid w:val="0016124D"/>
    <w:rsid w:val="001639C2"/>
    <w:rsid w:val="001731C5"/>
    <w:rsid w:val="00173C44"/>
    <w:rsid w:val="0017626E"/>
    <w:rsid w:val="001805C4"/>
    <w:rsid w:val="001869A8"/>
    <w:rsid w:val="00187BE1"/>
    <w:rsid w:val="001903D4"/>
    <w:rsid w:val="0019251D"/>
    <w:rsid w:val="00192DB5"/>
    <w:rsid w:val="001930B5"/>
    <w:rsid w:val="001A1AC6"/>
    <w:rsid w:val="001A3EDD"/>
    <w:rsid w:val="001A67C9"/>
    <w:rsid w:val="001B239B"/>
    <w:rsid w:val="001C5DAB"/>
    <w:rsid w:val="001C6AFF"/>
    <w:rsid w:val="001D279A"/>
    <w:rsid w:val="001D4EC2"/>
    <w:rsid w:val="001D6723"/>
    <w:rsid w:val="001E1433"/>
    <w:rsid w:val="001E53BC"/>
    <w:rsid w:val="001F120D"/>
    <w:rsid w:val="001F3AEC"/>
    <w:rsid w:val="001F4F3E"/>
    <w:rsid w:val="001F7EC5"/>
    <w:rsid w:val="002003C5"/>
    <w:rsid w:val="002007BF"/>
    <w:rsid w:val="00202319"/>
    <w:rsid w:val="00204B7C"/>
    <w:rsid w:val="002106EA"/>
    <w:rsid w:val="002131C8"/>
    <w:rsid w:val="00214B6D"/>
    <w:rsid w:val="00215DD8"/>
    <w:rsid w:val="00223407"/>
    <w:rsid w:val="002244DA"/>
    <w:rsid w:val="00227E29"/>
    <w:rsid w:val="002330E2"/>
    <w:rsid w:val="00234DAB"/>
    <w:rsid w:val="00241BB8"/>
    <w:rsid w:val="002468F0"/>
    <w:rsid w:val="00250900"/>
    <w:rsid w:val="002602DD"/>
    <w:rsid w:val="0026242C"/>
    <w:rsid w:val="00270162"/>
    <w:rsid w:val="00270410"/>
    <w:rsid w:val="002840DC"/>
    <w:rsid w:val="002871A5"/>
    <w:rsid w:val="00291471"/>
    <w:rsid w:val="00294605"/>
    <w:rsid w:val="002A1054"/>
    <w:rsid w:val="002A4875"/>
    <w:rsid w:val="002A5749"/>
    <w:rsid w:val="002A7F5E"/>
    <w:rsid w:val="002B1C92"/>
    <w:rsid w:val="002B64B0"/>
    <w:rsid w:val="002B7F30"/>
    <w:rsid w:val="002C02A7"/>
    <w:rsid w:val="002C221F"/>
    <w:rsid w:val="002C29D9"/>
    <w:rsid w:val="002C4C6D"/>
    <w:rsid w:val="002C72A6"/>
    <w:rsid w:val="002C7639"/>
    <w:rsid w:val="002D69A0"/>
    <w:rsid w:val="002E0E57"/>
    <w:rsid w:val="002E1B37"/>
    <w:rsid w:val="002E27F7"/>
    <w:rsid w:val="002E42CD"/>
    <w:rsid w:val="002E56B3"/>
    <w:rsid w:val="002E7263"/>
    <w:rsid w:val="002F0CF8"/>
    <w:rsid w:val="002F4256"/>
    <w:rsid w:val="002F524B"/>
    <w:rsid w:val="002F56C3"/>
    <w:rsid w:val="002F60B7"/>
    <w:rsid w:val="002F6EC6"/>
    <w:rsid w:val="002F7413"/>
    <w:rsid w:val="003009D5"/>
    <w:rsid w:val="00300A5F"/>
    <w:rsid w:val="00302E16"/>
    <w:rsid w:val="0030426F"/>
    <w:rsid w:val="00310100"/>
    <w:rsid w:val="00314C38"/>
    <w:rsid w:val="00320476"/>
    <w:rsid w:val="00320C34"/>
    <w:rsid w:val="00321CBF"/>
    <w:rsid w:val="00322B57"/>
    <w:rsid w:val="00334C59"/>
    <w:rsid w:val="003357D8"/>
    <w:rsid w:val="0033605E"/>
    <w:rsid w:val="0035199B"/>
    <w:rsid w:val="003532FE"/>
    <w:rsid w:val="00355DE5"/>
    <w:rsid w:val="003602C3"/>
    <w:rsid w:val="00361079"/>
    <w:rsid w:val="00362FF2"/>
    <w:rsid w:val="00371C88"/>
    <w:rsid w:val="00373392"/>
    <w:rsid w:val="003745EC"/>
    <w:rsid w:val="00377724"/>
    <w:rsid w:val="00380C37"/>
    <w:rsid w:val="00381D8F"/>
    <w:rsid w:val="00385B36"/>
    <w:rsid w:val="0039137F"/>
    <w:rsid w:val="00391D81"/>
    <w:rsid w:val="00395FAE"/>
    <w:rsid w:val="003A17CA"/>
    <w:rsid w:val="003A3CAA"/>
    <w:rsid w:val="003B1C66"/>
    <w:rsid w:val="003B4D36"/>
    <w:rsid w:val="003B5148"/>
    <w:rsid w:val="003C3EC7"/>
    <w:rsid w:val="003D06E5"/>
    <w:rsid w:val="003D199E"/>
    <w:rsid w:val="003D4401"/>
    <w:rsid w:val="003D600D"/>
    <w:rsid w:val="003D64B6"/>
    <w:rsid w:val="003E6832"/>
    <w:rsid w:val="003F1853"/>
    <w:rsid w:val="003F23CE"/>
    <w:rsid w:val="003F3E0C"/>
    <w:rsid w:val="003F5D1B"/>
    <w:rsid w:val="003F5D98"/>
    <w:rsid w:val="003F7843"/>
    <w:rsid w:val="00403B9D"/>
    <w:rsid w:val="00407BFC"/>
    <w:rsid w:val="004101B0"/>
    <w:rsid w:val="00410D0B"/>
    <w:rsid w:val="00417B67"/>
    <w:rsid w:val="00421A25"/>
    <w:rsid w:val="00425A1B"/>
    <w:rsid w:val="0043099C"/>
    <w:rsid w:val="00432FD1"/>
    <w:rsid w:val="004358AD"/>
    <w:rsid w:val="00435AA8"/>
    <w:rsid w:val="00443C88"/>
    <w:rsid w:val="0044543D"/>
    <w:rsid w:val="00446291"/>
    <w:rsid w:val="004464E9"/>
    <w:rsid w:val="00452A22"/>
    <w:rsid w:val="00456B89"/>
    <w:rsid w:val="00461B41"/>
    <w:rsid w:val="00462EA0"/>
    <w:rsid w:val="00472FA9"/>
    <w:rsid w:val="00476030"/>
    <w:rsid w:val="0048021C"/>
    <w:rsid w:val="00480AC6"/>
    <w:rsid w:val="00481750"/>
    <w:rsid w:val="0048181A"/>
    <w:rsid w:val="00482602"/>
    <w:rsid w:val="00482671"/>
    <w:rsid w:val="00483895"/>
    <w:rsid w:val="004876EB"/>
    <w:rsid w:val="00495061"/>
    <w:rsid w:val="00495EB8"/>
    <w:rsid w:val="00496FC3"/>
    <w:rsid w:val="00497322"/>
    <w:rsid w:val="004A6A9F"/>
    <w:rsid w:val="004A704F"/>
    <w:rsid w:val="004B4B6D"/>
    <w:rsid w:val="004C1B27"/>
    <w:rsid w:val="004C385B"/>
    <w:rsid w:val="004C707E"/>
    <w:rsid w:val="004D0F6B"/>
    <w:rsid w:val="004D144D"/>
    <w:rsid w:val="004D1CDD"/>
    <w:rsid w:val="004D21FC"/>
    <w:rsid w:val="004D2202"/>
    <w:rsid w:val="004D2E8C"/>
    <w:rsid w:val="004D3773"/>
    <w:rsid w:val="004D5292"/>
    <w:rsid w:val="004D6C28"/>
    <w:rsid w:val="004E152F"/>
    <w:rsid w:val="004E2A00"/>
    <w:rsid w:val="004E3BF5"/>
    <w:rsid w:val="00500A55"/>
    <w:rsid w:val="00503BA7"/>
    <w:rsid w:val="0050700C"/>
    <w:rsid w:val="00513B39"/>
    <w:rsid w:val="00513C61"/>
    <w:rsid w:val="00514BAD"/>
    <w:rsid w:val="00515B97"/>
    <w:rsid w:val="0052071E"/>
    <w:rsid w:val="00521230"/>
    <w:rsid w:val="00530A3C"/>
    <w:rsid w:val="00534F0F"/>
    <w:rsid w:val="00542B48"/>
    <w:rsid w:val="0054329E"/>
    <w:rsid w:val="00551258"/>
    <w:rsid w:val="00554692"/>
    <w:rsid w:val="00556006"/>
    <w:rsid w:val="005569D2"/>
    <w:rsid w:val="00561A91"/>
    <w:rsid w:val="0057386E"/>
    <w:rsid w:val="00574BC3"/>
    <w:rsid w:val="00581010"/>
    <w:rsid w:val="00581AA7"/>
    <w:rsid w:val="00585581"/>
    <w:rsid w:val="0058580D"/>
    <w:rsid w:val="00585EF4"/>
    <w:rsid w:val="00585FAF"/>
    <w:rsid w:val="00586D80"/>
    <w:rsid w:val="00586E7E"/>
    <w:rsid w:val="00587878"/>
    <w:rsid w:val="005909CE"/>
    <w:rsid w:val="005A1415"/>
    <w:rsid w:val="005A1D58"/>
    <w:rsid w:val="005B02F9"/>
    <w:rsid w:val="005B0E49"/>
    <w:rsid w:val="005B1F16"/>
    <w:rsid w:val="005B5D7D"/>
    <w:rsid w:val="005B71B9"/>
    <w:rsid w:val="005C06AF"/>
    <w:rsid w:val="005C0BF8"/>
    <w:rsid w:val="005C20F7"/>
    <w:rsid w:val="005C2ABD"/>
    <w:rsid w:val="005C38A7"/>
    <w:rsid w:val="005D015B"/>
    <w:rsid w:val="005D0C2B"/>
    <w:rsid w:val="005D2DCB"/>
    <w:rsid w:val="005F1266"/>
    <w:rsid w:val="005F16EC"/>
    <w:rsid w:val="005F4B25"/>
    <w:rsid w:val="005F4F51"/>
    <w:rsid w:val="005F60A5"/>
    <w:rsid w:val="005F70F9"/>
    <w:rsid w:val="006001DA"/>
    <w:rsid w:val="00603D1A"/>
    <w:rsid w:val="006069FE"/>
    <w:rsid w:val="00606BE4"/>
    <w:rsid w:val="006078EC"/>
    <w:rsid w:val="00611905"/>
    <w:rsid w:val="00614C21"/>
    <w:rsid w:val="00615983"/>
    <w:rsid w:val="00615F7F"/>
    <w:rsid w:val="00616192"/>
    <w:rsid w:val="00626C50"/>
    <w:rsid w:val="006301DF"/>
    <w:rsid w:val="00635ECA"/>
    <w:rsid w:val="0063652D"/>
    <w:rsid w:val="00655F61"/>
    <w:rsid w:val="00664545"/>
    <w:rsid w:val="006672A4"/>
    <w:rsid w:val="00667586"/>
    <w:rsid w:val="00670CCF"/>
    <w:rsid w:val="00670E4B"/>
    <w:rsid w:val="0067358B"/>
    <w:rsid w:val="006746C4"/>
    <w:rsid w:val="00676C74"/>
    <w:rsid w:val="006771C9"/>
    <w:rsid w:val="006836D3"/>
    <w:rsid w:val="0068535F"/>
    <w:rsid w:val="00686BE1"/>
    <w:rsid w:val="00690CE4"/>
    <w:rsid w:val="0069299B"/>
    <w:rsid w:val="006A4C2F"/>
    <w:rsid w:val="006A5C54"/>
    <w:rsid w:val="006A5D76"/>
    <w:rsid w:val="006B1022"/>
    <w:rsid w:val="006B6DA9"/>
    <w:rsid w:val="006C5AA4"/>
    <w:rsid w:val="006D12EF"/>
    <w:rsid w:val="006D2BE4"/>
    <w:rsid w:val="006D6598"/>
    <w:rsid w:val="006D6A87"/>
    <w:rsid w:val="006D6D47"/>
    <w:rsid w:val="006E5AD6"/>
    <w:rsid w:val="006F3E21"/>
    <w:rsid w:val="007110EF"/>
    <w:rsid w:val="00714C6D"/>
    <w:rsid w:val="007155C8"/>
    <w:rsid w:val="00717570"/>
    <w:rsid w:val="00717CC3"/>
    <w:rsid w:val="00723DB4"/>
    <w:rsid w:val="00726914"/>
    <w:rsid w:val="007300A3"/>
    <w:rsid w:val="007306B8"/>
    <w:rsid w:val="00731236"/>
    <w:rsid w:val="00735176"/>
    <w:rsid w:val="00747E37"/>
    <w:rsid w:val="0075194C"/>
    <w:rsid w:val="0075320C"/>
    <w:rsid w:val="007536EF"/>
    <w:rsid w:val="00753BF0"/>
    <w:rsid w:val="00760802"/>
    <w:rsid w:val="00760CB0"/>
    <w:rsid w:val="00760DDB"/>
    <w:rsid w:val="00765BEA"/>
    <w:rsid w:val="007738FD"/>
    <w:rsid w:val="00773A5D"/>
    <w:rsid w:val="00776D95"/>
    <w:rsid w:val="007776FA"/>
    <w:rsid w:val="00784650"/>
    <w:rsid w:val="00793250"/>
    <w:rsid w:val="00794B53"/>
    <w:rsid w:val="007975A1"/>
    <w:rsid w:val="007A116D"/>
    <w:rsid w:val="007A29EE"/>
    <w:rsid w:val="007B0654"/>
    <w:rsid w:val="007B10D0"/>
    <w:rsid w:val="007B1F16"/>
    <w:rsid w:val="007B47B0"/>
    <w:rsid w:val="007B5B52"/>
    <w:rsid w:val="007B6989"/>
    <w:rsid w:val="007B77F4"/>
    <w:rsid w:val="007C1E14"/>
    <w:rsid w:val="007C456E"/>
    <w:rsid w:val="007D1696"/>
    <w:rsid w:val="007D3A2F"/>
    <w:rsid w:val="007D6F6B"/>
    <w:rsid w:val="007E04C2"/>
    <w:rsid w:val="007E3A62"/>
    <w:rsid w:val="007E4448"/>
    <w:rsid w:val="007F098A"/>
    <w:rsid w:val="007F1A35"/>
    <w:rsid w:val="007F7F83"/>
    <w:rsid w:val="00800DC9"/>
    <w:rsid w:val="0080270D"/>
    <w:rsid w:val="00803663"/>
    <w:rsid w:val="00811C64"/>
    <w:rsid w:val="008129EF"/>
    <w:rsid w:val="00813958"/>
    <w:rsid w:val="0081539D"/>
    <w:rsid w:val="00820BBA"/>
    <w:rsid w:val="0082290A"/>
    <w:rsid w:val="00826495"/>
    <w:rsid w:val="00826A8E"/>
    <w:rsid w:val="008274C5"/>
    <w:rsid w:val="008276AF"/>
    <w:rsid w:val="00827AB4"/>
    <w:rsid w:val="00834E31"/>
    <w:rsid w:val="00835269"/>
    <w:rsid w:val="008419BE"/>
    <w:rsid w:val="00843E6D"/>
    <w:rsid w:val="0084496E"/>
    <w:rsid w:val="00851F7D"/>
    <w:rsid w:val="008535D2"/>
    <w:rsid w:val="00854D93"/>
    <w:rsid w:val="008619A1"/>
    <w:rsid w:val="00861AD4"/>
    <w:rsid w:val="00861D87"/>
    <w:rsid w:val="0086246D"/>
    <w:rsid w:val="00862904"/>
    <w:rsid w:val="00864A80"/>
    <w:rsid w:val="008660CD"/>
    <w:rsid w:val="0087299F"/>
    <w:rsid w:val="00874CFB"/>
    <w:rsid w:val="008858B1"/>
    <w:rsid w:val="008878D1"/>
    <w:rsid w:val="00887FD2"/>
    <w:rsid w:val="00895657"/>
    <w:rsid w:val="008966C9"/>
    <w:rsid w:val="00897A59"/>
    <w:rsid w:val="008A2A50"/>
    <w:rsid w:val="008A4BAB"/>
    <w:rsid w:val="008A778E"/>
    <w:rsid w:val="008B73C2"/>
    <w:rsid w:val="008B7D19"/>
    <w:rsid w:val="008C67B4"/>
    <w:rsid w:val="008D099A"/>
    <w:rsid w:val="008D19E0"/>
    <w:rsid w:val="008E05A2"/>
    <w:rsid w:val="008E0F02"/>
    <w:rsid w:val="008E61F1"/>
    <w:rsid w:val="008E645B"/>
    <w:rsid w:val="008F141B"/>
    <w:rsid w:val="008F505A"/>
    <w:rsid w:val="008F5E85"/>
    <w:rsid w:val="009015EF"/>
    <w:rsid w:val="00901DB7"/>
    <w:rsid w:val="009039CF"/>
    <w:rsid w:val="00904499"/>
    <w:rsid w:val="00904AA6"/>
    <w:rsid w:val="00904B26"/>
    <w:rsid w:val="00906B25"/>
    <w:rsid w:val="00906EE0"/>
    <w:rsid w:val="009209D2"/>
    <w:rsid w:val="009313F0"/>
    <w:rsid w:val="009357B9"/>
    <w:rsid w:val="00937D34"/>
    <w:rsid w:val="00941FC0"/>
    <w:rsid w:val="0094601E"/>
    <w:rsid w:val="009501A5"/>
    <w:rsid w:val="0095029E"/>
    <w:rsid w:val="009508E6"/>
    <w:rsid w:val="009600CC"/>
    <w:rsid w:val="009606F2"/>
    <w:rsid w:val="00965C8D"/>
    <w:rsid w:val="009666EA"/>
    <w:rsid w:val="009671A9"/>
    <w:rsid w:val="00970A22"/>
    <w:rsid w:val="00973D4B"/>
    <w:rsid w:val="009741C1"/>
    <w:rsid w:val="0097456E"/>
    <w:rsid w:val="00975DA3"/>
    <w:rsid w:val="00981AB2"/>
    <w:rsid w:val="009835B6"/>
    <w:rsid w:val="0098598E"/>
    <w:rsid w:val="0099104D"/>
    <w:rsid w:val="009A2102"/>
    <w:rsid w:val="009A376E"/>
    <w:rsid w:val="009A5E5F"/>
    <w:rsid w:val="009A6905"/>
    <w:rsid w:val="009B0D30"/>
    <w:rsid w:val="009B2C76"/>
    <w:rsid w:val="009B3BF1"/>
    <w:rsid w:val="009B4AAA"/>
    <w:rsid w:val="009C1E60"/>
    <w:rsid w:val="009C260F"/>
    <w:rsid w:val="009C2B05"/>
    <w:rsid w:val="009C44F2"/>
    <w:rsid w:val="009C5FA5"/>
    <w:rsid w:val="009C62C2"/>
    <w:rsid w:val="009D3960"/>
    <w:rsid w:val="009D3E30"/>
    <w:rsid w:val="009D6C42"/>
    <w:rsid w:val="009D76F6"/>
    <w:rsid w:val="009D7863"/>
    <w:rsid w:val="009E25F3"/>
    <w:rsid w:val="009E2A30"/>
    <w:rsid w:val="009E33FD"/>
    <w:rsid w:val="009F2282"/>
    <w:rsid w:val="00A005C1"/>
    <w:rsid w:val="00A044A5"/>
    <w:rsid w:val="00A062B5"/>
    <w:rsid w:val="00A06A12"/>
    <w:rsid w:val="00A140A1"/>
    <w:rsid w:val="00A1630F"/>
    <w:rsid w:val="00A21B17"/>
    <w:rsid w:val="00A22E72"/>
    <w:rsid w:val="00A31C8C"/>
    <w:rsid w:val="00A43E5B"/>
    <w:rsid w:val="00A446A8"/>
    <w:rsid w:val="00A4492E"/>
    <w:rsid w:val="00A45CD1"/>
    <w:rsid w:val="00A5669E"/>
    <w:rsid w:val="00A57106"/>
    <w:rsid w:val="00A60435"/>
    <w:rsid w:val="00A63925"/>
    <w:rsid w:val="00A63EC2"/>
    <w:rsid w:val="00A70DDB"/>
    <w:rsid w:val="00A75B50"/>
    <w:rsid w:val="00A769D3"/>
    <w:rsid w:val="00A76F77"/>
    <w:rsid w:val="00A81774"/>
    <w:rsid w:val="00A839D1"/>
    <w:rsid w:val="00A85F9C"/>
    <w:rsid w:val="00A9167C"/>
    <w:rsid w:val="00A956CD"/>
    <w:rsid w:val="00AA246F"/>
    <w:rsid w:val="00AA2866"/>
    <w:rsid w:val="00AA2A90"/>
    <w:rsid w:val="00AA664D"/>
    <w:rsid w:val="00AB0BBE"/>
    <w:rsid w:val="00AB35C0"/>
    <w:rsid w:val="00AB44AD"/>
    <w:rsid w:val="00AB751F"/>
    <w:rsid w:val="00AC05F9"/>
    <w:rsid w:val="00AC0D38"/>
    <w:rsid w:val="00AC3BE8"/>
    <w:rsid w:val="00AD03F1"/>
    <w:rsid w:val="00AD16CF"/>
    <w:rsid w:val="00AD2CDE"/>
    <w:rsid w:val="00AE29D8"/>
    <w:rsid w:val="00AE565B"/>
    <w:rsid w:val="00AF0BB1"/>
    <w:rsid w:val="00AF201C"/>
    <w:rsid w:val="00AF3DFF"/>
    <w:rsid w:val="00AF400D"/>
    <w:rsid w:val="00B04FC9"/>
    <w:rsid w:val="00B129D1"/>
    <w:rsid w:val="00B12DBC"/>
    <w:rsid w:val="00B13F4C"/>
    <w:rsid w:val="00B24DA9"/>
    <w:rsid w:val="00B30803"/>
    <w:rsid w:val="00B31C19"/>
    <w:rsid w:val="00B31D0B"/>
    <w:rsid w:val="00B34392"/>
    <w:rsid w:val="00B34512"/>
    <w:rsid w:val="00B37478"/>
    <w:rsid w:val="00B37A77"/>
    <w:rsid w:val="00B42E4E"/>
    <w:rsid w:val="00B46CB3"/>
    <w:rsid w:val="00B64D34"/>
    <w:rsid w:val="00B65DBF"/>
    <w:rsid w:val="00B701B7"/>
    <w:rsid w:val="00B70F8B"/>
    <w:rsid w:val="00B7386A"/>
    <w:rsid w:val="00B74502"/>
    <w:rsid w:val="00B76EB7"/>
    <w:rsid w:val="00B771F9"/>
    <w:rsid w:val="00B855F9"/>
    <w:rsid w:val="00B92EB2"/>
    <w:rsid w:val="00BA2B95"/>
    <w:rsid w:val="00BA4B7B"/>
    <w:rsid w:val="00BB09A8"/>
    <w:rsid w:val="00BB1214"/>
    <w:rsid w:val="00BB51E6"/>
    <w:rsid w:val="00BC1546"/>
    <w:rsid w:val="00BC3874"/>
    <w:rsid w:val="00BC6CD4"/>
    <w:rsid w:val="00BC7BC3"/>
    <w:rsid w:val="00BD0960"/>
    <w:rsid w:val="00BD3F6A"/>
    <w:rsid w:val="00BD4BED"/>
    <w:rsid w:val="00BD5610"/>
    <w:rsid w:val="00BE40B8"/>
    <w:rsid w:val="00BF01E2"/>
    <w:rsid w:val="00BF185F"/>
    <w:rsid w:val="00BF5FB2"/>
    <w:rsid w:val="00BF7E9A"/>
    <w:rsid w:val="00C00D7C"/>
    <w:rsid w:val="00C0231B"/>
    <w:rsid w:val="00C067AE"/>
    <w:rsid w:val="00C10771"/>
    <w:rsid w:val="00C13466"/>
    <w:rsid w:val="00C134F4"/>
    <w:rsid w:val="00C14E6E"/>
    <w:rsid w:val="00C261EA"/>
    <w:rsid w:val="00C27069"/>
    <w:rsid w:val="00C3671A"/>
    <w:rsid w:val="00C44C42"/>
    <w:rsid w:val="00C46925"/>
    <w:rsid w:val="00C558CC"/>
    <w:rsid w:val="00C55FAC"/>
    <w:rsid w:val="00C56C38"/>
    <w:rsid w:val="00C6161E"/>
    <w:rsid w:val="00C63986"/>
    <w:rsid w:val="00C64D99"/>
    <w:rsid w:val="00C67D60"/>
    <w:rsid w:val="00C70515"/>
    <w:rsid w:val="00C84D6D"/>
    <w:rsid w:val="00C85E5E"/>
    <w:rsid w:val="00C86F1B"/>
    <w:rsid w:val="00C87555"/>
    <w:rsid w:val="00C91BC1"/>
    <w:rsid w:val="00C93767"/>
    <w:rsid w:val="00C95930"/>
    <w:rsid w:val="00C96E7C"/>
    <w:rsid w:val="00CA1A4C"/>
    <w:rsid w:val="00CA1D19"/>
    <w:rsid w:val="00CA3A76"/>
    <w:rsid w:val="00CB1588"/>
    <w:rsid w:val="00CB3FC1"/>
    <w:rsid w:val="00CB6600"/>
    <w:rsid w:val="00CB7762"/>
    <w:rsid w:val="00CC30E1"/>
    <w:rsid w:val="00CC34FF"/>
    <w:rsid w:val="00CD14A8"/>
    <w:rsid w:val="00CD3768"/>
    <w:rsid w:val="00CD5D9B"/>
    <w:rsid w:val="00CD756F"/>
    <w:rsid w:val="00CE1784"/>
    <w:rsid w:val="00CE3B6F"/>
    <w:rsid w:val="00D016D5"/>
    <w:rsid w:val="00D02D3B"/>
    <w:rsid w:val="00D10242"/>
    <w:rsid w:val="00D11C98"/>
    <w:rsid w:val="00D13E9D"/>
    <w:rsid w:val="00D148F7"/>
    <w:rsid w:val="00D200BC"/>
    <w:rsid w:val="00D225C8"/>
    <w:rsid w:val="00D23F94"/>
    <w:rsid w:val="00D246AB"/>
    <w:rsid w:val="00D30EAF"/>
    <w:rsid w:val="00D34249"/>
    <w:rsid w:val="00D34759"/>
    <w:rsid w:val="00D41370"/>
    <w:rsid w:val="00D505FA"/>
    <w:rsid w:val="00D50A14"/>
    <w:rsid w:val="00D532E1"/>
    <w:rsid w:val="00D60B7C"/>
    <w:rsid w:val="00D60E69"/>
    <w:rsid w:val="00D65861"/>
    <w:rsid w:val="00D65F8D"/>
    <w:rsid w:val="00D71A37"/>
    <w:rsid w:val="00D76D11"/>
    <w:rsid w:val="00D816AA"/>
    <w:rsid w:val="00D83BDC"/>
    <w:rsid w:val="00D851A1"/>
    <w:rsid w:val="00D87FD7"/>
    <w:rsid w:val="00D92EF6"/>
    <w:rsid w:val="00D96A6E"/>
    <w:rsid w:val="00DA3C94"/>
    <w:rsid w:val="00DA58E4"/>
    <w:rsid w:val="00DB0E66"/>
    <w:rsid w:val="00DB4F16"/>
    <w:rsid w:val="00DC2653"/>
    <w:rsid w:val="00DC4C2A"/>
    <w:rsid w:val="00DC6996"/>
    <w:rsid w:val="00DD426E"/>
    <w:rsid w:val="00DD600D"/>
    <w:rsid w:val="00DD6E72"/>
    <w:rsid w:val="00DE1B40"/>
    <w:rsid w:val="00DE2FA0"/>
    <w:rsid w:val="00DE6465"/>
    <w:rsid w:val="00DE6711"/>
    <w:rsid w:val="00DF3DE4"/>
    <w:rsid w:val="00DF756F"/>
    <w:rsid w:val="00E0036C"/>
    <w:rsid w:val="00E00B2E"/>
    <w:rsid w:val="00E023DF"/>
    <w:rsid w:val="00E02725"/>
    <w:rsid w:val="00E05508"/>
    <w:rsid w:val="00E1428C"/>
    <w:rsid w:val="00E164DE"/>
    <w:rsid w:val="00E1739C"/>
    <w:rsid w:val="00E20F18"/>
    <w:rsid w:val="00E2422A"/>
    <w:rsid w:val="00E32B08"/>
    <w:rsid w:val="00E35707"/>
    <w:rsid w:val="00E35DD8"/>
    <w:rsid w:val="00E37623"/>
    <w:rsid w:val="00E5704E"/>
    <w:rsid w:val="00E60777"/>
    <w:rsid w:val="00E64C57"/>
    <w:rsid w:val="00E7103C"/>
    <w:rsid w:val="00E72DEE"/>
    <w:rsid w:val="00E74F32"/>
    <w:rsid w:val="00E846EF"/>
    <w:rsid w:val="00E84B4C"/>
    <w:rsid w:val="00E86621"/>
    <w:rsid w:val="00E93AC5"/>
    <w:rsid w:val="00E9459D"/>
    <w:rsid w:val="00EA5D83"/>
    <w:rsid w:val="00EB1DC5"/>
    <w:rsid w:val="00EB340B"/>
    <w:rsid w:val="00EB5C12"/>
    <w:rsid w:val="00EC014B"/>
    <w:rsid w:val="00EC12FA"/>
    <w:rsid w:val="00EC4DA7"/>
    <w:rsid w:val="00ED2EED"/>
    <w:rsid w:val="00ED5A0D"/>
    <w:rsid w:val="00EE0BE9"/>
    <w:rsid w:val="00EE2198"/>
    <w:rsid w:val="00EE3A0B"/>
    <w:rsid w:val="00EE567C"/>
    <w:rsid w:val="00EE5ADB"/>
    <w:rsid w:val="00EE627E"/>
    <w:rsid w:val="00EF0F24"/>
    <w:rsid w:val="00EF17C7"/>
    <w:rsid w:val="00EF32E8"/>
    <w:rsid w:val="00EF3A08"/>
    <w:rsid w:val="00F11E42"/>
    <w:rsid w:val="00F12347"/>
    <w:rsid w:val="00F13A5A"/>
    <w:rsid w:val="00F16830"/>
    <w:rsid w:val="00F24DD9"/>
    <w:rsid w:val="00F2528C"/>
    <w:rsid w:val="00F3118D"/>
    <w:rsid w:val="00F348A6"/>
    <w:rsid w:val="00F36F9F"/>
    <w:rsid w:val="00F42EF2"/>
    <w:rsid w:val="00F433FF"/>
    <w:rsid w:val="00F4414C"/>
    <w:rsid w:val="00F44F9D"/>
    <w:rsid w:val="00F473B3"/>
    <w:rsid w:val="00F549CF"/>
    <w:rsid w:val="00F63670"/>
    <w:rsid w:val="00F65276"/>
    <w:rsid w:val="00F70B2E"/>
    <w:rsid w:val="00F721D0"/>
    <w:rsid w:val="00F73F1B"/>
    <w:rsid w:val="00F742B5"/>
    <w:rsid w:val="00F80CE5"/>
    <w:rsid w:val="00F82C93"/>
    <w:rsid w:val="00F85B5D"/>
    <w:rsid w:val="00F85D18"/>
    <w:rsid w:val="00F9388E"/>
    <w:rsid w:val="00F9420A"/>
    <w:rsid w:val="00F94A0B"/>
    <w:rsid w:val="00F95688"/>
    <w:rsid w:val="00FA335C"/>
    <w:rsid w:val="00FB02B8"/>
    <w:rsid w:val="00FB157B"/>
    <w:rsid w:val="00FB6D1F"/>
    <w:rsid w:val="00FC4C5B"/>
    <w:rsid w:val="00FD08BC"/>
    <w:rsid w:val="00FD0A4D"/>
    <w:rsid w:val="00FD24A6"/>
    <w:rsid w:val="00FE1227"/>
    <w:rsid w:val="00FE21A8"/>
    <w:rsid w:val="00FE2B2C"/>
    <w:rsid w:val="00FE4859"/>
    <w:rsid w:val="00FE4936"/>
    <w:rsid w:val="00FF124B"/>
    <w:rsid w:val="00FF3F0A"/>
    <w:rsid w:val="00FF7076"/>
    <w:rsid w:val="011A1DE1"/>
    <w:rsid w:val="012873D3"/>
    <w:rsid w:val="012F6E0E"/>
    <w:rsid w:val="01505F15"/>
    <w:rsid w:val="015772A4"/>
    <w:rsid w:val="0176597C"/>
    <w:rsid w:val="018A7679"/>
    <w:rsid w:val="01B3097E"/>
    <w:rsid w:val="01BA5382"/>
    <w:rsid w:val="01E274B5"/>
    <w:rsid w:val="02581525"/>
    <w:rsid w:val="025F6085"/>
    <w:rsid w:val="02620527"/>
    <w:rsid w:val="02641C78"/>
    <w:rsid w:val="02663C42"/>
    <w:rsid w:val="02691D0A"/>
    <w:rsid w:val="02866093"/>
    <w:rsid w:val="02AB2F3D"/>
    <w:rsid w:val="02AB78A7"/>
    <w:rsid w:val="02BA3F8E"/>
    <w:rsid w:val="02BF15A4"/>
    <w:rsid w:val="02DE7C7D"/>
    <w:rsid w:val="02F30FA1"/>
    <w:rsid w:val="03015719"/>
    <w:rsid w:val="030D78E8"/>
    <w:rsid w:val="03123DCA"/>
    <w:rsid w:val="03147368"/>
    <w:rsid w:val="03172FC7"/>
    <w:rsid w:val="0328714A"/>
    <w:rsid w:val="03563CB7"/>
    <w:rsid w:val="0361265C"/>
    <w:rsid w:val="03824AAC"/>
    <w:rsid w:val="03925EFB"/>
    <w:rsid w:val="03956348"/>
    <w:rsid w:val="03A013D6"/>
    <w:rsid w:val="03B5742C"/>
    <w:rsid w:val="03C06834"/>
    <w:rsid w:val="03C74BB5"/>
    <w:rsid w:val="03D33559"/>
    <w:rsid w:val="03D87098"/>
    <w:rsid w:val="03F77C65"/>
    <w:rsid w:val="040335BB"/>
    <w:rsid w:val="0442248D"/>
    <w:rsid w:val="04463D2B"/>
    <w:rsid w:val="044E2BE0"/>
    <w:rsid w:val="04545D1C"/>
    <w:rsid w:val="047B5D82"/>
    <w:rsid w:val="049A7BD3"/>
    <w:rsid w:val="049C7DEF"/>
    <w:rsid w:val="04B70785"/>
    <w:rsid w:val="04BC5D9C"/>
    <w:rsid w:val="04BE5FB8"/>
    <w:rsid w:val="04C37ECB"/>
    <w:rsid w:val="04D806FC"/>
    <w:rsid w:val="04DD3F64"/>
    <w:rsid w:val="04FA4B16"/>
    <w:rsid w:val="05024877"/>
    <w:rsid w:val="050E411D"/>
    <w:rsid w:val="052971A9"/>
    <w:rsid w:val="0532605E"/>
    <w:rsid w:val="05404C1F"/>
    <w:rsid w:val="054A15F9"/>
    <w:rsid w:val="056662EA"/>
    <w:rsid w:val="057743B8"/>
    <w:rsid w:val="058A7C48"/>
    <w:rsid w:val="05AD231A"/>
    <w:rsid w:val="05AF3B52"/>
    <w:rsid w:val="05CA273A"/>
    <w:rsid w:val="05D45367"/>
    <w:rsid w:val="061834A6"/>
    <w:rsid w:val="06336531"/>
    <w:rsid w:val="06340605"/>
    <w:rsid w:val="06357182"/>
    <w:rsid w:val="063F4ED6"/>
    <w:rsid w:val="06636ACC"/>
    <w:rsid w:val="06651B3E"/>
    <w:rsid w:val="066D5415"/>
    <w:rsid w:val="0677563E"/>
    <w:rsid w:val="067B3A34"/>
    <w:rsid w:val="068B1EC9"/>
    <w:rsid w:val="06913258"/>
    <w:rsid w:val="06A74829"/>
    <w:rsid w:val="06A93A70"/>
    <w:rsid w:val="06C61153"/>
    <w:rsid w:val="06F91383"/>
    <w:rsid w:val="073C1416"/>
    <w:rsid w:val="07465F73"/>
    <w:rsid w:val="074F20D0"/>
    <w:rsid w:val="07983601"/>
    <w:rsid w:val="07B0770E"/>
    <w:rsid w:val="07C84A57"/>
    <w:rsid w:val="07D23B28"/>
    <w:rsid w:val="07D72EEC"/>
    <w:rsid w:val="082A3964"/>
    <w:rsid w:val="08387E2F"/>
    <w:rsid w:val="085B3B1D"/>
    <w:rsid w:val="085C464E"/>
    <w:rsid w:val="089E3A0A"/>
    <w:rsid w:val="08CE711F"/>
    <w:rsid w:val="08D00067"/>
    <w:rsid w:val="08DF64FD"/>
    <w:rsid w:val="08E445D2"/>
    <w:rsid w:val="08FA50E4"/>
    <w:rsid w:val="09012917"/>
    <w:rsid w:val="090221EB"/>
    <w:rsid w:val="092964F1"/>
    <w:rsid w:val="0935611C"/>
    <w:rsid w:val="093F6F9B"/>
    <w:rsid w:val="095552CC"/>
    <w:rsid w:val="09694699"/>
    <w:rsid w:val="096B7D90"/>
    <w:rsid w:val="097C1F9D"/>
    <w:rsid w:val="09997FFE"/>
    <w:rsid w:val="09A652B3"/>
    <w:rsid w:val="09B01C47"/>
    <w:rsid w:val="09B41737"/>
    <w:rsid w:val="09C01DC2"/>
    <w:rsid w:val="09D05E45"/>
    <w:rsid w:val="09DE0562"/>
    <w:rsid w:val="09DE67B4"/>
    <w:rsid w:val="09E337CB"/>
    <w:rsid w:val="09E8138B"/>
    <w:rsid w:val="0A4569BA"/>
    <w:rsid w:val="0A497AD5"/>
    <w:rsid w:val="0A4A5BF8"/>
    <w:rsid w:val="0A6D7B38"/>
    <w:rsid w:val="0A93759F"/>
    <w:rsid w:val="0A951569"/>
    <w:rsid w:val="0A997772"/>
    <w:rsid w:val="0AD100C7"/>
    <w:rsid w:val="0AD6392F"/>
    <w:rsid w:val="0ADF27E4"/>
    <w:rsid w:val="0B1B47FE"/>
    <w:rsid w:val="0B2E376B"/>
    <w:rsid w:val="0B50723E"/>
    <w:rsid w:val="0B5C3E34"/>
    <w:rsid w:val="0B6B4077"/>
    <w:rsid w:val="0B8D2240"/>
    <w:rsid w:val="0BA15CEB"/>
    <w:rsid w:val="0BC47C2C"/>
    <w:rsid w:val="0BC70938"/>
    <w:rsid w:val="0C063DA0"/>
    <w:rsid w:val="0C122745"/>
    <w:rsid w:val="0C2D757F"/>
    <w:rsid w:val="0C450D6C"/>
    <w:rsid w:val="0C7156BE"/>
    <w:rsid w:val="0C790A16"/>
    <w:rsid w:val="0C9F66CF"/>
    <w:rsid w:val="0CAA0BCF"/>
    <w:rsid w:val="0CBD6B55"/>
    <w:rsid w:val="0CC71781"/>
    <w:rsid w:val="0CCA74C4"/>
    <w:rsid w:val="0CD345CA"/>
    <w:rsid w:val="0CF62B54"/>
    <w:rsid w:val="0D162709"/>
    <w:rsid w:val="0D1D1AC4"/>
    <w:rsid w:val="0D3F57BC"/>
    <w:rsid w:val="0D4032E2"/>
    <w:rsid w:val="0D432C63"/>
    <w:rsid w:val="0D57008A"/>
    <w:rsid w:val="0D570D57"/>
    <w:rsid w:val="0D5A3338"/>
    <w:rsid w:val="0D814026"/>
    <w:rsid w:val="0D915670"/>
    <w:rsid w:val="0D920238"/>
    <w:rsid w:val="0D9773A6"/>
    <w:rsid w:val="0DA56F93"/>
    <w:rsid w:val="0DB31D06"/>
    <w:rsid w:val="0DBE5C41"/>
    <w:rsid w:val="0E286250"/>
    <w:rsid w:val="0E440BB0"/>
    <w:rsid w:val="0E647EF4"/>
    <w:rsid w:val="0E72571D"/>
    <w:rsid w:val="0E7E1C83"/>
    <w:rsid w:val="0E855450"/>
    <w:rsid w:val="0E883192"/>
    <w:rsid w:val="0E884F40"/>
    <w:rsid w:val="0E9438E5"/>
    <w:rsid w:val="0EAF4BC3"/>
    <w:rsid w:val="0EB16245"/>
    <w:rsid w:val="0EC817E1"/>
    <w:rsid w:val="0ECD6DF7"/>
    <w:rsid w:val="0ED51654"/>
    <w:rsid w:val="0EE91E83"/>
    <w:rsid w:val="0EF600FC"/>
    <w:rsid w:val="0EF95E3E"/>
    <w:rsid w:val="0EFE5203"/>
    <w:rsid w:val="0F22536C"/>
    <w:rsid w:val="0F985657"/>
    <w:rsid w:val="0FAE4B37"/>
    <w:rsid w:val="0FCB77DB"/>
    <w:rsid w:val="0FD77F2D"/>
    <w:rsid w:val="0FFC3E38"/>
    <w:rsid w:val="101D790A"/>
    <w:rsid w:val="10234F21"/>
    <w:rsid w:val="10347146"/>
    <w:rsid w:val="10354C54"/>
    <w:rsid w:val="103709CC"/>
    <w:rsid w:val="10401F77"/>
    <w:rsid w:val="106A0DA2"/>
    <w:rsid w:val="107C6D27"/>
    <w:rsid w:val="10A026F5"/>
    <w:rsid w:val="10AB3168"/>
    <w:rsid w:val="10BD35C7"/>
    <w:rsid w:val="110E3E23"/>
    <w:rsid w:val="11421D1E"/>
    <w:rsid w:val="11423ACC"/>
    <w:rsid w:val="114E2471"/>
    <w:rsid w:val="116A526D"/>
    <w:rsid w:val="11812847"/>
    <w:rsid w:val="119D51A7"/>
    <w:rsid w:val="11B17468"/>
    <w:rsid w:val="11B61DC5"/>
    <w:rsid w:val="11BA5E81"/>
    <w:rsid w:val="11BF6ECB"/>
    <w:rsid w:val="11C12C43"/>
    <w:rsid w:val="11C40985"/>
    <w:rsid w:val="11C664AC"/>
    <w:rsid w:val="11C91AF8"/>
    <w:rsid w:val="11DD37F5"/>
    <w:rsid w:val="11EC0242"/>
    <w:rsid w:val="12215D49"/>
    <w:rsid w:val="122405B1"/>
    <w:rsid w:val="12577104"/>
    <w:rsid w:val="126A7667"/>
    <w:rsid w:val="12955E7E"/>
    <w:rsid w:val="129B1D1F"/>
    <w:rsid w:val="129B4B68"/>
    <w:rsid w:val="12AA1929"/>
    <w:rsid w:val="12BC78AF"/>
    <w:rsid w:val="12C22387"/>
    <w:rsid w:val="12D135BD"/>
    <w:rsid w:val="12E52349"/>
    <w:rsid w:val="12F11306"/>
    <w:rsid w:val="12FA67BA"/>
    <w:rsid w:val="12FB7214"/>
    <w:rsid w:val="13196AAF"/>
    <w:rsid w:val="131E5E73"/>
    <w:rsid w:val="13525B1D"/>
    <w:rsid w:val="13620456"/>
    <w:rsid w:val="139D148E"/>
    <w:rsid w:val="139F5206"/>
    <w:rsid w:val="13A46379"/>
    <w:rsid w:val="13B567D8"/>
    <w:rsid w:val="13B81E24"/>
    <w:rsid w:val="13C46A1B"/>
    <w:rsid w:val="13DF1AA7"/>
    <w:rsid w:val="13FB7F63"/>
    <w:rsid w:val="13FC61B5"/>
    <w:rsid w:val="1400264D"/>
    <w:rsid w:val="140137CB"/>
    <w:rsid w:val="1404150D"/>
    <w:rsid w:val="14172FEE"/>
    <w:rsid w:val="142011A6"/>
    <w:rsid w:val="14263231"/>
    <w:rsid w:val="143C0CA7"/>
    <w:rsid w:val="14457166"/>
    <w:rsid w:val="14465682"/>
    <w:rsid w:val="144813FA"/>
    <w:rsid w:val="14665D24"/>
    <w:rsid w:val="147F6DE6"/>
    <w:rsid w:val="1494463F"/>
    <w:rsid w:val="14B60A59"/>
    <w:rsid w:val="14BE790E"/>
    <w:rsid w:val="14C377BA"/>
    <w:rsid w:val="14CD5DA3"/>
    <w:rsid w:val="14CF38C9"/>
    <w:rsid w:val="14DC5FE6"/>
    <w:rsid w:val="14FC21E4"/>
    <w:rsid w:val="15226FC3"/>
    <w:rsid w:val="15273705"/>
    <w:rsid w:val="152F4368"/>
    <w:rsid w:val="153A50FC"/>
    <w:rsid w:val="15506DE8"/>
    <w:rsid w:val="15567B46"/>
    <w:rsid w:val="155E69FB"/>
    <w:rsid w:val="156A53A0"/>
    <w:rsid w:val="15747FCD"/>
    <w:rsid w:val="157826B9"/>
    <w:rsid w:val="15791A87"/>
    <w:rsid w:val="15A557F6"/>
    <w:rsid w:val="15BD1974"/>
    <w:rsid w:val="15D23CCD"/>
    <w:rsid w:val="160521C9"/>
    <w:rsid w:val="161377E5"/>
    <w:rsid w:val="16277A0B"/>
    <w:rsid w:val="163B0AEA"/>
    <w:rsid w:val="16561E2B"/>
    <w:rsid w:val="16795055"/>
    <w:rsid w:val="16852D6C"/>
    <w:rsid w:val="16BF171B"/>
    <w:rsid w:val="16C94348"/>
    <w:rsid w:val="16CF5E02"/>
    <w:rsid w:val="16F615E1"/>
    <w:rsid w:val="17233056"/>
    <w:rsid w:val="17375756"/>
    <w:rsid w:val="17397720"/>
    <w:rsid w:val="17667DE9"/>
    <w:rsid w:val="176D73C9"/>
    <w:rsid w:val="17725D52"/>
    <w:rsid w:val="178170D6"/>
    <w:rsid w:val="17832407"/>
    <w:rsid w:val="178971DD"/>
    <w:rsid w:val="17B24919"/>
    <w:rsid w:val="17B4163D"/>
    <w:rsid w:val="17D2722C"/>
    <w:rsid w:val="17E61B2C"/>
    <w:rsid w:val="17EE50F6"/>
    <w:rsid w:val="17F85195"/>
    <w:rsid w:val="180970F2"/>
    <w:rsid w:val="183028D1"/>
    <w:rsid w:val="184E71FB"/>
    <w:rsid w:val="185D11EC"/>
    <w:rsid w:val="185F31B6"/>
    <w:rsid w:val="18846779"/>
    <w:rsid w:val="18921D8D"/>
    <w:rsid w:val="18A55BCE"/>
    <w:rsid w:val="18AF29F3"/>
    <w:rsid w:val="18B232E6"/>
    <w:rsid w:val="18B3705E"/>
    <w:rsid w:val="18D21BDA"/>
    <w:rsid w:val="18D47700"/>
    <w:rsid w:val="18DF60A5"/>
    <w:rsid w:val="18E5190D"/>
    <w:rsid w:val="18EB4A4A"/>
    <w:rsid w:val="18ED2570"/>
    <w:rsid w:val="194B54E8"/>
    <w:rsid w:val="194F6D87"/>
    <w:rsid w:val="195425EF"/>
    <w:rsid w:val="19570331"/>
    <w:rsid w:val="1961712D"/>
    <w:rsid w:val="196842EC"/>
    <w:rsid w:val="197832BB"/>
    <w:rsid w:val="197B401F"/>
    <w:rsid w:val="198A7DBF"/>
    <w:rsid w:val="19B244D7"/>
    <w:rsid w:val="19CF6119"/>
    <w:rsid w:val="19EF2318"/>
    <w:rsid w:val="1A006829"/>
    <w:rsid w:val="1A4F2DB6"/>
    <w:rsid w:val="1A5F56EF"/>
    <w:rsid w:val="1A60763D"/>
    <w:rsid w:val="1AAD645B"/>
    <w:rsid w:val="1AAE3F81"/>
    <w:rsid w:val="1AC63078"/>
    <w:rsid w:val="1AC66FE9"/>
    <w:rsid w:val="1AC94917"/>
    <w:rsid w:val="1ADF05DE"/>
    <w:rsid w:val="1B063DBD"/>
    <w:rsid w:val="1B1464DA"/>
    <w:rsid w:val="1B2E0C1E"/>
    <w:rsid w:val="1B3A2F9D"/>
    <w:rsid w:val="1B650AE3"/>
    <w:rsid w:val="1B7F06C9"/>
    <w:rsid w:val="1B965141"/>
    <w:rsid w:val="1BA62EAA"/>
    <w:rsid w:val="1BD6553D"/>
    <w:rsid w:val="1BD73063"/>
    <w:rsid w:val="1BF27E9D"/>
    <w:rsid w:val="1C3E3A60"/>
    <w:rsid w:val="1C713186"/>
    <w:rsid w:val="1C770443"/>
    <w:rsid w:val="1C8925AF"/>
    <w:rsid w:val="1C8B27CB"/>
    <w:rsid w:val="1CB735C0"/>
    <w:rsid w:val="1CC730D8"/>
    <w:rsid w:val="1CD37CCF"/>
    <w:rsid w:val="1CD66BB0"/>
    <w:rsid w:val="1CD72DA5"/>
    <w:rsid w:val="1CE60291"/>
    <w:rsid w:val="1D0205B4"/>
    <w:rsid w:val="1D0F170B"/>
    <w:rsid w:val="1D184A7F"/>
    <w:rsid w:val="1D266050"/>
    <w:rsid w:val="1D271DC8"/>
    <w:rsid w:val="1D30774C"/>
    <w:rsid w:val="1D3369BF"/>
    <w:rsid w:val="1D344C11"/>
    <w:rsid w:val="1D352737"/>
    <w:rsid w:val="1D570900"/>
    <w:rsid w:val="1D5D79A9"/>
    <w:rsid w:val="1D5F1562"/>
    <w:rsid w:val="1D970CFC"/>
    <w:rsid w:val="1DA13929"/>
    <w:rsid w:val="1DA15BB5"/>
    <w:rsid w:val="1DBC4C07"/>
    <w:rsid w:val="1DBE184B"/>
    <w:rsid w:val="1DC87107"/>
    <w:rsid w:val="1DEF0B38"/>
    <w:rsid w:val="1DFD14A7"/>
    <w:rsid w:val="1E097B16"/>
    <w:rsid w:val="1E1D38F7"/>
    <w:rsid w:val="1E1D3D89"/>
    <w:rsid w:val="1E262080"/>
    <w:rsid w:val="1E326C77"/>
    <w:rsid w:val="1E5135A1"/>
    <w:rsid w:val="1E6A6411"/>
    <w:rsid w:val="1E7828DC"/>
    <w:rsid w:val="1E7D4B7F"/>
    <w:rsid w:val="1E8F5E77"/>
    <w:rsid w:val="1EA26A2B"/>
    <w:rsid w:val="1EAE27A1"/>
    <w:rsid w:val="1EB15DEE"/>
    <w:rsid w:val="1EBA1146"/>
    <w:rsid w:val="1ECE699F"/>
    <w:rsid w:val="1ED02718"/>
    <w:rsid w:val="1EE0518D"/>
    <w:rsid w:val="1EF83A1C"/>
    <w:rsid w:val="1F1D16D5"/>
    <w:rsid w:val="1F280FC9"/>
    <w:rsid w:val="1F30765A"/>
    <w:rsid w:val="1F356A1F"/>
    <w:rsid w:val="1F3C5FFF"/>
    <w:rsid w:val="1F511F82"/>
    <w:rsid w:val="1F525822"/>
    <w:rsid w:val="1F7D3F22"/>
    <w:rsid w:val="1FA871F0"/>
    <w:rsid w:val="1FAD2A59"/>
    <w:rsid w:val="1FB43DE7"/>
    <w:rsid w:val="1FC14756"/>
    <w:rsid w:val="200563F1"/>
    <w:rsid w:val="20230F6D"/>
    <w:rsid w:val="20452C91"/>
    <w:rsid w:val="20631369"/>
    <w:rsid w:val="2080300F"/>
    <w:rsid w:val="20B147CB"/>
    <w:rsid w:val="20CD585E"/>
    <w:rsid w:val="20EA55E7"/>
    <w:rsid w:val="20EC5803"/>
    <w:rsid w:val="20EE6FC1"/>
    <w:rsid w:val="20F63F8C"/>
    <w:rsid w:val="21022930"/>
    <w:rsid w:val="21165730"/>
    <w:rsid w:val="212D20A3"/>
    <w:rsid w:val="21311468"/>
    <w:rsid w:val="215C64E4"/>
    <w:rsid w:val="21606878"/>
    <w:rsid w:val="21787096"/>
    <w:rsid w:val="217F0425"/>
    <w:rsid w:val="21902632"/>
    <w:rsid w:val="21B2350C"/>
    <w:rsid w:val="21EF7359"/>
    <w:rsid w:val="22027AEB"/>
    <w:rsid w:val="220D5A31"/>
    <w:rsid w:val="2210107D"/>
    <w:rsid w:val="22265D64"/>
    <w:rsid w:val="222B4109"/>
    <w:rsid w:val="226C09A9"/>
    <w:rsid w:val="226D4721"/>
    <w:rsid w:val="22A243CB"/>
    <w:rsid w:val="22AA7723"/>
    <w:rsid w:val="22B20386"/>
    <w:rsid w:val="22C02AA3"/>
    <w:rsid w:val="22F62969"/>
    <w:rsid w:val="22FF35CB"/>
    <w:rsid w:val="231B2676"/>
    <w:rsid w:val="231E77CA"/>
    <w:rsid w:val="23203542"/>
    <w:rsid w:val="23825FAA"/>
    <w:rsid w:val="238910E7"/>
    <w:rsid w:val="23A423C5"/>
    <w:rsid w:val="23A42D0F"/>
    <w:rsid w:val="23BC770E"/>
    <w:rsid w:val="23D26F32"/>
    <w:rsid w:val="23E9602A"/>
    <w:rsid w:val="241B6079"/>
    <w:rsid w:val="2426102C"/>
    <w:rsid w:val="24303C58"/>
    <w:rsid w:val="243112C3"/>
    <w:rsid w:val="243C7B16"/>
    <w:rsid w:val="24462A2D"/>
    <w:rsid w:val="24545B99"/>
    <w:rsid w:val="246B6173"/>
    <w:rsid w:val="24727DCD"/>
    <w:rsid w:val="249C309C"/>
    <w:rsid w:val="24A87C93"/>
    <w:rsid w:val="24AE4DAE"/>
    <w:rsid w:val="24B403E6"/>
    <w:rsid w:val="24B46637"/>
    <w:rsid w:val="24DE1906"/>
    <w:rsid w:val="24E000F6"/>
    <w:rsid w:val="251B0465"/>
    <w:rsid w:val="251D40A6"/>
    <w:rsid w:val="25205A7B"/>
    <w:rsid w:val="252F5CBE"/>
    <w:rsid w:val="253F05F7"/>
    <w:rsid w:val="2540611D"/>
    <w:rsid w:val="255B2F57"/>
    <w:rsid w:val="257007B0"/>
    <w:rsid w:val="25797A08"/>
    <w:rsid w:val="258E7E25"/>
    <w:rsid w:val="259A63A4"/>
    <w:rsid w:val="259C77F7"/>
    <w:rsid w:val="25D30D3F"/>
    <w:rsid w:val="25D845A8"/>
    <w:rsid w:val="25E20F82"/>
    <w:rsid w:val="25E230C0"/>
    <w:rsid w:val="261A071C"/>
    <w:rsid w:val="263E265D"/>
    <w:rsid w:val="264D6D44"/>
    <w:rsid w:val="26541E80"/>
    <w:rsid w:val="26722306"/>
    <w:rsid w:val="26834513"/>
    <w:rsid w:val="26914E82"/>
    <w:rsid w:val="26986044"/>
    <w:rsid w:val="26AE2710"/>
    <w:rsid w:val="26B36D0C"/>
    <w:rsid w:val="26B47F5C"/>
    <w:rsid w:val="26C70FC3"/>
    <w:rsid w:val="26E81A48"/>
    <w:rsid w:val="270C4509"/>
    <w:rsid w:val="272E0923"/>
    <w:rsid w:val="2730532F"/>
    <w:rsid w:val="274E4B21"/>
    <w:rsid w:val="275754B4"/>
    <w:rsid w:val="276205CD"/>
    <w:rsid w:val="277852DF"/>
    <w:rsid w:val="278247CB"/>
    <w:rsid w:val="27D20B9B"/>
    <w:rsid w:val="27D74B17"/>
    <w:rsid w:val="28074CD0"/>
    <w:rsid w:val="280B4FF2"/>
    <w:rsid w:val="28425D08"/>
    <w:rsid w:val="28447CD2"/>
    <w:rsid w:val="28793E20"/>
    <w:rsid w:val="2880617F"/>
    <w:rsid w:val="28A8200F"/>
    <w:rsid w:val="28AC5FA3"/>
    <w:rsid w:val="28AF15F0"/>
    <w:rsid w:val="28C11323"/>
    <w:rsid w:val="28CC797B"/>
    <w:rsid w:val="28E3573D"/>
    <w:rsid w:val="28EB63A0"/>
    <w:rsid w:val="28F25980"/>
    <w:rsid w:val="28F6721F"/>
    <w:rsid w:val="290959CB"/>
    <w:rsid w:val="290A2CCA"/>
    <w:rsid w:val="290D6316"/>
    <w:rsid w:val="291C47AB"/>
    <w:rsid w:val="2920604A"/>
    <w:rsid w:val="29471828"/>
    <w:rsid w:val="294842B1"/>
    <w:rsid w:val="295757E3"/>
    <w:rsid w:val="29581C87"/>
    <w:rsid w:val="297B411D"/>
    <w:rsid w:val="29824F56"/>
    <w:rsid w:val="299A404E"/>
    <w:rsid w:val="29AB625B"/>
    <w:rsid w:val="29BD1AEA"/>
    <w:rsid w:val="29BD7D3C"/>
    <w:rsid w:val="29BF3AB4"/>
    <w:rsid w:val="29BF5862"/>
    <w:rsid w:val="29D44611"/>
    <w:rsid w:val="29F75F90"/>
    <w:rsid w:val="29FF2103"/>
    <w:rsid w:val="2A351FC9"/>
    <w:rsid w:val="2A3C5105"/>
    <w:rsid w:val="2A433BA0"/>
    <w:rsid w:val="2A4B5348"/>
    <w:rsid w:val="2A4E3D69"/>
    <w:rsid w:val="2A500BB0"/>
    <w:rsid w:val="2A60320F"/>
    <w:rsid w:val="2A6D426A"/>
    <w:rsid w:val="2A704DAF"/>
    <w:rsid w:val="2A8645D2"/>
    <w:rsid w:val="2AA44A58"/>
    <w:rsid w:val="2AB96756"/>
    <w:rsid w:val="2ACF41CB"/>
    <w:rsid w:val="2AD27817"/>
    <w:rsid w:val="2AFB4FC0"/>
    <w:rsid w:val="2B013C59"/>
    <w:rsid w:val="2B125E66"/>
    <w:rsid w:val="2B5244B4"/>
    <w:rsid w:val="2B5621F6"/>
    <w:rsid w:val="2B5841C1"/>
    <w:rsid w:val="2B69017C"/>
    <w:rsid w:val="2B6F5066"/>
    <w:rsid w:val="2B8D207F"/>
    <w:rsid w:val="2B9176D3"/>
    <w:rsid w:val="2BB94533"/>
    <w:rsid w:val="2BDB61B8"/>
    <w:rsid w:val="2C102611"/>
    <w:rsid w:val="2C154F49"/>
    <w:rsid w:val="2C163734"/>
    <w:rsid w:val="2C29369E"/>
    <w:rsid w:val="2C324A12"/>
    <w:rsid w:val="2C480E1F"/>
    <w:rsid w:val="2C4D7981"/>
    <w:rsid w:val="2C5A7B6E"/>
    <w:rsid w:val="2C63738B"/>
    <w:rsid w:val="2C6A365C"/>
    <w:rsid w:val="2C7C5C8D"/>
    <w:rsid w:val="2C802E20"/>
    <w:rsid w:val="2C842D93"/>
    <w:rsid w:val="2C972AC7"/>
    <w:rsid w:val="2C9A25B7"/>
    <w:rsid w:val="2C9F5E1F"/>
    <w:rsid w:val="2CB25B52"/>
    <w:rsid w:val="2CC87124"/>
    <w:rsid w:val="2CF55A3F"/>
    <w:rsid w:val="2D1660E1"/>
    <w:rsid w:val="2D376058"/>
    <w:rsid w:val="2D3B5B48"/>
    <w:rsid w:val="2D4227EC"/>
    <w:rsid w:val="2D502C75"/>
    <w:rsid w:val="2D504A9A"/>
    <w:rsid w:val="2D616C31"/>
    <w:rsid w:val="2D644EEA"/>
    <w:rsid w:val="2D6F57F1"/>
    <w:rsid w:val="2D6F75A0"/>
    <w:rsid w:val="2D855015"/>
    <w:rsid w:val="2DAC07F4"/>
    <w:rsid w:val="2DB651CE"/>
    <w:rsid w:val="2DC378EB"/>
    <w:rsid w:val="2DCA0C7A"/>
    <w:rsid w:val="2DFD4BAB"/>
    <w:rsid w:val="2E150147"/>
    <w:rsid w:val="2E1D0A29"/>
    <w:rsid w:val="2E204D3E"/>
    <w:rsid w:val="2E383E35"/>
    <w:rsid w:val="2E3D58F0"/>
    <w:rsid w:val="2E474078"/>
    <w:rsid w:val="2E4A46A0"/>
    <w:rsid w:val="2E4E3659"/>
    <w:rsid w:val="2E67471B"/>
    <w:rsid w:val="2E6E6882"/>
    <w:rsid w:val="2E831067"/>
    <w:rsid w:val="2EA96AE1"/>
    <w:rsid w:val="2ED26038"/>
    <w:rsid w:val="2EDA6C9B"/>
    <w:rsid w:val="2EF72DA2"/>
    <w:rsid w:val="2EF75AA2"/>
    <w:rsid w:val="2EFE6E2D"/>
    <w:rsid w:val="2F320885"/>
    <w:rsid w:val="2F3515C3"/>
    <w:rsid w:val="2F811BAB"/>
    <w:rsid w:val="2F854E58"/>
    <w:rsid w:val="2FAF0127"/>
    <w:rsid w:val="2FCC6553"/>
    <w:rsid w:val="302C2DEC"/>
    <w:rsid w:val="302C5C1C"/>
    <w:rsid w:val="302E3742"/>
    <w:rsid w:val="303845C1"/>
    <w:rsid w:val="30670A02"/>
    <w:rsid w:val="30896BCA"/>
    <w:rsid w:val="30A6777C"/>
    <w:rsid w:val="30AA08EF"/>
    <w:rsid w:val="30B70563"/>
    <w:rsid w:val="30C145B6"/>
    <w:rsid w:val="30C61BCC"/>
    <w:rsid w:val="30F229C1"/>
    <w:rsid w:val="30FD4EC2"/>
    <w:rsid w:val="310E70CF"/>
    <w:rsid w:val="3114436F"/>
    <w:rsid w:val="311F0C14"/>
    <w:rsid w:val="3131284D"/>
    <w:rsid w:val="31374878"/>
    <w:rsid w:val="317407C0"/>
    <w:rsid w:val="31794E91"/>
    <w:rsid w:val="317A2145"/>
    <w:rsid w:val="31943A79"/>
    <w:rsid w:val="31B219B8"/>
    <w:rsid w:val="31B639EF"/>
    <w:rsid w:val="31B859B9"/>
    <w:rsid w:val="31D976DD"/>
    <w:rsid w:val="3207249C"/>
    <w:rsid w:val="32116E77"/>
    <w:rsid w:val="321740FA"/>
    <w:rsid w:val="324A05DB"/>
    <w:rsid w:val="325B4596"/>
    <w:rsid w:val="326571C3"/>
    <w:rsid w:val="32701DFC"/>
    <w:rsid w:val="3281224F"/>
    <w:rsid w:val="3284589B"/>
    <w:rsid w:val="32B53C87"/>
    <w:rsid w:val="32D54349"/>
    <w:rsid w:val="32DA54BB"/>
    <w:rsid w:val="32FB3683"/>
    <w:rsid w:val="3317670F"/>
    <w:rsid w:val="333948D8"/>
    <w:rsid w:val="335C6818"/>
    <w:rsid w:val="336B0809"/>
    <w:rsid w:val="336B25B7"/>
    <w:rsid w:val="33957634"/>
    <w:rsid w:val="33CF0D98"/>
    <w:rsid w:val="33EA7980"/>
    <w:rsid w:val="340054C9"/>
    <w:rsid w:val="34034EE6"/>
    <w:rsid w:val="34160775"/>
    <w:rsid w:val="34237336"/>
    <w:rsid w:val="344A2B14"/>
    <w:rsid w:val="346A0AC1"/>
    <w:rsid w:val="347C459C"/>
    <w:rsid w:val="34923544"/>
    <w:rsid w:val="34931DC5"/>
    <w:rsid w:val="349618B6"/>
    <w:rsid w:val="34AC732B"/>
    <w:rsid w:val="34C006B2"/>
    <w:rsid w:val="34D81ECE"/>
    <w:rsid w:val="34EA43FD"/>
    <w:rsid w:val="34F34F5A"/>
    <w:rsid w:val="34F417FE"/>
    <w:rsid w:val="34F52A80"/>
    <w:rsid w:val="34F565DC"/>
    <w:rsid w:val="34F62354"/>
    <w:rsid w:val="35174405"/>
    <w:rsid w:val="353C06AF"/>
    <w:rsid w:val="35696FCA"/>
    <w:rsid w:val="35A023A7"/>
    <w:rsid w:val="35F76384"/>
    <w:rsid w:val="35FB0A81"/>
    <w:rsid w:val="35FC1BEC"/>
    <w:rsid w:val="3608233F"/>
    <w:rsid w:val="360F55F7"/>
    <w:rsid w:val="362B4280"/>
    <w:rsid w:val="36317AE8"/>
    <w:rsid w:val="363B2715"/>
    <w:rsid w:val="36513CE6"/>
    <w:rsid w:val="367E6AA5"/>
    <w:rsid w:val="36826596"/>
    <w:rsid w:val="36A04C6E"/>
    <w:rsid w:val="36AA789A"/>
    <w:rsid w:val="36EC7EB3"/>
    <w:rsid w:val="36F40D85"/>
    <w:rsid w:val="37113475"/>
    <w:rsid w:val="37314050"/>
    <w:rsid w:val="37702892"/>
    <w:rsid w:val="377C1237"/>
    <w:rsid w:val="378620B5"/>
    <w:rsid w:val="37931D11"/>
    <w:rsid w:val="37A75B88"/>
    <w:rsid w:val="37A83DDA"/>
    <w:rsid w:val="37D16267"/>
    <w:rsid w:val="37E81D8A"/>
    <w:rsid w:val="37EC3AB6"/>
    <w:rsid w:val="37F60FE9"/>
    <w:rsid w:val="382F62A9"/>
    <w:rsid w:val="383E7EED"/>
    <w:rsid w:val="384B0848"/>
    <w:rsid w:val="38547ABE"/>
    <w:rsid w:val="388365F5"/>
    <w:rsid w:val="38912AC0"/>
    <w:rsid w:val="38A24CCD"/>
    <w:rsid w:val="38AC16A8"/>
    <w:rsid w:val="38AF2F46"/>
    <w:rsid w:val="38BA5268"/>
    <w:rsid w:val="38CF35E8"/>
    <w:rsid w:val="38E57781"/>
    <w:rsid w:val="38E7059D"/>
    <w:rsid w:val="38F2505B"/>
    <w:rsid w:val="38F8669B"/>
    <w:rsid w:val="390239BE"/>
    <w:rsid w:val="3911775D"/>
    <w:rsid w:val="391E2124"/>
    <w:rsid w:val="39241B86"/>
    <w:rsid w:val="392C0A3B"/>
    <w:rsid w:val="392C27E9"/>
    <w:rsid w:val="394C2E8B"/>
    <w:rsid w:val="39534219"/>
    <w:rsid w:val="395D0BF4"/>
    <w:rsid w:val="39641F82"/>
    <w:rsid w:val="397228F1"/>
    <w:rsid w:val="397877DC"/>
    <w:rsid w:val="39893797"/>
    <w:rsid w:val="398B7F95"/>
    <w:rsid w:val="398C3287"/>
    <w:rsid w:val="39A46823"/>
    <w:rsid w:val="39A71E6F"/>
    <w:rsid w:val="39A86313"/>
    <w:rsid w:val="39BA6046"/>
    <w:rsid w:val="39CD3FCC"/>
    <w:rsid w:val="39D92970"/>
    <w:rsid w:val="39FC21BB"/>
    <w:rsid w:val="3A013C75"/>
    <w:rsid w:val="3A157721"/>
    <w:rsid w:val="3A175247"/>
    <w:rsid w:val="3A3556CD"/>
    <w:rsid w:val="3A4678DA"/>
    <w:rsid w:val="3A7A7584"/>
    <w:rsid w:val="3A990BD3"/>
    <w:rsid w:val="3AA06FEA"/>
    <w:rsid w:val="3AA82343"/>
    <w:rsid w:val="3AB72586"/>
    <w:rsid w:val="3ABD5DEE"/>
    <w:rsid w:val="3AF235BE"/>
    <w:rsid w:val="3B084B8F"/>
    <w:rsid w:val="3B163750"/>
    <w:rsid w:val="3B196D9D"/>
    <w:rsid w:val="3B1B2B15"/>
    <w:rsid w:val="3B252B5B"/>
    <w:rsid w:val="3B2A2D58"/>
    <w:rsid w:val="3B2A71FC"/>
    <w:rsid w:val="3B2C6648"/>
    <w:rsid w:val="3B3A743F"/>
    <w:rsid w:val="3B765F9D"/>
    <w:rsid w:val="3B783AC3"/>
    <w:rsid w:val="3BA66882"/>
    <w:rsid w:val="3BB367AF"/>
    <w:rsid w:val="3BCA412D"/>
    <w:rsid w:val="3BD258C9"/>
    <w:rsid w:val="3BE850ED"/>
    <w:rsid w:val="3BEA6BCE"/>
    <w:rsid w:val="3C024B7D"/>
    <w:rsid w:val="3C137C90"/>
    <w:rsid w:val="3C3245BA"/>
    <w:rsid w:val="3C3C71E7"/>
    <w:rsid w:val="3C3D6ABB"/>
    <w:rsid w:val="3C552056"/>
    <w:rsid w:val="3C700C3E"/>
    <w:rsid w:val="3C7050E2"/>
    <w:rsid w:val="3C7F4EBC"/>
    <w:rsid w:val="3C8D359E"/>
    <w:rsid w:val="3C925059"/>
    <w:rsid w:val="3C9963E7"/>
    <w:rsid w:val="3CA9518B"/>
    <w:rsid w:val="3CAD1E92"/>
    <w:rsid w:val="3CB6115D"/>
    <w:rsid w:val="3CEA09F1"/>
    <w:rsid w:val="3CEB03DE"/>
    <w:rsid w:val="3D0A2E41"/>
    <w:rsid w:val="3D233F03"/>
    <w:rsid w:val="3D361E88"/>
    <w:rsid w:val="3D3D6D72"/>
    <w:rsid w:val="3D424389"/>
    <w:rsid w:val="3D6E33D0"/>
    <w:rsid w:val="3D6F7148"/>
    <w:rsid w:val="3D8175A7"/>
    <w:rsid w:val="3DB50FFF"/>
    <w:rsid w:val="3E483C21"/>
    <w:rsid w:val="3E52684D"/>
    <w:rsid w:val="3E9A6446"/>
    <w:rsid w:val="3EAA48DB"/>
    <w:rsid w:val="3EAE5A4E"/>
    <w:rsid w:val="3EB13344"/>
    <w:rsid w:val="3F09723D"/>
    <w:rsid w:val="3F352B20"/>
    <w:rsid w:val="3F676452"/>
    <w:rsid w:val="3F97003A"/>
    <w:rsid w:val="3FA96941"/>
    <w:rsid w:val="400022D9"/>
    <w:rsid w:val="40055B41"/>
    <w:rsid w:val="4024246B"/>
    <w:rsid w:val="402661E4"/>
    <w:rsid w:val="40356427"/>
    <w:rsid w:val="40415443"/>
    <w:rsid w:val="4056639D"/>
    <w:rsid w:val="406960D0"/>
    <w:rsid w:val="407E705F"/>
    <w:rsid w:val="40A315E2"/>
    <w:rsid w:val="40D07EFD"/>
    <w:rsid w:val="40E26775"/>
    <w:rsid w:val="40F03F61"/>
    <w:rsid w:val="40FE0F0E"/>
    <w:rsid w:val="410F0A26"/>
    <w:rsid w:val="411E161B"/>
    <w:rsid w:val="41320BB8"/>
    <w:rsid w:val="41526B64"/>
    <w:rsid w:val="41595546"/>
    <w:rsid w:val="415B010F"/>
    <w:rsid w:val="41655958"/>
    <w:rsid w:val="417B60BB"/>
    <w:rsid w:val="418C02C8"/>
    <w:rsid w:val="41923405"/>
    <w:rsid w:val="41E37013"/>
    <w:rsid w:val="41E41EB2"/>
    <w:rsid w:val="42100EF9"/>
    <w:rsid w:val="424B0183"/>
    <w:rsid w:val="42517E9B"/>
    <w:rsid w:val="425863FC"/>
    <w:rsid w:val="425B7C9B"/>
    <w:rsid w:val="42641245"/>
    <w:rsid w:val="4269685C"/>
    <w:rsid w:val="42937435"/>
    <w:rsid w:val="42B75819"/>
    <w:rsid w:val="42B8601F"/>
    <w:rsid w:val="42C57F36"/>
    <w:rsid w:val="43244531"/>
    <w:rsid w:val="43324E9F"/>
    <w:rsid w:val="435528D9"/>
    <w:rsid w:val="435766B4"/>
    <w:rsid w:val="436314FD"/>
    <w:rsid w:val="43650DD1"/>
    <w:rsid w:val="43673B61"/>
    <w:rsid w:val="4390018B"/>
    <w:rsid w:val="439C056B"/>
    <w:rsid w:val="43B9111D"/>
    <w:rsid w:val="43C077A8"/>
    <w:rsid w:val="43CC2BFE"/>
    <w:rsid w:val="43D441A9"/>
    <w:rsid w:val="43E57BD5"/>
    <w:rsid w:val="440525B4"/>
    <w:rsid w:val="441962C2"/>
    <w:rsid w:val="44242A3A"/>
    <w:rsid w:val="44246EDE"/>
    <w:rsid w:val="443E0904"/>
    <w:rsid w:val="44427364"/>
    <w:rsid w:val="445B0426"/>
    <w:rsid w:val="44641089"/>
    <w:rsid w:val="446948F1"/>
    <w:rsid w:val="44A65B45"/>
    <w:rsid w:val="44DB4DE1"/>
    <w:rsid w:val="44E26451"/>
    <w:rsid w:val="44FC39B7"/>
    <w:rsid w:val="451A3E3D"/>
    <w:rsid w:val="453C3DB3"/>
    <w:rsid w:val="453E3FCF"/>
    <w:rsid w:val="453E7B2C"/>
    <w:rsid w:val="45525385"/>
    <w:rsid w:val="455B5D37"/>
    <w:rsid w:val="45690202"/>
    <w:rsid w:val="45717F01"/>
    <w:rsid w:val="457572C5"/>
    <w:rsid w:val="45796DB6"/>
    <w:rsid w:val="45D95AA6"/>
    <w:rsid w:val="45DC10F2"/>
    <w:rsid w:val="45F159C5"/>
    <w:rsid w:val="461865CE"/>
    <w:rsid w:val="461B1C1B"/>
    <w:rsid w:val="466730B2"/>
    <w:rsid w:val="467B090B"/>
    <w:rsid w:val="468123C6"/>
    <w:rsid w:val="468C48C7"/>
    <w:rsid w:val="46971BE9"/>
    <w:rsid w:val="469A4A55"/>
    <w:rsid w:val="469D2F78"/>
    <w:rsid w:val="46A61E2C"/>
    <w:rsid w:val="46D5626E"/>
    <w:rsid w:val="46EE0206"/>
    <w:rsid w:val="46FF153C"/>
    <w:rsid w:val="470365A9"/>
    <w:rsid w:val="473D3E13"/>
    <w:rsid w:val="47413903"/>
    <w:rsid w:val="47431429"/>
    <w:rsid w:val="47484C91"/>
    <w:rsid w:val="47743BED"/>
    <w:rsid w:val="47794C84"/>
    <w:rsid w:val="478F0B12"/>
    <w:rsid w:val="47AD2D46"/>
    <w:rsid w:val="47AF4D11"/>
    <w:rsid w:val="47B40579"/>
    <w:rsid w:val="47B50951"/>
    <w:rsid w:val="47B84ADC"/>
    <w:rsid w:val="47C812A9"/>
    <w:rsid w:val="48084421"/>
    <w:rsid w:val="480C0B6B"/>
    <w:rsid w:val="48374FFD"/>
    <w:rsid w:val="48474F49"/>
    <w:rsid w:val="485201AC"/>
    <w:rsid w:val="486E58B8"/>
    <w:rsid w:val="486F4BA5"/>
    <w:rsid w:val="48711FC6"/>
    <w:rsid w:val="487E1EBD"/>
    <w:rsid w:val="489B34E7"/>
    <w:rsid w:val="489F2FD7"/>
    <w:rsid w:val="48B8308E"/>
    <w:rsid w:val="48B9571B"/>
    <w:rsid w:val="48D34E4A"/>
    <w:rsid w:val="48FB1A87"/>
    <w:rsid w:val="49006836"/>
    <w:rsid w:val="490C1CEF"/>
    <w:rsid w:val="491B5802"/>
    <w:rsid w:val="49282FCC"/>
    <w:rsid w:val="49465201"/>
    <w:rsid w:val="49527741"/>
    <w:rsid w:val="49553696"/>
    <w:rsid w:val="49602681"/>
    <w:rsid w:val="496C4C13"/>
    <w:rsid w:val="496D6C31"/>
    <w:rsid w:val="496E6505"/>
    <w:rsid w:val="49753D38"/>
    <w:rsid w:val="497F0713"/>
    <w:rsid w:val="4981448B"/>
    <w:rsid w:val="49A5420E"/>
    <w:rsid w:val="49A81A17"/>
    <w:rsid w:val="49AF4041"/>
    <w:rsid w:val="49B151DD"/>
    <w:rsid w:val="49B83F7E"/>
    <w:rsid w:val="49BA174B"/>
    <w:rsid w:val="49C84105"/>
    <w:rsid w:val="49E1317B"/>
    <w:rsid w:val="49EC0170"/>
    <w:rsid w:val="49EC224C"/>
    <w:rsid w:val="4A17247D"/>
    <w:rsid w:val="4A174DEF"/>
    <w:rsid w:val="4A196CF5"/>
    <w:rsid w:val="4A361719"/>
    <w:rsid w:val="4A5334F5"/>
    <w:rsid w:val="4A534079"/>
    <w:rsid w:val="4A58343D"/>
    <w:rsid w:val="4A78588E"/>
    <w:rsid w:val="4AA541A9"/>
    <w:rsid w:val="4AA76173"/>
    <w:rsid w:val="4AD30D16"/>
    <w:rsid w:val="4AD417E9"/>
    <w:rsid w:val="4AE178D7"/>
    <w:rsid w:val="4AEF3676"/>
    <w:rsid w:val="4AF33166"/>
    <w:rsid w:val="4AF54F29"/>
    <w:rsid w:val="4AFA3073"/>
    <w:rsid w:val="4B0B4954"/>
    <w:rsid w:val="4B0D06CC"/>
    <w:rsid w:val="4B1A06F3"/>
    <w:rsid w:val="4B1A4B97"/>
    <w:rsid w:val="4B44740D"/>
    <w:rsid w:val="4B46773A"/>
    <w:rsid w:val="4B49547C"/>
    <w:rsid w:val="4B5C6F5D"/>
    <w:rsid w:val="4B5E3668"/>
    <w:rsid w:val="4B644064"/>
    <w:rsid w:val="4B663FE5"/>
    <w:rsid w:val="4B8464B4"/>
    <w:rsid w:val="4B863FDA"/>
    <w:rsid w:val="4B865D88"/>
    <w:rsid w:val="4BC0573E"/>
    <w:rsid w:val="4BD905AE"/>
    <w:rsid w:val="4BDC3BFA"/>
    <w:rsid w:val="4BEE392E"/>
    <w:rsid w:val="4BF24CCF"/>
    <w:rsid w:val="4BFC333F"/>
    <w:rsid w:val="4BFE6267"/>
    <w:rsid w:val="4BFF6E84"/>
    <w:rsid w:val="4C0B2731"/>
    <w:rsid w:val="4C416153"/>
    <w:rsid w:val="4C46012D"/>
    <w:rsid w:val="4C4C0445"/>
    <w:rsid w:val="4C5365B2"/>
    <w:rsid w:val="4C5B0FC3"/>
    <w:rsid w:val="4C680B32"/>
    <w:rsid w:val="4C793B3F"/>
    <w:rsid w:val="4C7B78B7"/>
    <w:rsid w:val="4C851BAB"/>
    <w:rsid w:val="4C983FC5"/>
    <w:rsid w:val="4CA02E7A"/>
    <w:rsid w:val="4CAC7A71"/>
    <w:rsid w:val="4CAF57B3"/>
    <w:rsid w:val="4CB45ADD"/>
    <w:rsid w:val="4CC72AFC"/>
    <w:rsid w:val="4CD82614"/>
    <w:rsid w:val="4CEA67EB"/>
    <w:rsid w:val="4CF5766A"/>
    <w:rsid w:val="4D113D78"/>
    <w:rsid w:val="4D186EB4"/>
    <w:rsid w:val="4D4B1038"/>
    <w:rsid w:val="4D6452BC"/>
    <w:rsid w:val="4D6C0FAE"/>
    <w:rsid w:val="4D736022"/>
    <w:rsid w:val="4D7D2AAB"/>
    <w:rsid w:val="4DA67CFD"/>
    <w:rsid w:val="4DBF37D4"/>
    <w:rsid w:val="4DC112FA"/>
    <w:rsid w:val="4DC86B2C"/>
    <w:rsid w:val="4DDD4B76"/>
    <w:rsid w:val="4DFE60AA"/>
    <w:rsid w:val="4E1C0C26"/>
    <w:rsid w:val="4E353A96"/>
    <w:rsid w:val="4E3C540B"/>
    <w:rsid w:val="4E577EB0"/>
    <w:rsid w:val="4E5D33F6"/>
    <w:rsid w:val="4E6A730B"/>
    <w:rsid w:val="4E830CA5"/>
    <w:rsid w:val="4E8D742E"/>
    <w:rsid w:val="4E9B7D9D"/>
    <w:rsid w:val="4EA01857"/>
    <w:rsid w:val="4EAC7985"/>
    <w:rsid w:val="4EE942B4"/>
    <w:rsid w:val="4EF676C9"/>
    <w:rsid w:val="4F0C10CB"/>
    <w:rsid w:val="4F275AD4"/>
    <w:rsid w:val="4F2E6E63"/>
    <w:rsid w:val="4F5F701C"/>
    <w:rsid w:val="4F691C49"/>
    <w:rsid w:val="4F7E443D"/>
    <w:rsid w:val="4F8E5B53"/>
    <w:rsid w:val="4F952A3E"/>
    <w:rsid w:val="4FA26F09"/>
    <w:rsid w:val="4FB56C3C"/>
    <w:rsid w:val="4FC9093A"/>
    <w:rsid w:val="4FE92D8A"/>
    <w:rsid w:val="50055E16"/>
    <w:rsid w:val="502E69EF"/>
    <w:rsid w:val="5046781F"/>
    <w:rsid w:val="50616DC4"/>
    <w:rsid w:val="507B12B5"/>
    <w:rsid w:val="50907D8E"/>
    <w:rsid w:val="50974594"/>
    <w:rsid w:val="509C7DFC"/>
    <w:rsid w:val="50B11AF9"/>
    <w:rsid w:val="50B27620"/>
    <w:rsid w:val="50CA6B9A"/>
    <w:rsid w:val="50D47596"/>
    <w:rsid w:val="50F72B71"/>
    <w:rsid w:val="5118318F"/>
    <w:rsid w:val="5136705B"/>
    <w:rsid w:val="5144296E"/>
    <w:rsid w:val="515212A6"/>
    <w:rsid w:val="515B3813"/>
    <w:rsid w:val="515C3C8E"/>
    <w:rsid w:val="51730B5D"/>
    <w:rsid w:val="517B5C63"/>
    <w:rsid w:val="51962A9D"/>
    <w:rsid w:val="51A927D1"/>
    <w:rsid w:val="51B178D7"/>
    <w:rsid w:val="51B86EB8"/>
    <w:rsid w:val="51DF7677"/>
    <w:rsid w:val="51E30921"/>
    <w:rsid w:val="51E41A5B"/>
    <w:rsid w:val="51EB4B97"/>
    <w:rsid w:val="51EE0B2B"/>
    <w:rsid w:val="52271947"/>
    <w:rsid w:val="523302EC"/>
    <w:rsid w:val="52383B54"/>
    <w:rsid w:val="52416EAD"/>
    <w:rsid w:val="526B217C"/>
    <w:rsid w:val="528706B1"/>
    <w:rsid w:val="52AE57EA"/>
    <w:rsid w:val="52B94C95"/>
    <w:rsid w:val="52DE46FC"/>
    <w:rsid w:val="52ED2B91"/>
    <w:rsid w:val="52EF4B5B"/>
    <w:rsid w:val="52F97788"/>
    <w:rsid w:val="532F31A9"/>
    <w:rsid w:val="533A2C4C"/>
    <w:rsid w:val="533B37EB"/>
    <w:rsid w:val="533B56AA"/>
    <w:rsid w:val="533F163E"/>
    <w:rsid w:val="534704F3"/>
    <w:rsid w:val="535844AE"/>
    <w:rsid w:val="535F3A8F"/>
    <w:rsid w:val="53605111"/>
    <w:rsid w:val="5373753A"/>
    <w:rsid w:val="53784B50"/>
    <w:rsid w:val="53837051"/>
    <w:rsid w:val="538928BA"/>
    <w:rsid w:val="53937294"/>
    <w:rsid w:val="53B278ED"/>
    <w:rsid w:val="53BB704B"/>
    <w:rsid w:val="53D0673A"/>
    <w:rsid w:val="53D2506A"/>
    <w:rsid w:val="53D8739D"/>
    <w:rsid w:val="53DD49B3"/>
    <w:rsid w:val="53DF24DA"/>
    <w:rsid w:val="54065CB8"/>
    <w:rsid w:val="541A1764"/>
    <w:rsid w:val="545543ED"/>
    <w:rsid w:val="545C201A"/>
    <w:rsid w:val="54660E4D"/>
    <w:rsid w:val="54755A87"/>
    <w:rsid w:val="5482443D"/>
    <w:rsid w:val="548F2152"/>
    <w:rsid w:val="54992FD0"/>
    <w:rsid w:val="549E05E7"/>
    <w:rsid w:val="54A0435F"/>
    <w:rsid w:val="54A51975"/>
    <w:rsid w:val="54C212E8"/>
    <w:rsid w:val="54E13EC1"/>
    <w:rsid w:val="54F226E1"/>
    <w:rsid w:val="54F40207"/>
    <w:rsid w:val="551B421C"/>
    <w:rsid w:val="551D6A4D"/>
    <w:rsid w:val="5527238A"/>
    <w:rsid w:val="552C3294"/>
    <w:rsid w:val="55452810"/>
    <w:rsid w:val="55486565"/>
    <w:rsid w:val="555E1B24"/>
    <w:rsid w:val="5587381A"/>
    <w:rsid w:val="558C0AA6"/>
    <w:rsid w:val="5596306C"/>
    <w:rsid w:val="55B25D4B"/>
    <w:rsid w:val="55C020E8"/>
    <w:rsid w:val="55C75BC4"/>
    <w:rsid w:val="560721BC"/>
    <w:rsid w:val="561F12B3"/>
    <w:rsid w:val="56261052"/>
    <w:rsid w:val="568832FC"/>
    <w:rsid w:val="56892BD1"/>
    <w:rsid w:val="568D0913"/>
    <w:rsid w:val="56DB3EA8"/>
    <w:rsid w:val="56DB78D0"/>
    <w:rsid w:val="56F16703"/>
    <w:rsid w:val="56F7410A"/>
    <w:rsid w:val="57030BD5"/>
    <w:rsid w:val="5705494D"/>
    <w:rsid w:val="573D3418"/>
    <w:rsid w:val="577613A7"/>
    <w:rsid w:val="577E025B"/>
    <w:rsid w:val="57833AC4"/>
    <w:rsid w:val="578810DA"/>
    <w:rsid w:val="578A6C00"/>
    <w:rsid w:val="5794796C"/>
    <w:rsid w:val="57A04676"/>
    <w:rsid w:val="57CF2865"/>
    <w:rsid w:val="57D63BF4"/>
    <w:rsid w:val="57E44562"/>
    <w:rsid w:val="57E91B79"/>
    <w:rsid w:val="57F835F2"/>
    <w:rsid w:val="57FD3B20"/>
    <w:rsid w:val="581F559B"/>
    <w:rsid w:val="582232DD"/>
    <w:rsid w:val="584B1A3E"/>
    <w:rsid w:val="5855720E"/>
    <w:rsid w:val="585A4825"/>
    <w:rsid w:val="5878114F"/>
    <w:rsid w:val="587D6765"/>
    <w:rsid w:val="589073B9"/>
    <w:rsid w:val="58947CB9"/>
    <w:rsid w:val="58A261CC"/>
    <w:rsid w:val="58B77EC9"/>
    <w:rsid w:val="58BA1767"/>
    <w:rsid w:val="58E92337"/>
    <w:rsid w:val="59044790"/>
    <w:rsid w:val="59215342"/>
    <w:rsid w:val="59253A31"/>
    <w:rsid w:val="59464DA9"/>
    <w:rsid w:val="595219A0"/>
    <w:rsid w:val="59594ADC"/>
    <w:rsid w:val="59657925"/>
    <w:rsid w:val="597C1F53"/>
    <w:rsid w:val="597F72FD"/>
    <w:rsid w:val="5980650D"/>
    <w:rsid w:val="598C4A22"/>
    <w:rsid w:val="59DF76D7"/>
    <w:rsid w:val="5A056A12"/>
    <w:rsid w:val="5A166E71"/>
    <w:rsid w:val="5A167004"/>
    <w:rsid w:val="5A170196"/>
    <w:rsid w:val="5A1804F3"/>
    <w:rsid w:val="5A1B7FE4"/>
    <w:rsid w:val="5A222302"/>
    <w:rsid w:val="5A276988"/>
    <w:rsid w:val="5A2C3F9F"/>
    <w:rsid w:val="5A3317D1"/>
    <w:rsid w:val="5ABD7D36"/>
    <w:rsid w:val="5AC86880"/>
    <w:rsid w:val="5AD308BE"/>
    <w:rsid w:val="5B092532"/>
    <w:rsid w:val="5B0F5D9A"/>
    <w:rsid w:val="5B101B12"/>
    <w:rsid w:val="5B1C4013"/>
    <w:rsid w:val="5B2335F4"/>
    <w:rsid w:val="5B267A73"/>
    <w:rsid w:val="5B5A2D8E"/>
    <w:rsid w:val="5B6104B6"/>
    <w:rsid w:val="5B677143"/>
    <w:rsid w:val="5B7976B8"/>
    <w:rsid w:val="5B7E082A"/>
    <w:rsid w:val="5B9E0ECC"/>
    <w:rsid w:val="5BAC35E9"/>
    <w:rsid w:val="5BDE751B"/>
    <w:rsid w:val="5BEF76E9"/>
    <w:rsid w:val="5BF2528B"/>
    <w:rsid w:val="5C190553"/>
    <w:rsid w:val="5C2A6C04"/>
    <w:rsid w:val="5C7B745F"/>
    <w:rsid w:val="5CBB0FE6"/>
    <w:rsid w:val="5CBB785C"/>
    <w:rsid w:val="5CC130C4"/>
    <w:rsid w:val="5CC2508E"/>
    <w:rsid w:val="5CC70097"/>
    <w:rsid w:val="5CDD64CE"/>
    <w:rsid w:val="5CDD77D2"/>
    <w:rsid w:val="5CE337FB"/>
    <w:rsid w:val="5D094A6B"/>
    <w:rsid w:val="5D121B72"/>
    <w:rsid w:val="5D3970FE"/>
    <w:rsid w:val="5D5850AB"/>
    <w:rsid w:val="5D5977A1"/>
    <w:rsid w:val="5D722610"/>
    <w:rsid w:val="5D885990"/>
    <w:rsid w:val="5DA84284"/>
    <w:rsid w:val="5DB70023"/>
    <w:rsid w:val="5DC7295C"/>
    <w:rsid w:val="5DE45947"/>
    <w:rsid w:val="5DEF3C61"/>
    <w:rsid w:val="5DFE3EA4"/>
    <w:rsid w:val="5E1822E9"/>
    <w:rsid w:val="5E2814C4"/>
    <w:rsid w:val="5E2843D1"/>
    <w:rsid w:val="5E3D49CC"/>
    <w:rsid w:val="5E3E6996"/>
    <w:rsid w:val="5E4F4700"/>
    <w:rsid w:val="5E5A37D0"/>
    <w:rsid w:val="5E5B30A5"/>
    <w:rsid w:val="5E624433"/>
    <w:rsid w:val="5E6E102A"/>
    <w:rsid w:val="5E745F14"/>
    <w:rsid w:val="5E8A3FBC"/>
    <w:rsid w:val="5EBD78BB"/>
    <w:rsid w:val="5EC724E8"/>
    <w:rsid w:val="5EE13511"/>
    <w:rsid w:val="5F1514A5"/>
    <w:rsid w:val="5F155949"/>
    <w:rsid w:val="5F16521D"/>
    <w:rsid w:val="5F1662FE"/>
    <w:rsid w:val="5F180F96"/>
    <w:rsid w:val="5F1C0A86"/>
    <w:rsid w:val="5F3F29C6"/>
    <w:rsid w:val="5F4D50E3"/>
    <w:rsid w:val="5F4E2C09"/>
    <w:rsid w:val="5F6B37BB"/>
    <w:rsid w:val="5F7E34EF"/>
    <w:rsid w:val="5FB54A36"/>
    <w:rsid w:val="5FD23AB9"/>
    <w:rsid w:val="600A4D82"/>
    <w:rsid w:val="6025396A"/>
    <w:rsid w:val="602F2A3B"/>
    <w:rsid w:val="60464B44"/>
    <w:rsid w:val="604F5528"/>
    <w:rsid w:val="60651FB9"/>
    <w:rsid w:val="60C2740B"/>
    <w:rsid w:val="60E07891"/>
    <w:rsid w:val="60E43825"/>
    <w:rsid w:val="610C68D8"/>
    <w:rsid w:val="61300818"/>
    <w:rsid w:val="613876CD"/>
    <w:rsid w:val="61465DF7"/>
    <w:rsid w:val="61477910"/>
    <w:rsid w:val="61842912"/>
    <w:rsid w:val="61A95302"/>
    <w:rsid w:val="61B2122D"/>
    <w:rsid w:val="61BA79B6"/>
    <w:rsid w:val="61BC20AC"/>
    <w:rsid w:val="61E82EA1"/>
    <w:rsid w:val="622F7672"/>
    <w:rsid w:val="62315B16"/>
    <w:rsid w:val="62326812"/>
    <w:rsid w:val="624B134E"/>
    <w:rsid w:val="627500D5"/>
    <w:rsid w:val="627D7A8D"/>
    <w:rsid w:val="629E7A04"/>
    <w:rsid w:val="62A24A12"/>
    <w:rsid w:val="62AF1C11"/>
    <w:rsid w:val="62BD432E"/>
    <w:rsid w:val="62CE653B"/>
    <w:rsid w:val="630E4B89"/>
    <w:rsid w:val="63200CBC"/>
    <w:rsid w:val="63471E49"/>
    <w:rsid w:val="635F53E5"/>
    <w:rsid w:val="636E387A"/>
    <w:rsid w:val="637D1D0F"/>
    <w:rsid w:val="63AD43A2"/>
    <w:rsid w:val="63BC735B"/>
    <w:rsid w:val="63C96D02"/>
    <w:rsid w:val="63D23E09"/>
    <w:rsid w:val="63D74F7B"/>
    <w:rsid w:val="63E1404C"/>
    <w:rsid w:val="63F0428F"/>
    <w:rsid w:val="640D0EC7"/>
    <w:rsid w:val="641B57B0"/>
    <w:rsid w:val="642B1CD4"/>
    <w:rsid w:val="643847A7"/>
    <w:rsid w:val="643E4303"/>
    <w:rsid w:val="644542F4"/>
    <w:rsid w:val="64487C27"/>
    <w:rsid w:val="645E569D"/>
    <w:rsid w:val="647E5D3F"/>
    <w:rsid w:val="647E7A88"/>
    <w:rsid w:val="64970BAF"/>
    <w:rsid w:val="64BE438D"/>
    <w:rsid w:val="64CD637E"/>
    <w:rsid w:val="64DA2CBF"/>
    <w:rsid w:val="64F52F7B"/>
    <w:rsid w:val="6502071E"/>
    <w:rsid w:val="65200BA4"/>
    <w:rsid w:val="6525440C"/>
    <w:rsid w:val="65271F32"/>
    <w:rsid w:val="65600268"/>
    <w:rsid w:val="656C203B"/>
    <w:rsid w:val="65717652"/>
    <w:rsid w:val="6578278E"/>
    <w:rsid w:val="65896749"/>
    <w:rsid w:val="65C21C5B"/>
    <w:rsid w:val="65DE3F6F"/>
    <w:rsid w:val="65E12F76"/>
    <w:rsid w:val="65E16A5E"/>
    <w:rsid w:val="66042274"/>
    <w:rsid w:val="661A3845"/>
    <w:rsid w:val="662326FA"/>
    <w:rsid w:val="663568D1"/>
    <w:rsid w:val="66372649"/>
    <w:rsid w:val="668F5FE1"/>
    <w:rsid w:val="66AB22D9"/>
    <w:rsid w:val="66D41533"/>
    <w:rsid w:val="66DB65E1"/>
    <w:rsid w:val="66E14AAB"/>
    <w:rsid w:val="66FC2F4B"/>
    <w:rsid w:val="67184229"/>
    <w:rsid w:val="67213073"/>
    <w:rsid w:val="673646AF"/>
    <w:rsid w:val="675F3C06"/>
    <w:rsid w:val="67A24D6C"/>
    <w:rsid w:val="67ED1332"/>
    <w:rsid w:val="68226616"/>
    <w:rsid w:val="68232E85"/>
    <w:rsid w:val="68320F80"/>
    <w:rsid w:val="68594AF9"/>
    <w:rsid w:val="68A8338A"/>
    <w:rsid w:val="68AD274F"/>
    <w:rsid w:val="68DB550E"/>
    <w:rsid w:val="68E6495E"/>
    <w:rsid w:val="68F6059A"/>
    <w:rsid w:val="69005E96"/>
    <w:rsid w:val="690A194F"/>
    <w:rsid w:val="691C1682"/>
    <w:rsid w:val="69564B94"/>
    <w:rsid w:val="69584DB0"/>
    <w:rsid w:val="699102C2"/>
    <w:rsid w:val="6998062A"/>
    <w:rsid w:val="69AA4EE0"/>
    <w:rsid w:val="69B67D29"/>
    <w:rsid w:val="69BF098B"/>
    <w:rsid w:val="69D32689"/>
    <w:rsid w:val="69D34437"/>
    <w:rsid w:val="69D4265C"/>
    <w:rsid w:val="69F60125"/>
    <w:rsid w:val="6A1A2066"/>
    <w:rsid w:val="6A306A17"/>
    <w:rsid w:val="6A342EDC"/>
    <w:rsid w:val="6A462E5B"/>
    <w:rsid w:val="6A537326"/>
    <w:rsid w:val="6A6432E1"/>
    <w:rsid w:val="6A707ED8"/>
    <w:rsid w:val="6A786D8C"/>
    <w:rsid w:val="6A7A0D56"/>
    <w:rsid w:val="6ACD70D8"/>
    <w:rsid w:val="6AF24D91"/>
    <w:rsid w:val="6B0A3E88"/>
    <w:rsid w:val="6B0F486E"/>
    <w:rsid w:val="6B1C1E0E"/>
    <w:rsid w:val="6B3501CF"/>
    <w:rsid w:val="6B454EC0"/>
    <w:rsid w:val="6BB87D88"/>
    <w:rsid w:val="6BBD714D"/>
    <w:rsid w:val="6BD237BA"/>
    <w:rsid w:val="6BE20E22"/>
    <w:rsid w:val="6C240F7A"/>
    <w:rsid w:val="6C2B055A"/>
    <w:rsid w:val="6C300BEF"/>
    <w:rsid w:val="6C335661"/>
    <w:rsid w:val="6C384A25"/>
    <w:rsid w:val="6C5D448C"/>
    <w:rsid w:val="6C5E35D9"/>
    <w:rsid w:val="6C9F6852"/>
    <w:rsid w:val="6CAD5413"/>
    <w:rsid w:val="6CB26586"/>
    <w:rsid w:val="6CCC3665"/>
    <w:rsid w:val="6CD02EB0"/>
    <w:rsid w:val="6CDA7624"/>
    <w:rsid w:val="6CDE55CC"/>
    <w:rsid w:val="6CE81713"/>
    <w:rsid w:val="6D070BEB"/>
    <w:rsid w:val="6D0B6015"/>
    <w:rsid w:val="6D34343E"/>
    <w:rsid w:val="6D48513C"/>
    <w:rsid w:val="6D5E04BB"/>
    <w:rsid w:val="6D6F091A"/>
    <w:rsid w:val="6D7B76B4"/>
    <w:rsid w:val="6D7F4720"/>
    <w:rsid w:val="6D8A12B0"/>
    <w:rsid w:val="6D920165"/>
    <w:rsid w:val="6DB67CC5"/>
    <w:rsid w:val="6DB932C1"/>
    <w:rsid w:val="6DBB76BC"/>
    <w:rsid w:val="6DC73024"/>
    <w:rsid w:val="6DC9627D"/>
    <w:rsid w:val="6DCC7B1B"/>
    <w:rsid w:val="6DDB1B0C"/>
    <w:rsid w:val="6DE035C6"/>
    <w:rsid w:val="6DE22E9A"/>
    <w:rsid w:val="6E0468FF"/>
    <w:rsid w:val="6E0A23F1"/>
    <w:rsid w:val="6E0F7A08"/>
    <w:rsid w:val="6E1F0847"/>
    <w:rsid w:val="6E274D51"/>
    <w:rsid w:val="6E3A43BC"/>
    <w:rsid w:val="6E3F02ED"/>
    <w:rsid w:val="6E6B10E2"/>
    <w:rsid w:val="6E9C280F"/>
    <w:rsid w:val="6EA77C40"/>
    <w:rsid w:val="6ECD3B4B"/>
    <w:rsid w:val="6EF47329"/>
    <w:rsid w:val="6EFE3D04"/>
    <w:rsid w:val="6F061C4A"/>
    <w:rsid w:val="6F0B6421"/>
    <w:rsid w:val="6F345978"/>
    <w:rsid w:val="6F3C65B9"/>
    <w:rsid w:val="6F4B0F13"/>
    <w:rsid w:val="6F540152"/>
    <w:rsid w:val="6F6C31A0"/>
    <w:rsid w:val="6F854425"/>
    <w:rsid w:val="6F8F0E00"/>
    <w:rsid w:val="6F9158D4"/>
    <w:rsid w:val="6F9603E0"/>
    <w:rsid w:val="6FA523D2"/>
    <w:rsid w:val="6FDD7EDD"/>
    <w:rsid w:val="6FE729EA"/>
    <w:rsid w:val="6FF871E6"/>
    <w:rsid w:val="700D7F77"/>
    <w:rsid w:val="7023779A"/>
    <w:rsid w:val="704936A5"/>
    <w:rsid w:val="7083461D"/>
    <w:rsid w:val="70904E30"/>
    <w:rsid w:val="70980188"/>
    <w:rsid w:val="709A7A5C"/>
    <w:rsid w:val="70A00DEB"/>
    <w:rsid w:val="70B56644"/>
    <w:rsid w:val="70C21BA6"/>
    <w:rsid w:val="70D50A94"/>
    <w:rsid w:val="70EE1B56"/>
    <w:rsid w:val="70EE7DA8"/>
    <w:rsid w:val="7122715A"/>
    <w:rsid w:val="712E63F7"/>
    <w:rsid w:val="713175D4"/>
    <w:rsid w:val="71500A63"/>
    <w:rsid w:val="715220E5"/>
    <w:rsid w:val="71531967"/>
    <w:rsid w:val="716C6A50"/>
    <w:rsid w:val="716F0EE9"/>
    <w:rsid w:val="717C53B4"/>
    <w:rsid w:val="71956476"/>
    <w:rsid w:val="71A5241A"/>
    <w:rsid w:val="71AB7A47"/>
    <w:rsid w:val="71DD22F7"/>
    <w:rsid w:val="7214383E"/>
    <w:rsid w:val="721F6C37"/>
    <w:rsid w:val="723D2D95"/>
    <w:rsid w:val="725B76BF"/>
    <w:rsid w:val="726544BB"/>
    <w:rsid w:val="72B8552A"/>
    <w:rsid w:val="72D336FA"/>
    <w:rsid w:val="72D66D46"/>
    <w:rsid w:val="72E96A79"/>
    <w:rsid w:val="73005B71"/>
    <w:rsid w:val="731802CD"/>
    <w:rsid w:val="733E64EA"/>
    <w:rsid w:val="733F0D8F"/>
    <w:rsid w:val="73412411"/>
    <w:rsid w:val="7343340A"/>
    <w:rsid w:val="73802EF2"/>
    <w:rsid w:val="738A14DE"/>
    <w:rsid w:val="73927111"/>
    <w:rsid w:val="73A07A74"/>
    <w:rsid w:val="73B40E35"/>
    <w:rsid w:val="73DD4830"/>
    <w:rsid w:val="73DD6014"/>
    <w:rsid w:val="73E07E7C"/>
    <w:rsid w:val="741C69DA"/>
    <w:rsid w:val="742D7E69"/>
    <w:rsid w:val="742F670E"/>
    <w:rsid w:val="74396DBD"/>
    <w:rsid w:val="7447614D"/>
    <w:rsid w:val="7456013E"/>
    <w:rsid w:val="7460720F"/>
    <w:rsid w:val="74A0760B"/>
    <w:rsid w:val="74AE3AD6"/>
    <w:rsid w:val="74C4779E"/>
    <w:rsid w:val="74CB28DA"/>
    <w:rsid w:val="74DD1DA7"/>
    <w:rsid w:val="74E4574A"/>
    <w:rsid w:val="75156511"/>
    <w:rsid w:val="751D0C5C"/>
    <w:rsid w:val="7541494A"/>
    <w:rsid w:val="7555688B"/>
    <w:rsid w:val="756248C1"/>
    <w:rsid w:val="758D4034"/>
    <w:rsid w:val="75907680"/>
    <w:rsid w:val="75D7705D"/>
    <w:rsid w:val="75FE6CDF"/>
    <w:rsid w:val="7608190C"/>
    <w:rsid w:val="761B33ED"/>
    <w:rsid w:val="76564426"/>
    <w:rsid w:val="768F16E6"/>
    <w:rsid w:val="76937428"/>
    <w:rsid w:val="76C43A85"/>
    <w:rsid w:val="76D637B8"/>
    <w:rsid w:val="76D81FC7"/>
    <w:rsid w:val="76DA75EE"/>
    <w:rsid w:val="76EC4D8A"/>
    <w:rsid w:val="772067E2"/>
    <w:rsid w:val="7724016D"/>
    <w:rsid w:val="77471FC0"/>
    <w:rsid w:val="77672662"/>
    <w:rsid w:val="777A4144"/>
    <w:rsid w:val="777C610E"/>
    <w:rsid w:val="779D6E8E"/>
    <w:rsid w:val="77CF26E1"/>
    <w:rsid w:val="77F51A1C"/>
    <w:rsid w:val="77FC2EB0"/>
    <w:rsid w:val="78006D3F"/>
    <w:rsid w:val="783B44D8"/>
    <w:rsid w:val="785276AB"/>
    <w:rsid w:val="7860158C"/>
    <w:rsid w:val="78656BA2"/>
    <w:rsid w:val="78770683"/>
    <w:rsid w:val="78801C2E"/>
    <w:rsid w:val="7880578A"/>
    <w:rsid w:val="78810F20"/>
    <w:rsid w:val="788D4480"/>
    <w:rsid w:val="78A32008"/>
    <w:rsid w:val="78B73293"/>
    <w:rsid w:val="78F1280D"/>
    <w:rsid w:val="78F16688"/>
    <w:rsid w:val="78F774A3"/>
    <w:rsid w:val="78F80A1B"/>
    <w:rsid w:val="78FD6DDA"/>
    <w:rsid w:val="79167E9C"/>
    <w:rsid w:val="791D122B"/>
    <w:rsid w:val="79336CA0"/>
    <w:rsid w:val="79346574"/>
    <w:rsid w:val="79352A18"/>
    <w:rsid w:val="793612E5"/>
    <w:rsid w:val="793D18CD"/>
    <w:rsid w:val="799B65F3"/>
    <w:rsid w:val="79A96323"/>
    <w:rsid w:val="79D02741"/>
    <w:rsid w:val="79F9562E"/>
    <w:rsid w:val="7A1B7E60"/>
    <w:rsid w:val="7A205476"/>
    <w:rsid w:val="7A2F7467"/>
    <w:rsid w:val="7A4078C7"/>
    <w:rsid w:val="7A4A1B88"/>
    <w:rsid w:val="7A4B1DC7"/>
    <w:rsid w:val="7A5213A8"/>
    <w:rsid w:val="7A545120"/>
    <w:rsid w:val="7A5A200A"/>
    <w:rsid w:val="7A635363"/>
    <w:rsid w:val="7A6A66F1"/>
    <w:rsid w:val="7A8F7F06"/>
    <w:rsid w:val="7AE2272C"/>
    <w:rsid w:val="7AEA338E"/>
    <w:rsid w:val="7AEF309B"/>
    <w:rsid w:val="7B07382D"/>
    <w:rsid w:val="7B152B01"/>
    <w:rsid w:val="7B166879"/>
    <w:rsid w:val="7B362A78"/>
    <w:rsid w:val="7B4A6DD9"/>
    <w:rsid w:val="7B5573A2"/>
    <w:rsid w:val="7B58479C"/>
    <w:rsid w:val="7B5F5404"/>
    <w:rsid w:val="7B740483"/>
    <w:rsid w:val="7B7470FC"/>
    <w:rsid w:val="7B8E01BE"/>
    <w:rsid w:val="7B914152"/>
    <w:rsid w:val="7BAF4B72"/>
    <w:rsid w:val="7BB3231A"/>
    <w:rsid w:val="7BD77DB7"/>
    <w:rsid w:val="7BDD1145"/>
    <w:rsid w:val="7BE06FAA"/>
    <w:rsid w:val="7BEF3C87"/>
    <w:rsid w:val="7BFF10BB"/>
    <w:rsid w:val="7C036DFE"/>
    <w:rsid w:val="7C490589"/>
    <w:rsid w:val="7C583E77"/>
    <w:rsid w:val="7C6F4493"/>
    <w:rsid w:val="7C9941DE"/>
    <w:rsid w:val="7CA37C99"/>
    <w:rsid w:val="7CBB3234"/>
    <w:rsid w:val="7CED53B8"/>
    <w:rsid w:val="7CEF7382"/>
    <w:rsid w:val="7CF93D5D"/>
    <w:rsid w:val="7D0D3FCB"/>
    <w:rsid w:val="7D1D5C9D"/>
    <w:rsid w:val="7D364FB1"/>
    <w:rsid w:val="7D3A560F"/>
    <w:rsid w:val="7D4C20DE"/>
    <w:rsid w:val="7D6A07B6"/>
    <w:rsid w:val="7D7516BE"/>
    <w:rsid w:val="7D7956CE"/>
    <w:rsid w:val="7D8F646F"/>
    <w:rsid w:val="7D9677FD"/>
    <w:rsid w:val="7DA71A0B"/>
    <w:rsid w:val="7DAC0DCF"/>
    <w:rsid w:val="7DAC7021"/>
    <w:rsid w:val="7DAE2837"/>
    <w:rsid w:val="7DBC167C"/>
    <w:rsid w:val="7DDF2F52"/>
    <w:rsid w:val="7DE642E1"/>
    <w:rsid w:val="7DE70059"/>
    <w:rsid w:val="7E0155BF"/>
    <w:rsid w:val="7E10135E"/>
    <w:rsid w:val="7E1F194A"/>
    <w:rsid w:val="7E21356B"/>
    <w:rsid w:val="7E282B4B"/>
    <w:rsid w:val="7E2E7A36"/>
    <w:rsid w:val="7E32002E"/>
    <w:rsid w:val="7E334FFB"/>
    <w:rsid w:val="7E9E4BBC"/>
    <w:rsid w:val="7EBE0DBA"/>
    <w:rsid w:val="7ED500EA"/>
    <w:rsid w:val="7EF0118F"/>
    <w:rsid w:val="7EFC7B34"/>
    <w:rsid w:val="7F2D0A2D"/>
    <w:rsid w:val="7F2F3A66"/>
    <w:rsid w:val="7F313C82"/>
    <w:rsid w:val="7F436EEA"/>
    <w:rsid w:val="7F590AE3"/>
    <w:rsid w:val="7F682783"/>
    <w:rsid w:val="7F6F47AA"/>
    <w:rsid w:val="7F7122D0"/>
    <w:rsid w:val="7F765B38"/>
    <w:rsid w:val="7F8A3392"/>
    <w:rsid w:val="7FBA18EE"/>
    <w:rsid w:val="7FBB354B"/>
    <w:rsid w:val="7FC00148"/>
    <w:rsid w:val="7FCF3B08"/>
    <w:rsid w:val="7FDB3BED"/>
    <w:rsid w:val="7FE900B8"/>
    <w:rsid w:val="7FEB2083"/>
    <w:rsid w:val="7FFC23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8"/>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0"/>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31"/>
    <w:autoRedefine/>
    <w:qFormat/>
    <w:uiPriority w:val="0"/>
    <w:pPr>
      <w:keepNext/>
      <w:jc w:val="center"/>
      <w:outlineLvl w:val="3"/>
    </w:pPr>
    <w:rPr>
      <w:rFonts w:eastAsia="新宋体"/>
      <w:sz w:val="30"/>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rFonts w:ascii="仿宋_GB2312" w:eastAsia="仿宋_GB2312"/>
      <w:kern w:val="0"/>
      <w:sz w:val="24"/>
      <w:szCs w:val="20"/>
    </w:rPr>
  </w:style>
  <w:style w:type="paragraph" w:customStyle="1" w:styleId="3">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8">
    <w:name w:val="Normal Indent"/>
    <w:basedOn w:val="1"/>
    <w:link w:val="38"/>
    <w:autoRedefine/>
    <w:qFormat/>
    <w:uiPriority w:val="0"/>
    <w:pPr>
      <w:ind w:firstLine="420"/>
    </w:pPr>
    <w:rPr>
      <w:szCs w:val="20"/>
    </w:rPr>
  </w:style>
  <w:style w:type="paragraph" w:styleId="9">
    <w:name w:val="Document Map"/>
    <w:basedOn w:val="1"/>
    <w:link w:val="39"/>
    <w:autoRedefine/>
    <w:semiHidden/>
    <w:qFormat/>
    <w:uiPriority w:val="0"/>
    <w:pPr>
      <w:shd w:val="clear" w:color="auto" w:fill="000080"/>
    </w:pPr>
  </w:style>
  <w:style w:type="paragraph" w:styleId="10">
    <w:name w:val="annotation text"/>
    <w:basedOn w:val="1"/>
    <w:link w:val="32"/>
    <w:autoRedefine/>
    <w:semiHidden/>
    <w:unhideWhenUsed/>
    <w:qFormat/>
    <w:uiPriority w:val="99"/>
    <w:pPr>
      <w:jc w:val="left"/>
    </w:pPr>
  </w:style>
  <w:style w:type="paragraph" w:styleId="11">
    <w:name w:val="Body Text Indent"/>
    <w:basedOn w:val="1"/>
    <w:next w:val="12"/>
    <w:link w:val="36"/>
    <w:autoRedefine/>
    <w:qFormat/>
    <w:uiPriority w:val="0"/>
    <w:pPr>
      <w:spacing w:after="120"/>
      <w:ind w:left="420" w:leftChars="200"/>
    </w:pPr>
  </w:style>
  <w:style w:type="paragraph" w:styleId="12">
    <w:name w:val="envelope return"/>
    <w:basedOn w:val="1"/>
    <w:autoRedefine/>
    <w:unhideWhenUsed/>
    <w:qFormat/>
    <w:uiPriority w:val="99"/>
    <w:pPr>
      <w:snapToGrid w:val="0"/>
    </w:pPr>
    <w:rPr>
      <w:rFonts w:ascii="Arial" w:hAnsi="Arial"/>
    </w:rPr>
  </w:style>
  <w:style w:type="paragraph" w:styleId="13">
    <w:name w:val="Plain Text"/>
    <w:basedOn w:val="1"/>
    <w:autoRedefine/>
    <w:qFormat/>
    <w:uiPriority w:val="0"/>
    <w:rPr>
      <w:rFonts w:ascii="宋体" w:hAnsi="Courier New"/>
      <w:kern w:val="0"/>
      <w:sz w:val="20"/>
      <w:szCs w:val="21"/>
    </w:rPr>
  </w:style>
  <w:style w:type="paragraph" w:styleId="14">
    <w:name w:val="Date"/>
    <w:basedOn w:val="1"/>
    <w:next w:val="1"/>
    <w:link w:val="40"/>
    <w:autoRedefine/>
    <w:qFormat/>
    <w:uiPriority w:val="0"/>
    <w:pPr>
      <w:ind w:left="100" w:leftChars="2500"/>
    </w:pPr>
  </w:style>
  <w:style w:type="paragraph" w:styleId="15">
    <w:name w:val="Balloon Text"/>
    <w:basedOn w:val="1"/>
    <w:link w:val="41"/>
    <w:autoRedefine/>
    <w:semiHidden/>
    <w:qFormat/>
    <w:uiPriority w:val="0"/>
    <w:rPr>
      <w:sz w:val="18"/>
      <w:szCs w:val="18"/>
    </w:rPr>
  </w:style>
  <w:style w:type="paragraph" w:styleId="16">
    <w:name w:val="footer"/>
    <w:basedOn w:val="1"/>
    <w:link w:val="42"/>
    <w:autoRedefine/>
    <w:qFormat/>
    <w:uiPriority w:val="99"/>
    <w:pPr>
      <w:tabs>
        <w:tab w:val="center" w:pos="4153"/>
        <w:tab w:val="right" w:pos="8306"/>
      </w:tabs>
      <w:snapToGrid w:val="0"/>
      <w:jc w:val="left"/>
    </w:pPr>
    <w:rPr>
      <w:sz w:val="18"/>
      <w:szCs w:val="18"/>
    </w:rPr>
  </w:style>
  <w:style w:type="paragraph" w:styleId="17">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link w:val="44"/>
    <w:autoRedefine/>
    <w:qFormat/>
    <w:uiPriority w:val="0"/>
    <w:pPr>
      <w:spacing w:line="520" w:lineRule="exact"/>
      <w:ind w:firstLine="539" w:firstLineChars="184"/>
    </w:pPr>
    <w:rPr>
      <w:rFonts w:ascii="宋体"/>
      <w:b/>
      <w:spacing w:val="6"/>
      <w:sz w:val="28"/>
    </w:rPr>
  </w:style>
  <w:style w:type="paragraph" w:styleId="1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10"/>
    <w:next w:val="10"/>
    <w:link w:val="61"/>
    <w:autoRedefine/>
    <w:semiHidden/>
    <w:unhideWhenUsed/>
    <w:qFormat/>
    <w:uiPriority w:val="99"/>
    <w:rPr>
      <w:b/>
      <w:bCs/>
    </w:rPr>
  </w:style>
  <w:style w:type="paragraph" w:styleId="21">
    <w:name w:val="Body Text First Indent 2"/>
    <w:basedOn w:val="11"/>
    <w:link w:val="37"/>
    <w:autoRedefine/>
    <w:unhideWhenUsed/>
    <w:qFormat/>
    <w:uiPriority w:val="99"/>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22"/>
    <w:rPr>
      <w:b/>
      <w:bCs/>
    </w:rPr>
  </w:style>
  <w:style w:type="character" w:styleId="26">
    <w:name w:val="page number"/>
    <w:autoRedefine/>
    <w:qFormat/>
    <w:uiPriority w:val="0"/>
  </w:style>
  <w:style w:type="character" w:styleId="27">
    <w:name w:val="annotation reference"/>
    <w:basedOn w:val="24"/>
    <w:autoRedefine/>
    <w:semiHidden/>
    <w:unhideWhenUsed/>
    <w:qFormat/>
    <w:uiPriority w:val="99"/>
    <w:rPr>
      <w:sz w:val="21"/>
      <w:szCs w:val="21"/>
    </w:rPr>
  </w:style>
  <w:style w:type="character" w:customStyle="1" w:styleId="28">
    <w:name w:val="标题 2 Char"/>
    <w:link w:val="5"/>
    <w:autoRedefine/>
    <w:qFormat/>
    <w:uiPriority w:val="0"/>
    <w:rPr>
      <w:rFonts w:ascii="Arial" w:hAnsi="Arial" w:eastAsia="黑体"/>
      <w:b/>
      <w:bCs/>
      <w:kern w:val="2"/>
      <w:sz w:val="32"/>
      <w:szCs w:val="32"/>
    </w:rPr>
  </w:style>
  <w:style w:type="character" w:customStyle="1" w:styleId="29">
    <w:name w:val="标题 1 Char"/>
    <w:link w:val="4"/>
    <w:autoRedefine/>
    <w:qFormat/>
    <w:uiPriority w:val="0"/>
    <w:rPr>
      <w:b/>
      <w:bCs/>
      <w:kern w:val="44"/>
      <w:sz w:val="44"/>
      <w:szCs w:val="44"/>
    </w:rPr>
  </w:style>
  <w:style w:type="character" w:customStyle="1" w:styleId="30">
    <w:name w:val="标题 3 Char"/>
    <w:link w:val="6"/>
    <w:autoRedefine/>
    <w:qFormat/>
    <w:uiPriority w:val="0"/>
    <w:rPr>
      <w:b/>
      <w:bCs/>
      <w:kern w:val="2"/>
      <w:sz w:val="32"/>
      <w:szCs w:val="32"/>
    </w:rPr>
  </w:style>
  <w:style w:type="character" w:customStyle="1" w:styleId="31">
    <w:name w:val="标题 4 Char"/>
    <w:link w:val="7"/>
    <w:autoRedefine/>
    <w:qFormat/>
    <w:uiPriority w:val="0"/>
    <w:rPr>
      <w:rFonts w:eastAsia="新宋体"/>
      <w:kern w:val="2"/>
      <w:sz w:val="30"/>
      <w:szCs w:val="21"/>
    </w:rPr>
  </w:style>
  <w:style w:type="character" w:customStyle="1" w:styleId="32">
    <w:name w:val="批注文字 Char"/>
    <w:basedOn w:val="24"/>
    <w:link w:val="10"/>
    <w:autoRedefine/>
    <w:semiHidden/>
    <w:qFormat/>
    <w:uiPriority w:val="99"/>
    <w:rPr>
      <w:kern w:val="2"/>
      <w:sz w:val="21"/>
      <w:szCs w:val="24"/>
    </w:rPr>
  </w:style>
  <w:style w:type="paragraph" w:customStyle="1" w:styleId="33">
    <w:name w:val="段"/>
    <w:next w:val="1"/>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34">
    <w:name w:val="style4"/>
    <w:basedOn w:val="1"/>
    <w:next w:val="35"/>
    <w:autoRedefine/>
    <w:qFormat/>
    <w:uiPriority w:val="99"/>
    <w:pPr>
      <w:widowControl/>
      <w:spacing w:before="280" w:after="280"/>
    </w:pPr>
    <w:rPr>
      <w:rFonts w:ascii="宋体"/>
      <w:sz w:val="18"/>
    </w:rPr>
  </w:style>
  <w:style w:type="paragraph" w:customStyle="1" w:styleId="35">
    <w:name w:val="2"/>
    <w:next w:val="1"/>
    <w:autoRedefine/>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36">
    <w:name w:val="正文文本缩进 Char"/>
    <w:link w:val="11"/>
    <w:autoRedefine/>
    <w:qFormat/>
    <w:uiPriority w:val="0"/>
    <w:rPr>
      <w:kern w:val="2"/>
      <w:sz w:val="21"/>
      <w:szCs w:val="24"/>
    </w:rPr>
  </w:style>
  <w:style w:type="character" w:customStyle="1" w:styleId="37">
    <w:name w:val="正文首行缩进 2 Char"/>
    <w:link w:val="21"/>
    <w:autoRedefine/>
    <w:semiHidden/>
    <w:qFormat/>
    <w:uiPriority w:val="99"/>
  </w:style>
  <w:style w:type="character" w:customStyle="1" w:styleId="38">
    <w:name w:val="正文缩进 Char"/>
    <w:link w:val="8"/>
    <w:autoRedefine/>
    <w:qFormat/>
    <w:uiPriority w:val="0"/>
    <w:rPr>
      <w:kern w:val="2"/>
      <w:sz w:val="21"/>
    </w:rPr>
  </w:style>
  <w:style w:type="character" w:customStyle="1" w:styleId="39">
    <w:name w:val="文档结构图 Char"/>
    <w:link w:val="9"/>
    <w:autoRedefine/>
    <w:semiHidden/>
    <w:qFormat/>
    <w:uiPriority w:val="0"/>
    <w:rPr>
      <w:kern w:val="2"/>
      <w:sz w:val="21"/>
      <w:szCs w:val="24"/>
      <w:shd w:val="clear" w:color="auto" w:fill="000080"/>
    </w:rPr>
  </w:style>
  <w:style w:type="character" w:customStyle="1" w:styleId="40">
    <w:name w:val="日期 Char"/>
    <w:link w:val="14"/>
    <w:autoRedefine/>
    <w:qFormat/>
    <w:uiPriority w:val="0"/>
    <w:rPr>
      <w:kern w:val="2"/>
      <w:sz w:val="21"/>
      <w:szCs w:val="24"/>
    </w:rPr>
  </w:style>
  <w:style w:type="character" w:customStyle="1" w:styleId="41">
    <w:name w:val="批注框文本 Char"/>
    <w:link w:val="15"/>
    <w:autoRedefine/>
    <w:semiHidden/>
    <w:qFormat/>
    <w:uiPriority w:val="0"/>
    <w:rPr>
      <w:kern w:val="2"/>
      <w:sz w:val="18"/>
      <w:szCs w:val="18"/>
    </w:rPr>
  </w:style>
  <w:style w:type="character" w:customStyle="1" w:styleId="42">
    <w:name w:val="页脚 Char"/>
    <w:link w:val="16"/>
    <w:autoRedefine/>
    <w:qFormat/>
    <w:uiPriority w:val="99"/>
    <w:rPr>
      <w:kern w:val="2"/>
      <w:sz w:val="18"/>
      <w:szCs w:val="18"/>
    </w:rPr>
  </w:style>
  <w:style w:type="character" w:customStyle="1" w:styleId="43">
    <w:name w:val="页眉 Char"/>
    <w:link w:val="17"/>
    <w:autoRedefine/>
    <w:qFormat/>
    <w:uiPriority w:val="0"/>
    <w:rPr>
      <w:kern w:val="2"/>
      <w:sz w:val="18"/>
      <w:szCs w:val="18"/>
    </w:rPr>
  </w:style>
  <w:style w:type="character" w:customStyle="1" w:styleId="44">
    <w:name w:val="正文文本缩进 3 Char"/>
    <w:link w:val="18"/>
    <w:autoRedefine/>
    <w:qFormat/>
    <w:uiPriority w:val="0"/>
    <w:rPr>
      <w:rFonts w:ascii="宋体"/>
      <w:b/>
      <w:spacing w:val="6"/>
      <w:kern w:val="2"/>
      <w:sz w:val="28"/>
      <w:szCs w:val="24"/>
    </w:rPr>
  </w:style>
  <w:style w:type="character" w:customStyle="1" w:styleId="45">
    <w:name w:val="正文缩进2格 Char"/>
    <w:link w:val="46"/>
    <w:autoRedefine/>
    <w:qFormat/>
    <w:locked/>
    <w:uiPriority w:val="0"/>
    <w:rPr>
      <w:rFonts w:ascii="仿宋_GB2312" w:hAnsi="宋体" w:eastAsia="仿宋_GB2312"/>
      <w:kern w:val="2"/>
      <w:sz w:val="31"/>
      <w:szCs w:val="28"/>
    </w:rPr>
  </w:style>
  <w:style w:type="paragraph" w:customStyle="1" w:styleId="46">
    <w:name w:val="正文缩进2格"/>
    <w:basedOn w:val="1"/>
    <w:link w:val="45"/>
    <w:autoRedefine/>
    <w:qFormat/>
    <w:uiPriority w:val="0"/>
    <w:pPr>
      <w:spacing w:line="600" w:lineRule="exact"/>
      <w:ind w:firstLine="639" w:firstLineChars="206"/>
    </w:pPr>
    <w:rPr>
      <w:rFonts w:ascii="仿宋_GB2312" w:hAnsi="宋体" w:eastAsia="仿宋_GB2312"/>
      <w:sz w:val="31"/>
      <w:szCs w:val="28"/>
    </w:rPr>
  </w:style>
  <w:style w:type="character" w:customStyle="1" w:styleId="47">
    <w:name w:val="标题 3.1 Char"/>
    <w:link w:val="48"/>
    <w:autoRedefine/>
    <w:qFormat/>
    <w:locked/>
    <w:uiPriority w:val="0"/>
    <w:rPr>
      <w:rFonts w:ascii="宋体" w:hAnsi="宋体"/>
      <w:b/>
      <w:bCs/>
      <w:color w:val="000000"/>
      <w:kern w:val="2"/>
      <w:sz w:val="32"/>
      <w:szCs w:val="32"/>
    </w:rPr>
  </w:style>
  <w:style w:type="paragraph" w:customStyle="1" w:styleId="48">
    <w:name w:val="标题 3.1"/>
    <w:basedOn w:val="6"/>
    <w:link w:val="47"/>
    <w:autoRedefine/>
    <w:qFormat/>
    <w:uiPriority w:val="0"/>
    <w:pPr>
      <w:tabs>
        <w:tab w:val="left" w:pos="1440"/>
        <w:tab w:val="left" w:pos="1620"/>
      </w:tabs>
      <w:spacing w:line="600" w:lineRule="exact"/>
    </w:pPr>
    <w:rPr>
      <w:rFonts w:ascii="宋体" w:hAnsi="宋体"/>
      <w:color w:val="000000"/>
    </w:rPr>
  </w:style>
  <w:style w:type="paragraph" w:customStyle="1" w:styleId="49">
    <w:name w:val="Char"/>
    <w:basedOn w:val="1"/>
    <w:autoRedefine/>
    <w:qFormat/>
    <w:uiPriority w:val="0"/>
    <w:rPr>
      <w:rFonts w:ascii="Tahoma" w:hAnsi="Tahoma"/>
      <w:sz w:val="24"/>
      <w:szCs w:val="20"/>
    </w:rPr>
  </w:style>
  <w:style w:type="paragraph" w:customStyle="1" w:styleId="50">
    <w:name w:val="正文缩进4格"/>
    <w:basedOn w:val="46"/>
    <w:autoRedefine/>
    <w:qFormat/>
    <w:uiPriority w:val="0"/>
    <w:pPr>
      <w:ind w:left="2" w:firstLine="538" w:firstLineChars="192"/>
    </w:pPr>
    <w:rPr>
      <w:color w:val="000000"/>
      <w:sz w:val="28"/>
    </w:rPr>
  </w:style>
  <w:style w:type="paragraph" w:customStyle="1" w:styleId="51">
    <w:name w:val="Char Char Char Char"/>
    <w:basedOn w:val="1"/>
    <w:autoRedefine/>
    <w:qFormat/>
    <w:uiPriority w:val="0"/>
    <w:rPr>
      <w:rFonts w:ascii="Tahoma" w:hAnsi="Tahoma"/>
      <w:sz w:val="24"/>
      <w:szCs w:val="20"/>
    </w:rPr>
  </w:style>
  <w:style w:type="paragraph" w:customStyle="1" w:styleId="52">
    <w:name w:val="Char1"/>
    <w:basedOn w:val="1"/>
    <w:autoRedefine/>
    <w:qFormat/>
    <w:uiPriority w:val="0"/>
    <w:pPr>
      <w:tabs>
        <w:tab w:val="left" w:pos="840"/>
      </w:tabs>
      <w:ind w:left="840" w:hanging="420"/>
    </w:pPr>
    <w:rPr>
      <w:sz w:val="24"/>
    </w:rPr>
  </w:style>
  <w:style w:type="paragraph" w:customStyle="1" w:styleId="53">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
    <w:name w:val="Char Char 字元 字元 字元 Char Char Char Char"/>
    <w:basedOn w:val="1"/>
    <w:autoRedefine/>
    <w:qFormat/>
    <w:uiPriority w:val="0"/>
    <w:pPr>
      <w:adjustRightInd w:val="0"/>
      <w:spacing w:line="360" w:lineRule="auto"/>
    </w:pPr>
    <w:rPr>
      <w:kern w:val="0"/>
      <w:sz w:val="24"/>
      <w:szCs w:val="20"/>
    </w:rPr>
  </w:style>
  <w:style w:type="paragraph" w:customStyle="1" w:styleId="56">
    <w:name w:val="para"/>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57">
    <w:name w:val="Char2"/>
    <w:basedOn w:val="1"/>
    <w:autoRedefine/>
    <w:qFormat/>
    <w:uiPriority w:val="0"/>
    <w:rPr>
      <w:rFonts w:ascii="Tahoma" w:hAnsi="Tahoma"/>
      <w:sz w:val="24"/>
      <w:szCs w:val="20"/>
    </w:rPr>
  </w:style>
  <w:style w:type="paragraph" w:customStyle="1" w:styleId="58">
    <w:name w:val="msonormalcxsplas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9">
    <w:name w:val="普通正文 Char"/>
    <w:link w:val="60"/>
    <w:autoRedefine/>
    <w:qFormat/>
    <w:uiPriority w:val="0"/>
    <w:rPr>
      <w:rFonts w:ascii="Arial" w:hAnsi="Arial"/>
      <w:sz w:val="24"/>
      <w:szCs w:val="24"/>
    </w:rPr>
  </w:style>
  <w:style w:type="paragraph" w:customStyle="1" w:styleId="60">
    <w:name w:val="普通正文"/>
    <w:basedOn w:val="1"/>
    <w:link w:val="59"/>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61">
    <w:name w:val="批注主题 Char"/>
    <w:basedOn w:val="32"/>
    <w:link w:val="20"/>
    <w:autoRedefine/>
    <w:qFormat/>
    <w:uiPriority w:val="0"/>
  </w:style>
  <w:style w:type="paragraph" w:customStyle="1" w:styleId="6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Other|1"/>
    <w:basedOn w:val="1"/>
    <w:autoRedefine/>
    <w:qFormat/>
    <w:uiPriority w:val="0"/>
    <w:pPr>
      <w:spacing w:line="480" w:lineRule="auto"/>
      <w:ind w:firstLine="400"/>
    </w:pPr>
    <w:rPr>
      <w:rFonts w:ascii="宋体" w:hAnsi="宋体" w:cs="宋体"/>
      <w:sz w:val="20"/>
      <w:szCs w:val="20"/>
      <w:lang w:val="zh-TW" w:eastAsia="zh-TW" w:bidi="zh-TW"/>
    </w:rPr>
  </w:style>
  <w:style w:type="paragraph" w:styleId="65">
    <w:name w:val="List Paragraph"/>
    <w:basedOn w:val="1"/>
    <w:qFormat/>
    <w:uiPriority w:val="34"/>
    <w:pPr>
      <w:ind w:firstLine="420" w:firstLineChars="200"/>
    </w:pPr>
  </w:style>
  <w:style w:type="table" w:customStyle="1" w:styleId="66">
    <w:name w:val="Table Normal"/>
    <w:semiHidden/>
    <w:unhideWhenUsed/>
    <w:qFormat/>
    <w:uiPriority w:val="0"/>
    <w:tblPr>
      <w:tblCellMar>
        <w:top w:w="0" w:type="dxa"/>
        <w:left w:w="0" w:type="dxa"/>
        <w:bottom w:w="0" w:type="dxa"/>
        <w:right w:w="0" w:type="dxa"/>
      </w:tblCellMar>
    </w:tblPr>
  </w:style>
  <w:style w:type="paragraph" w:customStyle="1" w:styleId="67">
    <w:name w:val="Table Text"/>
    <w:semiHidden/>
    <w:qFormat/>
    <w:uiPriority w:val="0"/>
    <w:pPr>
      <w:kinsoku w:val="0"/>
      <w:autoSpaceDE w:val="0"/>
      <w:autoSpaceDN w:val="0"/>
      <w:adjustRightInd w:val="0"/>
      <w:snapToGrid w:val="0"/>
      <w:spacing w:line="240" w:lineRule="auto"/>
      <w:jc w:val="left"/>
      <w:textAlignment w:val="baseline"/>
    </w:pPr>
    <w:rPr>
      <w:rFonts w:ascii="微软雅黑 Light" w:hAnsi="微软雅黑 Light" w:eastAsia="微软雅黑 Light" w:cs="微软雅黑 Light"/>
      <w:snapToGrid w:val="0"/>
      <w:color w:val="000000"/>
      <w:kern w:val="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3A01D-E64E-4BE6-89F2-95119BD27CB4}">
  <ds:schemaRefs/>
</ds:datastoreItem>
</file>

<file path=docProps/app.xml><?xml version="1.0" encoding="utf-8"?>
<Properties xmlns="http://schemas.openxmlformats.org/officeDocument/2006/extended-properties" xmlns:vt="http://schemas.openxmlformats.org/officeDocument/2006/docPropsVTypes">
  <Template>Normal</Template>
  <Company>LG</Company>
  <Pages>46</Pages>
  <Words>25850</Words>
  <Characters>27071</Characters>
  <Lines>221</Lines>
  <Paragraphs>62</Paragraphs>
  <TotalTime>8</TotalTime>
  <ScaleCrop>false</ScaleCrop>
  <LinksUpToDate>false</LinksUpToDate>
  <CharactersWithSpaces>27870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2022-05-17T07:15:00Z</dcterms:created>
  <dc:creator>User</dc:creator>
  <cp:lastModifiedBy>lch</cp:lastModifiedBy>
  <cp:lastPrinted>2024-06-17T09:08:00Z</cp:lastPrinted>
  <dcterms:modified xsi:type="dcterms:W3CDTF">2024-06-25T09:00:23Z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D5DF14D3BF7244D3A435E1151F6C44E1_13</vt:lpwstr>
  </property>
</Properties>
</file>