
<file path=[Content_Types].xml><?xml version="1.0" encoding="utf-8"?>
<Types xmlns="http://schemas.openxmlformats.org/package/2006/content-types">
  <Default Extension="bin" ContentType="application/vnd.openxmlformats-officedocument.oleObject"/>
  <Default Extension="wmf" ContentType="image/x-wmf"/>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AA38B">
      <w:pPr>
        <w:ind w:firstLine="2429" w:firstLineChars="550"/>
        <w:rPr>
          <w:rFonts w:eastAsia="楷体_GB2312"/>
          <w:b/>
          <w:color w:val="auto"/>
          <w:sz w:val="44"/>
          <w:highlight w:val="none"/>
        </w:rPr>
      </w:pPr>
    </w:p>
    <w:p w14:paraId="121A0948">
      <w:pPr>
        <w:autoSpaceDE w:val="0"/>
        <w:autoSpaceDN w:val="0"/>
        <w:adjustRightInd w:val="0"/>
        <w:jc w:val="center"/>
        <w:rPr>
          <w:color w:val="auto"/>
          <w:sz w:val="20"/>
          <w:szCs w:val="20"/>
          <w:highlight w:val="none"/>
        </w:rPr>
      </w:pPr>
      <w:r>
        <w:rPr>
          <w:rFonts w:hint="eastAsia" w:ascii="宋体" w:hAnsi="宋体"/>
          <w:b/>
          <w:color w:val="auto"/>
          <w:spacing w:val="20"/>
          <w:sz w:val="40"/>
          <w:szCs w:val="22"/>
          <w:highlight w:val="none"/>
          <w:u w:val="single"/>
          <w:lang w:val="en-US" w:eastAsia="zh-CN"/>
        </w:rPr>
        <w:t>南通日报社</w:t>
      </w:r>
      <w:r>
        <w:rPr>
          <w:rFonts w:hint="eastAsia" w:ascii="宋体" w:hAnsi="宋体"/>
          <w:b/>
          <w:color w:val="auto"/>
          <w:spacing w:val="20"/>
          <w:sz w:val="40"/>
          <w:szCs w:val="22"/>
          <w:highlight w:val="none"/>
          <w:u w:val="single"/>
        </w:rPr>
        <w:t>超融合存储服务采购项目</w:t>
      </w:r>
    </w:p>
    <w:p w14:paraId="7032F01F">
      <w:pPr>
        <w:autoSpaceDE w:val="0"/>
        <w:autoSpaceDN w:val="0"/>
        <w:adjustRightInd w:val="0"/>
        <w:spacing w:line="1000" w:lineRule="exact"/>
        <w:jc w:val="center"/>
        <w:rPr>
          <w:rFonts w:hint="eastAsia" w:ascii="华文新魏" w:eastAsia="华文新魏"/>
          <w:b/>
          <w:bCs/>
          <w:color w:val="auto"/>
          <w:sz w:val="100"/>
          <w:szCs w:val="100"/>
          <w:highlight w:val="none"/>
          <w:lang w:val="zh-CN"/>
        </w:rPr>
      </w:pPr>
    </w:p>
    <w:p w14:paraId="57F4A0CC">
      <w:pPr>
        <w:autoSpaceDE w:val="0"/>
        <w:autoSpaceDN w:val="0"/>
        <w:adjustRightInd w:val="0"/>
        <w:spacing w:line="1000" w:lineRule="exact"/>
        <w:jc w:val="center"/>
        <w:rPr>
          <w:rFonts w:ascii="华文新魏" w:hAnsi="Arial Narrow" w:eastAsia="华文新魏"/>
          <w:b/>
          <w:bCs/>
          <w:color w:val="auto"/>
          <w:sz w:val="100"/>
          <w:szCs w:val="100"/>
          <w:highlight w:val="none"/>
        </w:rPr>
      </w:pPr>
      <w:r>
        <w:rPr>
          <w:rFonts w:hint="eastAsia" w:ascii="华文新魏" w:eastAsia="华文新魏"/>
          <w:b/>
          <w:bCs/>
          <w:color w:val="auto"/>
          <w:sz w:val="100"/>
          <w:szCs w:val="100"/>
          <w:highlight w:val="none"/>
          <w:lang w:val="zh-CN"/>
        </w:rPr>
        <w:t>竞争性</w:t>
      </w:r>
      <w:r>
        <w:rPr>
          <w:rFonts w:hint="eastAsia" w:ascii="华文新魏" w:hAnsi="Arial Narrow" w:eastAsia="华文新魏"/>
          <w:b/>
          <w:bCs/>
          <w:color w:val="auto"/>
          <w:sz w:val="100"/>
          <w:szCs w:val="100"/>
          <w:highlight w:val="none"/>
          <w:lang w:val="zh-CN"/>
        </w:rPr>
        <w:t>磋商文件</w:t>
      </w:r>
    </w:p>
    <w:p w14:paraId="602EFB3B">
      <w:pPr>
        <w:keepNext/>
        <w:keepLines/>
        <w:autoSpaceDE w:val="0"/>
        <w:autoSpaceDN w:val="0"/>
        <w:adjustRightInd w:val="0"/>
        <w:spacing w:before="260" w:after="260" w:line="600" w:lineRule="exact"/>
        <w:ind w:right="210"/>
        <w:jc w:val="center"/>
        <w:outlineLvl w:val="0"/>
        <w:rPr>
          <w:rFonts w:hint="eastAsia" w:ascii="宋体" w:hAnsi="宋体"/>
          <w:color w:val="auto"/>
          <w:sz w:val="36"/>
          <w:szCs w:val="36"/>
          <w:highlight w:val="none"/>
        </w:rPr>
      </w:pPr>
    </w:p>
    <w:p w14:paraId="1E44E630">
      <w:pPr>
        <w:keepNext/>
        <w:keepLines/>
        <w:autoSpaceDE w:val="0"/>
        <w:autoSpaceDN w:val="0"/>
        <w:adjustRightInd w:val="0"/>
        <w:spacing w:before="260" w:after="260" w:line="600" w:lineRule="exact"/>
        <w:ind w:right="210"/>
        <w:jc w:val="center"/>
        <w:outlineLvl w:val="0"/>
        <w:rPr>
          <w:rFonts w:hint="default" w:ascii="楷体_GB2312" w:eastAsia="宋体"/>
          <w:b/>
          <w:color w:val="auto"/>
          <w:sz w:val="44"/>
          <w:szCs w:val="44"/>
          <w:highlight w:val="none"/>
          <w:lang w:val="en-US" w:eastAsia="zh-CN"/>
        </w:rPr>
      </w:pPr>
      <w:r>
        <w:rPr>
          <w:rFonts w:hint="eastAsia" w:ascii="宋体" w:hAnsi="宋体"/>
          <w:color w:val="auto"/>
          <w:sz w:val="36"/>
          <w:szCs w:val="36"/>
          <w:highlight w:val="none"/>
        </w:rPr>
        <w:t>项目编号：</w:t>
      </w:r>
      <w:r>
        <w:rPr>
          <w:rFonts w:hint="eastAsia" w:ascii="宋体" w:hAnsi="宋体"/>
          <w:color w:val="auto"/>
          <w:sz w:val="36"/>
          <w:szCs w:val="36"/>
          <w:highlight w:val="none"/>
          <w:lang w:val="en-US" w:eastAsia="zh-CN"/>
        </w:rPr>
        <w:t>HSNT202428</w:t>
      </w:r>
    </w:p>
    <w:p w14:paraId="5C0F78FC">
      <w:pPr>
        <w:autoSpaceDE w:val="0"/>
        <w:autoSpaceDN w:val="0"/>
        <w:adjustRightInd w:val="0"/>
        <w:spacing w:line="360" w:lineRule="auto"/>
        <w:ind w:firstLine="420"/>
        <w:jc w:val="center"/>
        <w:rPr>
          <w:rFonts w:eastAsia="黑体"/>
          <w:color w:val="auto"/>
          <w:szCs w:val="21"/>
          <w:highlight w:val="none"/>
        </w:rPr>
      </w:pPr>
    </w:p>
    <w:p w14:paraId="495AAC88">
      <w:pPr>
        <w:autoSpaceDE w:val="0"/>
        <w:autoSpaceDN w:val="0"/>
        <w:adjustRightInd w:val="0"/>
        <w:spacing w:line="360" w:lineRule="auto"/>
        <w:ind w:firstLine="420"/>
        <w:jc w:val="center"/>
        <w:rPr>
          <w:rFonts w:eastAsia="黑体"/>
          <w:color w:val="auto"/>
          <w:szCs w:val="21"/>
          <w:highlight w:val="none"/>
        </w:rPr>
      </w:pPr>
    </w:p>
    <w:p w14:paraId="582C9A06">
      <w:pPr>
        <w:autoSpaceDE w:val="0"/>
        <w:autoSpaceDN w:val="0"/>
        <w:adjustRightInd w:val="0"/>
        <w:spacing w:line="360" w:lineRule="auto"/>
        <w:ind w:firstLine="420"/>
        <w:jc w:val="center"/>
        <w:rPr>
          <w:rFonts w:eastAsia="黑体"/>
          <w:color w:val="auto"/>
          <w:szCs w:val="21"/>
          <w:highlight w:val="none"/>
        </w:rPr>
      </w:pPr>
    </w:p>
    <w:p w14:paraId="3A777EEB">
      <w:pPr>
        <w:autoSpaceDE w:val="0"/>
        <w:autoSpaceDN w:val="0"/>
        <w:adjustRightInd w:val="0"/>
        <w:spacing w:line="360" w:lineRule="auto"/>
        <w:ind w:firstLine="420"/>
        <w:jc w:val="center"/>
        <w:rPr>
          <w:rFonts w:eastAsia="黑体"/>
          <w:color w:val="auto"/>
          <w:szCs w:val="21"/>
          <w:highlight w:val="none"/>
        </w:rPr>
      </w:pPr>
    </w:p>
    <w:p w14:paraId="029B0A4C">
      <w:pPr>
        <w:autoSpaceDE w:val="0"/>
        <w:autoSpaceDN w:val="0"/>
        <w:adjustRightInd w:val="0"/>
        <w:spacing w:line="360" w:lineRule="auto"/>
        <w:ind w:firstLine="420"/>
        <w:jc w:val="center"/>
        <w:rPr>
          <w:rFonts w:eastAsia="黑体"/>
          <w:color w:val="auto"/>
          <w:szCs w:val="21"/>
          <w:highlight w:val="none"/>
        </w:rPr>
      </w:pPr>
    </w:p>
    <w:p w14:paraId="193160E6">
      <w:pPr>
        <w:autoSpaceDE w:val="0"/>
        <w:autoSpaceDN w:val="0"/>
        <w:adjustRightInd w:val="0"/>
        <w:jc w:val="center"/>
        <w:rPr>
          <w:color w:val="auto"/>
          <w:szCs w:val="21"/>
          <w:highlight w:val="none"/>
        </w:rPr>
      </w:pPr>
      <w:r>
        <w:rPr>
          <w:rFonts w:hint="eastAsia" w:ascii="宋体"/>
          <w:color w:val="auto"/>
          <w:kern w:val="0"/>
          <w:sz w:val="20"/>
          <w:szCs w:val="20"/>
          <w:highlight w:val="none"/>
          <w:lang w:val="zh-CN"/>
        </w:rPr>
        <w:object>
          <v:shape id="_x0000_i1025" o:spt="75" type="#_x0000_t75" style="height:127.5pt;width:166.5pt;" o:ole="t" filled="f" o:preferrelative="t" stroked="f" coordsize="21600,21600">
            <v:path/>
            <v:fill on="f" focussize="0,0"/>
            <v:stroke on="f" joinstyle="miter"/>
            <v:imagedata r:id="rId7" o:title=""/>
            <o:lock v:ext="edit" aspectratio="t"/>
            <w10:wrap type="none"/>
            <w10:anchorlock/>
          </v:shape>
          <o:OLEObject Type="Embed" ProgID="MS_ClipArt_Gallery.5" ShapeID="_x0000_i1025" DrawAspect="Content" ObjectID="_1468075725" r:id="rId6">
            <o:LockedField>false</o:LockedField>
          </o:OLEObject>
        </w:object>
      </w:r>
    </w:p>
    <w:p w14:paraId="7B8F3817">
      <w:pPr>
        <w:autoSpaceDE w:val="0"/>
        <w:autoSpaceDN w:val="0"/>
        <w:adjustRightInd w:val="0"/>
        <w:spacing w:line="360" w:lineRule="auto"/>
        <w:ind w:firstLine="420"/>
        <w:jc w:val="center"/>
        <w:rPr>
          <w:color w:val="auto"/>
          <w:szCs w:val="21"/>
          <w:highlight w:val="none"/>
        </w:rPr>
      </w:pPr>
    </w:p>
    <w:p w14:paraId="09ECA3C0">
      <w:pPr>
        <w:autoSpaceDE w:val="0"/>
        <w:autoSpaceDN w:val="0"/>
        <w:adjustRightInd w:val="0"/>
        <w:spacing w:line="360" w:lineRule="auto"/>
        <w:ind w:firstLine="420"/>
        <w:jc w:val="center"/>
        <w:rPr>
          <w:color w:val="auto"/>
          <w:szCs w:val="21"/>
          <w:highlight w:val="none"/>
        </w:rPr>
      </w:pPr>
    </w:p>
    <w:p w14:paraId="2EF01230">
      <w:pPr>
        <w:autoSpaceDE w:val="0"/>
        <w:autoSpaceDN w:val="0"/>
        <w:adjustRightInd w:val="0"/>
        <w:spacing w:line="360" w:lineRule="auto"/>
        <w:ind w:firstLine="420"/>
        <w:jc w:val="center"/>
        <w:rPr>
          <w:color w:val="auto"/>
          <w:szCs w:val="21"/>
          <w:highlight w:val="none"/>
        </w:rPr>
      </w:pPr>
    </w:p>
    <w:p w14:paraId="7196FF04">
      <w:pPr>
        <w:autoSpaceDE w:val="0"/>
        <w:autoSpaceDN w:val="0"/>
        <w:adjustRightInd w:val="0"/>
        <w:spacing w:line="360" w:lineRule="auto"/>
        <w:ind w:firstLine="420"/>
        <w:jc w:val="center"/>
        <w:rPr>
          <w:color w:val="auto"/>
          <w:szCs w:val="21"/>
          <w:highlight w:val="none"/>
        </w:rPr>
      </w:pPr>
    </w:p>
    <w:p w14:paraId="48212F12">
      <w:pPr>
        <w:autoSpaceDE w:val="0"/>
        <w:autoSpaceDN w:val="0"/>
        <w:adjustRightInd w:val="0"/>
        <w:spacing w:line="360" w:lineRule="auto"/>
        <w:ind w:firstLine="420"/>
        <w:jc w:val="center"/>
        <w:rPr>
          <w:color w:val="auto"/>
          <w:szCs w:val="21"/>
          <w:highlight w:val="none"/>
        </w:rPr>
      </w:pPr>
    </w:p>
    <w:p w14:paraId="50B836FF">
      <w:pPr>
        <w:spacing w:line="500" w:lineRule="exact"/>
        <w:jc w:val="center"/>
        <w:rPr>
          <w:rFonts w:ascii="宋体" w:hAnsi="宋体"/>
          <w:color w:val="auto"/>
          <w:spacing w:val="20"/>
          <w:sz w:val="28"/>
          <w:szCs w:val="28"/>
          <w:highlight w:val="none"/>
        </w:rPr>
      </w:pPr>
    </w:p>
    <w:p w14:paraId="1E50BE60">
      <w:pPr>
        <w:spacing w:line="500" w:lineRule="exact"/>
        <w:ind w:firstLine="1280" w:firstLineChars="400"/>
        <w:rPr>
          <w:rFonts w:hint="eastAsia" w:ascii="宋体" w:hAnsi="宋体" w:eastAsia="宋体"/>
          <w:color w:val="auto"/>
          <w:spacing w:val="20"/>
          <w:sz w:val="28"/>
          <w:szCs w:val="28"/>
          <w:highlight w:val="none"/>
          <w:lang w:eastAsia="zh-CN"/>
        </w:rPr>
      </w:pPr>
      <w:r>
        <w:rPr>
          <w:rFonts w:hint="eastAsia" w:ascii="宋体" w:hAnsi="宋体"/>
          <w:color w:val="auto"/>
          <w:spacing w:val="20"/>
          <w:sz w:val="28"/>
          <w:szCs w:val="28"/>
          <w:highlight w:val="none"/>
        </w:rPr>
        <w:t>采购单位</w:t>
      </w:r>
      <w:r>
        <w:rPr>
          <w:rFonts w:hint="eastAsia" w:ascii="宋体" w:hAnsi="宋体"/>
          <w:color w:val="auto"/>
          <w:spacing w:val="20"/>
          <w:sz w:val="28"/>
          <w:szCs w:val="28"/>
          <w:highlight w:val="none"/>
          <w:u w:val="single"/>
        </w:rPr>
        <w:t>：</w:t>
      </w:r>
      <w:r>
        <w:rPr>
          <w:rFonts w:hint="eastAsia" w:ascii="宋体" w:hAnsi="宋体"/>
          <w:color w:val="auto"/>
          <w:spacing w:val="20"/>
          <w:sz w:val="28"/>
          <w:szCs w:val="28"/>
          <w:highlight w:val="none"/>
          <w:u w:val="single"/>
          <w:lang w:val="en-US" w:eastAsia="zh-CN"/>
        </w:rPr>
        <w:t>南通日报社</w:t>
      </w:r>
    </w:p>
    <w:p w14:paraId="7EA8C837">
      <w:pPr>
        <w:spacing w:line="500" w:lineRule="exact"/>
        <w:ind w:firstLine="1280" w:firstLineChars="400"/>
        <w:jc w:val="both"/>
        <w:rPr>
          <w:rFonts w:hint="eastAsia" w:ascii="宋体" w:hAnsi="宋体" w:eastAsia="宋体"/>
          <w:color w:val="auto"/>
          <w:spacing w:val="20"/>
          <w:sz w:val="28"/>
          <w:szCs w:val="28"/>
          <w:highlight w:val="none"/>
          <w:lang w:eastAsia="zh-CN"/>
        </w:rPr>
      </w:pPr>
      <w:r>
        <w:rPr>
          <w:rFonts w:hint="eastAsia" w:ascii="宋体" w:hAnsi="宋体"/>
          <w:color w:val="auto"/>
          <w:spacing w:val="20"/>
          <w:sz w:val="28"/>
          <w:szCs w:val="28"/>
          <w:highlight w:val="none"/>
        </w:rPr>
        <w:t>代理单位</w:t>
      </w:r>
      <w:r>
        <w:rPr>
          <w:rFonts w:hint="eastAsia" w:ascii="宋体" w:hAnsi="宋体"/>
          <w:color w:val="auto"/>
          <w:spacing w:val="20"/>
          <w:sz w:val="28"/>
          <w:szCs w:val="28"/>
          <w:highlight w:val="none"/>
          <w:u w:val="single"/>
        </w:rPr>
        <w:t>：</w:t>
      </w:r>
      <w:r>
        <w:rPr>
          <w:rFonts w:hint="eastAsia" w:ascii="宋体" w:hAnsi="宋体"/>
          <w:color w:val="auto"/>
          <w:spacing w:val="20"/>
          <w:sz w:val="28"/>
          <w:szCs w:val="28"/>
          <w:highlight w:val="none"/>
          <w:u w:val="single"/>
          <w:lang w:eastAsia="zh-CN"/>
        </w:rPr>
        <w:t>江苏海审工程咨询有限公司</w:t>
      </w:r>
    </w:p>
    <w:p w14:paraId="22CE1926">
      <w:pPr>
        <w:spacing w:line="500" w:lineRule="exact"/>
        <w:ind w:firstLine="1280" w:firstLineChars="400"/>
        <w:rPr>
          <w:rFonts w:ascii="宋体" w:hAnsi="宋体"/>
          <w:color w:val="auto"/>
          <w:spacing w:val="20"/>
          <w:sz w:val="28"/>
          <w:szCs w:val="28"/>
          <w:highlight w:val="none"/>
        </w:rPr>
      </w:pPr>
      <w:r>
        <w:rPr>
          <w:rFonts w:hint="eastAsia" w:ascii="宋体" w:hAnsi="宋体"/>
          <w:color w:val="auto"/>
          <w:spacing w:val="20"/>
          <w:sz w:val="28"/>
          <w:szCs w:val="28"/>
          <w:highlight w:val="none"/>
        </w:rPr>
        <w:t>日    期：</w:t>
      </w:r>
      <w:r>
        <w:rPr>
          <w:rFonts w:hint="eastAsia" w:ascii="宋体" w:hAnsi="宋体"/>
          <w:color w:val="auto"/>
          <w:spacing w:val="20"/>
          <w:sz w:val="28"/>
          <w:szCs w:val="28"/>
          <w:highlight w:val="none"/>
          <w:u w:val="single"/>
        </w:rPr>
        <w:t>202</w:t>
      </w:r>
      <w:r>
        <w:rPr>
          <w:rFonts w:hint="eastAsia" w:ascii="宋体" w:hAnsi="宋体"/>
          <w:color w:val="auto"/>
          <w:spacing w:val="20"/>
          <w:sz w:val="28"/>
          <w:szCs w:val="28"/>
          <w:highlight w:val="none"/>
          <w:u w:val="single"/>
          <w:lang w:val="en-US" w:eastAsia="zh-CN"/>
        </w:rPr>
        <w:t>4</w:t>
      </w:r>
      <w:r>
        <w:rPr>
          <w:rFonts w:hint="eastAsia" w:ascii="宋体" w:hAnsi="宋体"/>
          <w:color w:val="auto"/>
          <w:spacing w:val="20"/>
          <w:sz w:val="28"/>
          <w:szCs w:val="28"/>
          <w:highlight w:val="none"/>
          <w:u w:val="single"/>
        </w:rPr>
        <w:t>年</w:t>
      </w:r>
      <w:r>
        <w:rPr>
          <w:rFonts w:hint="eastAsia" w:ascii="宋体" w:hAnsi="宋体"/>
          <w:color w:val="auto"/>
          <w:spacing w:val="20"/>
          <w:sz w:val="28"/>
          <w:szCs w:val="28"/>
          <w:highlight w:val="none"/>
          <w:u w:val="single"/>
          <w:lang w:val="en-US" w:eastAsia="zh-CN"/>
        </w:rPr>
        <w:t>10</w:t>
      </w:r>
      <w:r>
        <w:rPr>
          <w:rFonts w:hint="eastAsia" w:ascii="宋体" w:hAnsi="宋体"/>
          <w:color w:val="auto"/>
          <w:spacing w:val="20"/>
          <w:sz w:val="28"/>
          <w:szCs w:val="28"/>
          <w:highlight w:val="none"/>
          <w:u w:val="single"/>
        </w:rPr>
        <w:t>月</w:t>
      </w:r>
      <w:r>
        <w:rPr>
          <w:rFonts w:hint="eastAsia" w:ascii="宋体" w:hAnsi="宋体"/>
          <w:color w:val="auto"/>
          <w:spacing w:val="20"/>
          <w:sz w:val="28"/>
          <w:szCs w:val="28"/>
          <w:highlight w:val="none"/>
          <w:u w:val="single"/>
          <w:lang w:val="en-US" w:eastAsia="zh-CN"/>
        </w:rPr>
        <w:t>8</w:t>
      </w:r>
      <w:r>
        <w:rPr>
          <w:rFonts w:hint="eastAsia" w:ascii="宋体" w:hAnsi="宋体"/>
          <w:color w:val="auto"/>
          <w:spacing w:val="20"/>
          <w:sz w:val="28"/>
          <w:szCs w:val="28"/>
          <w:highlight w:val="none"/>
          <w:u w:val="single"/>
        </w:rPr>
        <w:t>日</w:t>
      </w:r>
    </w:p>
    <w:p w14:paraId="466585AB">
      <w:pPr>
        <w:spacing w:line="360" w:lineRule="auto"/>
        <w:jc w:val="center"/>
        <w:rPr>
          <w:rFonts w:asciiTheme="minorEastAsia" w:hAnsiTheme="minorEastAsia" w:eastAsiaTheme="minorEastAsia"/>
          <w:b/>
          <w:bCs/>
          <w:color w:val="auto"/>
          <w:sz w:val="44"/>
          <w:szCs w:val="44"/>
          <w:highlight w:val="none"/>
          <w:lang w:val="zh-CN"/>
        </w:rPr>
      </w:pPr>
      <w:r>
        <w:rPr>
          <w:rFonts w:ascii="楷体_GB2312" w:eastAsia="楷体_GB2312"/>
          <w:b/>
          <w:bCs/>
          <w:color w:val="auto"/>
          <w:sz w:val="44"/>
          <w:szCs w:val="44"/>
          <w:highlight w:val="none"/>
          <w:lang w:val="zh-CN"/>
        </w:rPr>
        <w:br w:type="page"/>
      </w:r>
      <w:r>
        <w:rPr>
          <w:rFonts w:hint="eastAsia" w:asciiTheme="minorEastAsia" w:hAnsiTheme="minorEastAsia" w:eastAsiaTheme="minorEastAsia"/>
          <w:b/>
          <w:bCs/>
          <w:color w:val="auto"/>
          <w:sz w:val="44"/>
          <w:szCs w:val="44"/>
          <w:highlight w:val="none"/>
          <w:lang w:val="zh-CN"/>
        </w:rPr>
        <w:t>目   录</w:t>
      </w:r>
    </w:p>
    <w:p w14:paraId="054AD069">
      <w:pPr>
        <w:autoSpaceDE w:val="0"/>
        <w:autoSpaceDN w:val="0"/>
        <w:adjustRightInd w:val="0"/>
        <w:spacing w:line="480" w:lineRule="auto"/>
        <w:ind w:firstLine="556"/>
        <w:rPr>
          <w:rFonts w:asciiTheme="minorEastAsia" w:hAnsiTheme="minorEastAsia" w:eastAsiaTheme="minorEastAsia"/>
          <w:b/>
          <w:bCs/>
          <w:color w:val="auto"/>
          <w:sz w:val="32"/>
          <w:szCs w:val="32"/>
          <w:highlight w:val="none"/>
        </w:rPr>
      </w:pPr>
    </w:p>
    <w:p w14:paraId="2E31E4C8">
      <w:pPr>
        <w:autoSpaceDE w:val="0"/>
        <w:autoSpaceDN w:val="0"/>
        <w:adjustRightInd w:val="0"/>
        <w:spacing w:line="480" w:lineRule="auto"/>
        <w:ind w:firstLine="556"/>
        <w:rPr>
          <w:rFonts w:hint="eastAsia" w:asciiTheme="minorEastAsia" w:hAnsiTheme="minorEastAsia" w:eastAsiaTheme="minorEastAsia"/>
          <w:bCs/>
          <w:color w:val="auto"/>
          <w:sz w:val="28"/>
          <w:szCs w:val="28"/>
          <w:highlight w:val="none"/>
          <w:lang w:val="zh-CN"/>
        </w:rPr>
      </w:pPr>
      <w:r>
        <w:rPr>
          <w:rFonts w:hint="eastAsia" w:asciiTheme="minorEastAsia" w:hAnsiTheme="minorEastAsia" w:eastAsiaTheme="minorEastAsia"/>
          <w:bCs/>
          <w:color w:val="auto"/>
          <w:sz w:val="28"/>
          <w:szCs w:val="28"/>
          <w:highlight w:val="none"/>
        </w:rPr>
        <w:t>第一部分  竞争性磋商</w:t>
      </w:r>
      <w:r>
        <w:rPr>
          <w:rFonts w:hint="eastAsia" w:asciiTheme="minorEastAsia" w:hAnsiTheme="minorEastAsia" w:eastAsiaTheme="minorEastAsia"/>
          <w:bCs/>
          <w:color w:val="auto"/>
          <w:sz w:val="28"/>
          <w:szCs w:val="28"/>
          <w:highlight w:val="none"/>
          <w:lang w:val="zh-CN"/>
        </w:rPr>
        <w:t>公告</w:t>
      </w:r>
    </w:p>
    <w:p w14:paraId="658CE73C">
      <w:pPr>
        <w:autoSpaceDE w:val="0"/>
        <w:autoSpaceDN w:val="0"/>
        <w:adjustRightInd w:val="0"/>
        <w:spacing w:line="480" w:lineRule="auto"/>
        <w:ind w:firstLine="556"/>
        <w:rPr>
          <w:rFonts w:hint="eastAsia" w:asciiTheme="minorEastAsia" w:hAnsiTheme="minorEastAsia" w:eastAsiaTheme="minorEastAsia"/>
          <w:bCs/>
          <w:color w:val="auto"/>
          <w:sz w:val="28"/>
          <w:szCs w:val="28"/>
          <w:highlight w:val="none"/>
          <w:lang w:val="zh-CN"/>
        </w:rPr>
      </w:pPr>
      <w:r>
        <w:rPr>
          <w:rFonts w:hint="eastAsia" w:asciiTheme="minorEastAsia" w:hAnsiTheme="minorEastAsia" w:eastAsiaTheme="minorEastAsia"/>
          <w:bCs/>
          <w:color w:val="auto"/>
          <w:sz w:val="28"/>
          <w:szCs w:val="28"/>
          <w:highlight w:val="none"/>
        </w:rPr>
        <w:t>第二部分  磋商</w:t>
      </w:r>
      <w:r>
        <w:rPr>
          <w:rFonts w:hint="eastAsia" w:asciiTheme="minorEastAsia" w:hAnsiTheme="minorEastAsia" w:eastAsiaTheme="minorEastAsia"/>
          <w:bCs/>
          <w:color w:val="auto"/>
          <w:sz w:val="28"/>
          <w:szCs w:val="28"/>
          <w:highlight w:val="none"/>
          <w:lang w:val="zh-CN"/>
        </w:rPr>
        <w:t>须知</w:t>
      </w:r>
    </w:p>
    <w:p w14:paraId="2BDA7156">
      <w:pPr>
        <w:autoSpaceDE w:val="0"/>
        <w:autoSpaceDN w:val="0"/>
        <w:adjustRightInd w:val="0"/>
        <w:spacing w:line="480" w:lineRule="auto"/>
        <w:ind w:firstLine="556"/>
        <w:rPr>
          <w:rFonts w:hint="eastAsia" w:asciiTheme="minorEastAsia" w:hAnsiTheme="minorEastAsia" w:eastAsiaTheme="minorEastAsia"/>
          <w:bCs/>
          <w:color w:val="auto"/>
          <w:sz w:val="28"/>
          <w:szCs w:val="28"/>
          <w:highlight w:val="none"/>
          <w:lang w:val="zh-CN"/>
        </w:rPr>
      </w:pPr>
      <w:r>
        <w:rPr>
          <w:rFonts w:hint="eastAsia" w:asciiTheme="minorEastAsia" w:hAnsiTheme="minorEastAsia" w:eastAsiaTheme="minorEastAsia"/>
          <w:bCs/>
          <w:color w:val="auto"/>
          <w:sz w:val="28"/>
          <w:szCs w:val="28"/>
          <w:highlight w:val="none"/>
        </w:rPr>
        <w:t xml:space="preserve">第三部分  </w:t>
      </w:r>
      <w:r>
        <w:rPr>
          <w:rFonts w:hint="eastAsia" w:asciiTheme="minorEastAsia" w:hAnsiTheme="minorEastAsia" w:eastAsiaTheme="minorEastAsia"/>
          <w:bCs/>
          <w:color w:val="auto"/>
          <w:sz w:val="28"/>
          <w:szCs w:val="28"/>
          <w:highlight w:val="none"/>
          <w:lang w:val="zh-CN"/>
        </w:rPr>
        <w:t>项目需求</w:t>
      </w:r>
    </w:p>
    <w:p w14:paraId="589C3ECE">
      <w:pPr>
        <w:autoSpaceDE w:val="0"/>
        <w:autoSpaceDN w:val="0"/>
        <w:adjustRightInd w:val="0"/>
        <w:spacing w:line="480" w:lineRule="auto"/>
        <w:ind w:firstLine="556"/>
        <w:rPr>
          <w:rFonts w:hint="eastAsia" w:asciiTheme="minorEastAsia" w:hAnsiTheme="minorEastAsia" w:eastAsiaTheme="minorEastAsia"/>
          <w:bCs/>
          <w:color w:val="auto"/>
          <w:sz w:val="28"/>
          <w:szCs w:val="28"/>
          <w:highlight w:val="none"/>
          <w:lang w:val="zh-CN"/>
        </w:rPr>
      </w:pPr>
      <w:r>
        <w:rPr>
          <w:rFonts w:hint="eastAsia" w:asciiTheme="minorEastAsia" w:hAnsiTheme="minorEastAsia" w:eastAsiaTheme="minorEastAsia"/>
          <w:bCs/>
          <w:color w:val="auto"/>
          <w:sz w:val="28"/>
          <w:szCs w:val="28"/>
          <w:highlight w:val="none"/>
        </w:rPr>
        <w:t>第四部分  磋商</w:t>
      </w:r>
      <w:r>
        <w:rPr>
          <w:rFonts w:hint="eastAsia" w:asciiTheme="minorEastAsia" w:hAnsiTheme="minorEastAsia" w:eastAsiaTheme="minorEastAsia"/>
          <w:bCs/>
          <w:color w:val="auto"/>
          <w:sz w:val="28"/>
          <w:szCs w:val="28"/>
          <w:highlight w:val="none"/>
          <w:lang w:val="zh-CN"/>
        </w:rPr>
        <w:t>程序和内容</w:t>
      </w:r>
    </w:p>
    <w:p w14:paraId="0453FDBA">
      <w:pPr>
        <w:autoSpaceDE w:val="0"/>
        <w:autoSpaceDN w:val="0"/>
        <w:adjustRightInd w:val="0"/>
        <w:spacing w:line="480" w:lineRule="auto"/>
        <w:ind w:firstLine="556"/>
        <w:rPr>
          <w:rFonts w:asciiTheme="minorEastAsia" w:hAnsiTheme="minorEastAsia" w:eastAsiaTheme="minorEastAsia"/>
          <w:bCs/>
          <w:color w:val="auto"/>
          <w:sz w:val="28"/>
          <w:szCs w:val="28"/>
          <w:highlight w:val="none"/>
        </w:rPr>
      </w:pPr>
      <w:r>
        <w:rPr>
          <w:rFonts w:hint="eastAsia" w:asciiTheme="minorEastAsia" w:hAnsiTheme="minorEastAsia" w:eastAsiaTheme="minorEastAsia"/>
          <w:bCs/>
          <w:color w:val="auto"/>
          <w:sz w:val="28"/>
          <w:szCs w:val="28"/>
          <w:highlight w:val="none"/>
        </w:rPr>
        <w:t>第五部分  合同签订与验收付款</w:t>
      </w:r>
    </w:p>
    <w:p w14:paraId="792D1720">
      <w:pPr>
        <w:autoSpaceDE w:val="0"/>
        <w:autoSpaceDN w:val="0"/>
        <w:adjustRightInd w:val="0"/>
        <w:spacing w:line="480" w:lineRule="auto"/>
        <w:ind w:firstLine="556"/>
        <w:rPr>
          <w:rFonts w:asciiTheme="minorEastAsia" w:hAnsiTheme="minorEastAsia" w:eastAsiaTheme="minorEastAsia"/>
          <w:bCs/>
          <w:color w:val="auto"/>
          <w:sz w:val="28"/>
          <w:szCs w:val="28"/>
          <w:highlight w:val="none"/>
        </w:rPr>
      </w:pPr>
      <w:r>
        <w:rPr>
          <w:rFonts w:hint="eastAsia" w:asciiTheme="minorEastAsia" w:hAnsiTheme="minorEastAsia" w:eastAsiaTheme="minorEastAsia"/>
          <w:bCs/>
          <w:color w:val="auto"/>
          <w:sz w:val="28"/>
          <w:szCs w:val="28"/>
          <w:highlight w:val="none"/>
        </w:rPr>
        <w:t>第六部分  质疑提出和处理</w:t>
      </w:r>
    </w:p>
    <w:p w14:paraId="0F4AC912">
      <w:pPr>
        <w:autoSpaceDE w:val="0"/>
        <w:autoSpaceDN w:val="0"/>
        <w:adjustRightInd w:val="0"/>
        <w:spacing w:line="480" w:lineRule="auto"/>
        <w:ind w:firstLine="556" w:firstLineChars="0"/>
        <w:rPr>
          <w:rFonts w:hint="eastAsia" w:asciiTheme="minorEastAsia" w:hAnsiTheme="minorEastAsia" w:eastAsiaTheme="minorEastAsia"/>
          <w:bCs/>
          <w:color w:val="auto"/>
          <w:spacing w:val="0"/>
          <w:sz w:val="28"/>
          <w:szCs w:val="28"/>
          <w:highlight w:val="none"/>
        </w:rPr>
      </w:pPr>
      <w:r>
        <w:rPr>
          <w:rFonts w:hint="eastAsia" w:asciiTheme="minorEastAsia" w:hAnsiTheme="minorEastAsia" w:eastAsiaTheme="minorEastAsia"/>
          <w:bCs/>
          <w:color w:val="auto"/>
          <w:sz w:val="28"/>
          <w:szCs w:val="28"/>
          <w:highlight w:val="none"/>
        </w:rPr>
        <w:t>第七部分  响应</w:t>
      </w:r>
      <w:r>
        <w:rPr>
          <w:rFonts w:hint="eastAsia" w:asciiTheme="minorEastAsia" w:hAnsiTheme="minorEastAsia" w:eastAsiaTheme="minorEastAsia"/>
          <w:bCs/>
          <w:color w:val="auto"/>
          <w:sz w:val="28"/>
          <w:szCs w:val="28"/>
          <w:highlight w:val="none"/>
          <w:lang w:val="zh-CN"/>
        </w:rPr>
        <w:t>文件</w:t>
      </w:r>
      <w:r>
        <w:rPr>
          <w:rFonts w:hint="eastAsia" w:asciiTheme="minorEastAsia" w:hAnsiTheme="minorEastAsia" w:eastAsiaTheme="minorEastAsia"/>
          <w:bCs/>
          <w:color w:val="auto"/>
          <w:sz w:val="28"/>
          <w:szCs w:val="28"/>
          <w:highlight w:val="none"/>
        </w:rPr>
        <w:t>组成</w:t>
      </w:r>
    </w:p>
    <w:p w14:paraId="2D947A82">
      <w:pPr>
        <w:autoSpaceDE w:val="0"/>
        <w:autoSpaceDN w:val="0"/>
        <w:adjustRightInd w:val="0"/>
        <w:snapToGrid w:val="0"/>
        <w:spacing w:line="300" w:lineRule="auto"/>
        <w:jc w:val="center"/>
        <w:outlineLvl w:val="0"/>
        <w:rPr>
          <w:rFonts w:asciiTheme="minorEastAsia" w:hAnsiTheme="minorEastAsia" w:eastAsiaTheme="minorEastAsia"/>
          <w:b/>
          <w:bCs/>
          <w:color w:val="auto"/>
          <w:sz w:val="36"/>
          <w:szCs w:val="36"/>
          <w:highlight w:val="none"/>
          <w:lang w:val="zh-CN"/>
        </w:rPr>
      </w:pPr>
      <w:r>
        <w:rPr>
          <w:rFonts w:ascii="仿宋_GB2312" w:eastAsia="仿宋_GB2312"/>
          <w:b/>
          <w:bCs/>
          <w:color w:val="auto"/>
          <w:sz w:val="36"/>
          <w:szCs w:val="36"/>
          <w:highlight w:val="none"/>
          <w:lang w:val="zh-CN"/>
        </w:rPr>
        <w:br w:type="page"/>
      </w:r>
      <w:r>
        <w:rPr>
          <w:rFonts w:hint="eastAsia" w:asciiTheme="minorEastAsia" w:hAnsiTheme="minorEastAsia" w:eastAsiaTheme="minorEastAsia"/>
          <w:b/>
          <w:bCs/>
          <w:color w:val="auto"/>
          <w:sz w:val="36"/>
          <w:szCs w:val="36"/>
          <w:highlight w:val="none"/>
          <w:lang w:val="zh-CN"/>
        </w:rPr>
        <w:t xml:space="preserve">第一部分  </w:t>
      </w:r>
      <w:bookmarkStart w:id="0" w:name="OLE_LINK1"/>
      <w:r>
        <w:rPr>
          <w:rFonts w:hint="eastAsia" w:asciiTheme="minorEastAsia" w:hAnsiTheme="minorEastAsia" w:eastAsiaTheme="minorEastAsia"/>
          <w:b/>
          <w:bCs/>
          <w:color w:val="auto"/>
          <w:sz w:val="36"/>
          <w:szCs w:val="36"/>
          <w:highlight w:val="none"/>
          <w:lang w:val="zh-CN"/>
        </w:rPr>
        <w:t>竞争性磋商公告</w:t>
      </w:r>
    </w:p>
    <w:p w14:paraId="7EF9845A">
      <w:pPr>
        <w:widowControl/>
        <w:shd w:val="clear" w:color="auto" w:fill="FFFFFF"/>
        <w:rPr>
          <w:rFonts w:ascii="Microsoft YaHei UI" w:hAnsi="Microsoft YaHei UI" w:eastAsia="Microsoft YaHei UI" w:cs="宋体"/>
          <w:color w:val="auto"/>
          <w:spacing w:val="7"/>
          <w:kern w:val="0"/>
          <w:sz w:val="23"/>
          <w:szCs w:val="23"/>
          <w:highlight w:val="none"/>
        </w:rPr>
      </w:pPr>
    </w:p>
    <w:p w14:paraId="02958284">
      <w:pPr>
        <w:snapToGrid w:val="0"/>
        <w:spacing w:line="480" w:lineRule="exact"/>
        <w:ind w:firstLine="480" w:firstLineChars="200"/>
        <w:rPr>
          <w:color w:val="auto"/>
          <w:sz w:val="24"/>
          <w:highlight w:val="none"/>
        </w:rPr>
      </w:pPr>
      <w:r>
        <w:rPr>
          <w:bCs/>
          <w:color w:val="auto"/>
          <w:sz w:val="24"/>
          <w:highlight w:val="none"/>
        </w:rPr>
        <w:t>项目概况</w:t>
      </w:r>
      <w:r>
        <w:rPr>
          <w:rFonts w:hint="eastAsia"/>
          <w:bCs/>
          <w:color w:val="auto"/>
          <w:sz w:val="24"/>
          <w:highlight w:val="none"/>
        </w:rPr>
        <w:t>：</w:t>
      </w:r>
      <w:r>
        <w:rPr>
          <w:rFonts w:hint="eastAsia"/>
          <w:bCs/>
          <w:color w:val="auto"/>
          <w:sz w:val="24"/>
          <w:highlight w:val="none"/>
          <w:u w:val="single"/>
          <w:lang w:val="en-US" w:eastAsia="zh-CN"/>
        </w:rPr>
        <w:t>南通日报社</w:t>
      </w:r>
      <w:r>
        <w:rPr>
          <w:rFonts w:hint="eastAsia"/>
          <w:bCs/>
          <w:color w:val="auto"/>
          <w:sz w:val="24"/>
          <w:highlight w:val="none"/>
          <w:u w:val="single"/>
        </w:rPr>
        <w:t>超融合存储服务采购项目</w:t>
      </w:r>
      <w:r>
        <w:rPr>
          <w:color w:val="auto"/>
          <w:sz w:val="24"/>
          <w:highlight w:val="none"/>
        </w:rPr>
        <w:t>的潜在</w:t>
      </w:r>
      <w:r>
        <w:rPr>
          <w:rFonts w:hint="eastAsia"/>
          <w:color w:val="auto"/>
          <w:sz w:val="24"/>
          <w:highlight w:val="none"/>
        </w:rPr>
        <w:t>供应商</w:t>
      </w:r>
      <w:r>
        <w:rPr>
          <w:color w:val="auto"/>
          <w:sz w:val="24"/>
          <w:highlight w:val="none"/>
        </w:rPr>
        <w:t>应</w:t>
      </w:r>
      <w:r>
        <w:rPr>
          <w:b w:val="0"/>
          <w:bCs w:val="0"/>
          <w:color w:val="auto"/>
          <w:sz w:val="24"/>
          <w:highlight w:val="none"/>
        </w:rPr>
        <w:t>在</w:t>
      </w:r>
      <w:r>
        <w:rPr>
          <w:rFonts w:hint="eastAsia"/>
          <w:b w:val="0"/>
          <w:bCs w:val="0"/>
          <w:color w:val="auto"/>
          <w:sz w:val="24"/>
          <w:highlight w:val="none"/>
          <w:u w:val="single"/>
          <w:lang w:val="en-US" w:eastAsia="zh-CN"/>
        </w:rPr>
        <w:t>南通网、南通市公共资源交易网</w:t>
      </w:r>
      <w:r>
        <w:rPr>
          <w:b w:val="0"/>
          <w:bCs w:val="0"/>
          <w:color w:val="auto"/>
          <w:sz w:val="24"/>
          <w:highlight w:val="none"/>
        </w:rPr>
        <w:t>获</w:t>
      </w:r>
      <w:r>
        <w:rPr>
          <w:color w:val="auto"/>
          <w:sz w:val="24"/>
          <w:highlight w:val="none"/>
        </w:rPr>
        <w:t>取</w:t>
      </w:r>
      <w:r>
        <w:rPr>
          <w:rFonts w:hint="eastAsia"/>
          <w:color w:val="auto"/>
          <w:sz w:val="24"/>
          <w:highlight w:val="none"/>
        </w:rPr>
        <w:t>采购</w:t>
      </w:r>
      <w:r>
        <w:rPr>
          <w:color w:val="auto"/>
          <w:sz w:val="24"/>
          <w:highlight w:val="none"/>
        </w:rPr>
        <w:t>文件，并于</w:t>
      </w:r>
      <w:r>
        <w:rPr>
          <w:rFonts w:hint="eastAsia"/>
          <w:b/>
          <w:bCs/>
          <w:color w:val="auto"/>
          <w:sz w:val="24"/>
          <w:highlight w:val="none"/>
          <w:u w:val="single"/>
        </w:rPr>
        <w:t>20</w:t>
      </w:r>
      <w:r>
        <w:rPr>
          <w:rFonts w:hint="eastAsia"/>
          <w:b/>
          <w:bCs/>
          <w:color w:val="auto"/>
          <w:sz w:val="24"/>
          <w:highlight w:val="none"/>
          <w:u w:val="single"/>
          <w:lang w:val="en-US" w:eastAsia="zh-CN"/>
        </w:rPr>
        <w:t>24</w:t>
      </w:r>
      <w:r>
        <w:rPr>
          <w:b/>
          <w:bCs/>
          <w:color w:val="auto"/>
          <w:sz w:val="24"/>
          <w:highlight w:val="none"/>
          <w:u w:val="single"/>
        </w:rPr>
        <w:t>年</w:t>
      </w:r>
      <w:r>
        <w:rPr>
          <w:rFonts w:hint="eastAsia"/>
          <w:b/>
          <w:bCs/>
          <w:color w:val="auto"/>
          <w:sz w:val="24"/>
          <w:highlight w:val="none"/>
          <w:u w:val="single"/>
          <w:lang w:val="en-US" w:eastAsia="zh-CN"/>
        </w:rPr>
        <w:t>10</w:t>
      </w:r>
      <w:r>
        <w:rPr>
          <w:b/>
          <w:bCs/>
          <w:color w:val="auto"/>
          <w:sz w:val="24"/>
          <w:highlight w:val="none"/>
          <w:u w:val="single"/>
        </w:rPr>
        <w:t>月</w:t>
      </w:r>
      <w:r>
        <w:rPr>
          <w:rFonts w:hint="eastAsia"/>
          <w:b/>
          <w:bCs/>
          <w:color w:val="auto"/>
          <w:sz w:val="24"/>
          <w:highlight w:val="none"/>
          <w:u w:val="single"/>
          <w:lang w:val="en-US" w:eastAsia="zh-CN"/>
        </w:rPr>
        <w:t>22</w:t>
      </w:r>
      <w:r>
        <w:rPr>
          <w:b/>
          <w:bCs/>
          <w:color w:val="auto"/>
          <w:sz w:val="24"/>
          <w:highlight w:val="none"/>
          <w:u w:val="single"/>
        </w:rPr>
        <w:t>日</w:t>
      </w:r>
      <w:r>
        <w:rPr>
          <w:rFonts w:hint="eastAsia"/>
          <w:b/>
          <w:bCs/>
          <w:color w:val="auto"/>
          <w:sz w:val="24"/>
          <w:highlight w:val="none"/>
          <w:u w:val="single"/>
          <w:lang w:val="en-US" w:eastAsia="zh-CN"/>
        </w:rPr>
        <w:t>14</w:t>
      </w:r>
      <w:r>
        <w:rPr>
          <w:b/>
          <w:bCs/>
          <w:color w:val="auto"/>
          <w:sz w:val="24"/>
          <w:highlight w:val="none"/>
          <w:u w:val="single"/>
        </w:rPr>
        <w:t>点</w:t>
      </w:r>
      <w:r>
        <w:rPr>
          <w:rFonts w:hint="eastAsia"/>
          <w:b/>
          <w:bCs/>
          <w:color w:val="auto"/>
          <w:sz w:val="24"/>
          <w:highlight w:val="none"/>
          <w:u w:val="single"/>
          <w:lang w:val="en-US" w:eastAsia="zh-CN"/>
        </w:rPr>
        <w:t>00</w:t>
      </w:r>
      <w:r>
        <w:rPr>
          <w:b/>
          <w:bCs/>
          <w:color w:val="auto"/>
          <w:sz w:val="24"/>
          <w:highlight w:val="none"/>
          <w:u w:val="single"/>
        </w:rPr>
        <w:t>分</w:t>
      </w:r>
      <w:r>
        <w:rPr>
          <w:color w:val="auto"/>
          <w:sz w:val="24"/>
          <w:highlight w:val="none"/>
        </w:rPr>
        <w:t>（北京时间）前递交</w:t>
      </w:r>
      <w:r>
        <w:rPr>
          <w:rFonts w:hint="eastAsia"/>
          <w:color w:val="auto"/>
          <w:sz w:val="24"/>
          <w:highlight w:val="none"/>
        </w:rPr>
        <w:t>响应</w:t>
      </w:r>
      <w:r>
        <w:rPr>
          <w:color w:val="auto"/>
          <w:sz w:val="24"/>
          <w:highlight w:val="none"/>
        </w:rPr>
        <w:t>文件。</w:t>
      </w:r>
    </w:p>
    <w:p w14:paraId="37A16939">
      <w:pPr>
        <w:snapToGrid w:val="0"/>
        <w:spacing w:line="480" w:lineRule="exact"/>
        <w:ind w:firstLine="482" w:firstLineChars="200"/>
        <w:rPr>
          <w:b/>
          <w:color w:val="auto"/>
          <w:sz w:val="24"/>
          <w:highlight w:val="none"/>
        </w:rPr>
      </w:pPr>
      <w:r>
        <w:rPr>
          <w:b/>
          <w:color w:val="auto"/>
          <w:sz w:val="24"/>
          <w:highlight w:val="none"/>
        </w:rPr>
        <w:t xml:space="preserve"> 一、项目基本情况</w:t>
      </w:r>
    </w:p>
    <w:p w14:paraId="6445B086">
      <w:pPr>
        <w:snapToGrid w:val="0"/>
        <w:spacing w:line="480" w:lineRule="exact"/>
        <w:ind w:firstLine="480" w:firstLineChars="200"/>
        <w:rPr>
          <w:rFonts w:hint="default" w:eastAsia="宋体"/>
          <w:color w:val="auto"/>
          <w:sz w:val="24"/>
          <w:highlight w:val="none"/>
          <w:lang w:val="en-US" w:eastAsia="zh-CN"/>
        </w:rPr>
      </w:pPr>
      <w:r>
        <w:rPr>
          <w:color w:val="auto"/>
          <w:sz w:val="24"/>
          <w:highlight w:val="none"/>
        </w:rPr>
        <w:t>项目编号：</w:t>
      </w:r>
      <w:r>
        <w:rPr>
          <w:rFonts w:hint="eastAsia"/>
          <w:color w:val="auto"/>
          <w:sz w:val="24"/>
          <w:highlight w:val="none"/>
          <w:lang w:val="en-US" w:eastAsia="zh-CN"/>
        </w:rPr>
        <w:t>HSNT202428</w:t>
      </w:r>
    </w:p>
    <w:p w14:paraId="4F781E3D">
      <w:pPr>
        <w:snapToGrid w:val="0"/>
        <w:spacing w:line="480" w:lineRule="exact"/>
        <w:ind w:firstLine="480" w:firstLineChars="200"/>
        <w:rPr>
          <w:rFonts w:hint="eastAsia" w:eastAsia="宋体"/>
          <w:color w:val="auto"/>
          <w:sz w:val="24"/>
          <w:highlight w:val="none"/>
          <w:lang w:eastAsia="zh-CN"/>
        </w:rPr>
      </w:pPr>
      <w:r>
        <w:rPr>
          <w:color w:val="auto"/>
          <w:sz w:val="24"/>
          <w:highlight w:val="none"/>
        </w:rPr>
        <w:t>项目名称：</w:t>
      </w:r>
      <w:r>
        <w:rPr>
          <w:rFonts w:hint="eastAsia"/>
          <w:color w:val="auto"/>
          <w:sz w:val="24"/>
          <w:highlight w:val="none"/>
          <w:lang w:val="en-US" w:eastAsia="zh-CN"/>
        </w:rPr>
        <w:t>南通日报社</w:t>
      </w:r>
      <w:r>
        <w:rPr>
          <w:rFonts w:hint="eastAsia"/>
          <w:color w:val="auto"/>
          <w:sz w:val="24"/>
          <w:highlight w:val="none"/>
        </w:rPr>
        <w:t>超融合存储服务采购项目</w:t>
      </w:r>
    </w:p>
    <w:p w14:paraId="2BDBA7EE">
      <w:pPr>
        <w:snapToGrid w:val="0"/>
        <w:spacing w:line="480" w:lineRule="exact"/>
        <w:ind w:firstLine="480" w:firstLineChars="200"/>
        <w:rPr>
          <w:color w:val="auto"/>
          <w:sz w:val="24"/>
          <w:highlight w:val="none"/>
        </w:rPr>
      </w:pPr>
      <w:r>
        <w:rPr>
          <w:rFonts w:hint="eastAsia"/>
          <w:color w:val="auto"/>
          <w:sz w:val="24"/>
          <w:highlight w:val="none"/>
        </w:rPr>
        <w:t>采购方式：竞争性磋商</w:t>
      </w:r>
    </w:p>
    <w:p w14:paraId="6AB5A7C2">
      <w:pPr>
        <w:snapToGrid w:val="0"/>
        <w:spacing w:line="480" w:lineRule="exact"/>
        <w:ind w:firstLine="480" w:firstLineChars="200"/>
        <w:rPr>
          <w:color w:val="auto"/>
          <w:sz w:val="24"/>
          <w:highlight w:val="none"/>
        </w:rPr>
      </w:pPr>
      <w:r>
        <w:rPr>
          <w:color w:val="auto"/>
          <w:sz w:val="24"/>
          <w:highlight w:val="none"/>
        </w:rPr>
        <w:t>预算金额：</w:t>
      </w:r>
      <w:r>
        <w:rPr>
          <w:rFonts w:hint="eastAsia"/>
          <w:color w:val="auto"/>
          <w:sz w:val="24"/>
          <w:highlight w:val="none"/>
          <w:u w:val="single"/>
          <w:lang w:val="en-US" w:eastAsia="zh-CN"/>
        </w:rPr>
        <w:t xml:space="preserve"> 100万</w:t>
      </w:r>
      <w:r>
        <w:rPr>
          <w:color w:val="auto"/>
          <w:sz w:val="24"/>
          <w:highlight w:val="none"/>
          <w:u w:val="single"/>
        </w:rPr>
        <w:t>元</w:t>
      </w:r>
    </w:p>
    <w:p w14:paraId="0937322F">
      <w:pPr>
        <w:snapToGrid w:val="0"/>
        <w:spacing w:line="480" w:lineRule="exact"/>
        <w:ind w:firstLine="480" w:firstLineChars="200"/>
        <w:rPr>
          <w:color w:val="auto"/>
          <w:sz w:val="24"/>
          <w:highlight w:val="none"/>
        </w:rPr>
      </w:pPr>
      <w:r>
        <w:rPr>
          <w:rFonts w:hint="eastAsia"/>
          <w:color w:val="auto"/>
          <w:sz w:val="24"/>
          <w:highlight w:val="none"/>
        </w:rPr>
        <w:t>最高限价：</w:t>
      </w:r>
      <w:r>
        <w:rPr>
          <w:rFonts w:hint="eastAsia"/>
          <w:color w:val="auto"/>
          <w:sz w:val="24"/>
          <w:highlight w:val="none"/>
          <w:u w:val="single"/>
        </w:rPr>
        <w:t xml:space="preserve"> </w:t>
      </w:r>
      <w:r>
        <w:rPr>
          <w:rFonts w:hint="eastAsia"/>
          <w:color w:val="auto"/>
          <w:sz w:val="24"/>
          <w:highlight w:val="none"/>
          <w:u w:val="single"/>
          <w:lang w:val="en-US" w:eastAsia="zh-CN"/>
        </w:rPr>
        <w:t>100万</w:t>
      </w:r>
      <w:r>
        <w:rPr>
          <w:color w:val="auto"/>
          <w:sz w:val="24"/>
          <w:highlight w:val="none"/>
          <w:u w:val="single"/>
        </w:rPr>
        <w:t>元</w:t>
      </w:r>
    </w:p>
    <w:p w14:paraId="278A5F25">
      <w:pPr>
        <w:snapToGrid w:val="0"/>
        <w:spacing w:line="480" w:lineRule="exact"/>
        <w:ind w:firstLine="480" w:firstLineChars="200"/>
        <w:rPr>
          <w:color w:val="auto"/>
          <w:sz w:val="24"/>
          <w:highlight w:val="none"/>
        </w:rPr>
      </w:pPr>
      <w:r>
        <w:rPr>
          <w:color w:val="auto"/>
          <w:sz w:val="24"/>
          <w:highlight w:val="none"/>
        </w:rPr>
        <w:t>采购需求：详见</w:t>
      </w:r>
      <w:r>
        <w:rPr>
          <w:color w:val="auto"/>
          <w:spacing w:val="7"/>
          <w:kern w:val="0"/>
          <w:sz w:val="24"/>
          <w:highlight w:val="none"/>
        </w:rPr>
        <w:t>第三部分</w:t>
      </w:r>
      <w:r>
        <w:rPr>
          <w:color w:val="auto"/>
          <w:sz w:val="24"/>
          <w:highlight w:val="none"/>
        </w:rPr>
        <w:t>项目需求。</w:t>
      </w:r>
    </w:p>
    <w:p w14:paraId="3B2D0938">
      <w:pPr>
        <w:snapToGrid w:val="0"/>
        <w:spacing w:line="480" w:lineRule="exact"/>
        <w:ind w:firstLine="508" w:firstLineChars="200"/>
        <w:rPr>
          <w:color w:val="auto"/>
          <w:sz w:val="24"/>
          <w:highlight w:val="none"/>
        </w:rPr>
      </w:pPr>
      <w:r>
        <w:rPr>
          <w:rFonts w:hint="eastAsia" w:ascii="宋体" w:hAnsi="宋体"/>
          <w:color w:val="auto"/>
          <w:spacing w:val="7"/>
          <w:kern w:val="0"/>
          <w:sz w:val="24"/>
          <w:highlight w:val="none"/>
          <w:shd w:val="clear" w:color="auto" w:fill="FFFFFF"/>
          <w:lang w:val="en-US" w:eastAsia="zh-CN"/>
        </w:rPr>
        <w:t>本项目服务期限：3年，具体</w:t>
      </w:r>
      <w:r>
        <w:rPr>
          <w:color w:val="auto"/>
          <w:sz w:val="24"/>
          <w:highlight w:val="none"/>
        </w:rPr>
        <w:t>详见</w:t>
      </w:r>
      <w:r>
        <w:rPr>
          <w:color w:val="auto"/>
          <w:spacing w:val="7"/>
          <w:kern w:val="0"/>
          <w:sz w:val="24"/>
          <w:highlight w:val="none"/>
        </w:rPr>
        <w:t>第三部分</w:t>
      </w:r>
      <w:r>
        <w:rPr>
          <w:color w:val="auto"/>
          <w:sz w:val="24"/>
          <w:highlight w:val="none"/>
        </w:rPr>
        <w:t>项目需求。</w:t>
      </w:r>
    </w:p>
    <w:p w14:paraId="409225FB">
      <w:pPr>
        <w:snapToGrid w:val="0"/>
        <w:spacing w:line="480" w:lineRule="exact"/>
        <w:ind w:firstLine="480" w:firstLineChars="200"/>
        <w:rPr>
          <w:color w:val="auto"/>
          <w:sz w:val="24"/>
          <w:highlight w:val="none"/>
        </w:rPr>
      </w:pPr>
      <w:r>
        <w:rPr>
          <w:color w:val="auto"/>
          <w:sz w:val="24"/>
          <w:highlight w:val="none"/>
        </w:rPr>
        <w:t>本项目不接受联合体</w:t>
      </w:r>
      <w:r>
        <w:rPr>
          <w:rFonts w:hint="eastAsia"/>
          <w:color w:val="auto"/>
          <w:sz w:val="24"/>
          <w:highlight w:val="none"/>
        </w:rPr>
        <w:t>响应</w:t>
      </w:r>
      <w:r>
        <w:rPr>
          <w:color w:val="auto"/>
          <w:sz w:val="24"/>
          <w:highlight w:val="none"/>
        </w:rPr>
        <w:t>。</w:t>
      </w:r>
    </w:p>
    <w:p w14:paraId="3175605E">
      <w:pPr>
        <w:snapToGrid w:val="0"/>
        <w:spacing w:line="480" w:lineRule="exact"/>
        <w:ind w:firstLine="482" w:firstLineChars="200"/>
        <w:rPr>
          <w:b/>
          <w:color w:val="auto"/>
          <w:sz w:val="24"/>
          <w:highlight w:val="none"/>
        </w:rPr>
      </w:pPr>
      <w:r>
        <w:rPr>
          <w:b/>
          <w:color w:val="auto"/>
          <w:sz w:val="24"/>
          <w:highlight w:val="none"/>
        </w:rPr>
        <w:t>二、申请人的资格要求：</w:t>
      </w:r>
    </w:p>
    <w:p w14:paraId="6AFA63BD">
      <w:pPr>
        <w:snapToGrid w:val="0"/>
        <w:spacing w:line="480" w:lineRule="exact"/>
        <w:ind w:firstLine="480" w:firstLineChars="200"/>
        <w:rPr>
          <w:color w:val="auto"/>
          <w:sz w:val="24"/>
          <w:highlight w:val="none"/>
        </w:rPr>
      </w:pPr>
      <w:r>
        <w:rPr>
          <w:rFonts w:hint="eastAsia"/>
          <w:color w:val="auto"/>
          <w:sz w:val="24"/>
          <w:highlight w:val="none"/>
        </w:rPr>
        <w:t>1.</w:t>
      </w:r>
      <w:r>
        <w:rPr>
          <w:rFonts w:hint="eastAsia"/>
          <w:color w:val="auto"/>
          <w:sz w:val="24"/>
          <w:highlight w:val="none"/>
          <w:lang w:val="en-US" w:eastAsia="zh-CN"/>
        </w:rPr>
        <w:t>供应商</w:t>
      </w:r>
      <w:r>
        <w:rPr>
          <w:rFonts w:hint="eastAsia"/>
          <w:color w:val="auto"/>
          <w:sz w:val="24"/>
          <w:highlight w:val="none"/>
        </w:rPr>
        <w:t>须为在中华人民共和国境内注册，具有独立承担民事责任能力的主体；具有良好的商业信誉和健全的财务会计制度；具有履行合同所必需的设备和专业技术能力</w:t>
      </w:r>
      <w:r>
        <w:rPr>
          <w:rFonts w:hint="eastAsia"/>
          <w:color w:val="auto"/>
          <w:sz w:val="24"/>
          <w:highlight w:val="none"/>
          <w:lang w:eastAsia="zh-CN"/>
        </w:rPr>
        <w:t>；具</w:t>
      </w:r>
      <w:r>
        <w:rPr>
          <w:rFonts w:hint="eastAsia"/>
          <w:color w:val="auto"/>
          <w:sz w:val="24"/>
          <w:highlight w:val="none"/>
        </w:rPr>
        <w:t>有依法缴纳税收和社会保障资金的良好记录；参加采购活动前三年内，在经营活动中没有重大违法记录；</w:t>
      </w:r>
    </w:p>
    <w:p w14:paraId="1A50F0CC">
      <w:pPr>
        <w:snapToGrid w:val="0"/>
        <w:spacing w:line="480" w:lineRule="exact"/>
        <w:ind w:firstLine="480" w:firstLineChars="200"/>
        <w:rPr>
          <w:color w:val="auto"/>
          <w:sz w:val="24"/>
          <w:highlight w:val="none"/>
        </w:rPr>
      </w:pPr>
      <w:r>
        <w:rPr>
          <w:rFonts w:hint="eastAsia"/>
          <w:color w:val="auto"/>
          <w:sz w:val="24"/>
          <w:highlight w:val="none"/>
        </w:rPr>
        <w:t>2.未被“信用中国”网站（www.creditchina.gov.cn）列入失信被执行人、重大税收违法案件当事人名单；</w:t>
      </w:r>
    </w:p>
    <w:p w14:paraId="3787667B">
      <w:pPr>
        <w:snapToGrid w:val="0"/>
        <w:spacing w:line="480" w:lineRule="exact"/>
        <w:ind w:firstLine="480" w:firstLineChars="200"/>
        <w:rPr>
          <w:rFonts w:hint="eastAsia" w:ascii="Times New Roman" w:hAnsi="Times New Roman" w:eastAsia="宋体" w:cs="Times New Roman"/>
          <w:color w:val="auto"/>
          <w:sz w:val="24"/>
          <w:highlight w:val="none"/>
          <w:lang w:val="en-US" w:eastAsia="zh-CN"/>
        </w:rPr>
      </w:pPr>
      <w:r>
        <w:rPr>
          <w:rFonts w:hint="eastAsia"/>
          <w:color w:val="auto"/>
          <w:sz w:val="24"/>
          <w:highlight w:val="none"/>
        </w:rPr>
        <w:t>3.本项目的特定资格要求：</w:t>
      </w:r>
      <w:r>
        <w:rPr>
          <w:rFonts w:hint="eastAsia"/>
          <w:color w:val="auto"/>
          <w:sz w:val="24"/>
          <w:highlight w:val="none"/>
          <w:lang w:val="en-US" w:eastAsia="zh-CN"/>
        </w:rPr>
        <w:t>无</w:t>
      </w:r>
    </w:p>
    <w:p w14:paraId="59DCD321">
      <w:pPr>
        <w:snapToGrid w:val="0"/>
        <w:spacing w:line="480" w:lineRule="exact"/>
        <w:ind w:firstLine="482" w:firstLineChars="200"/>
        <w:rPr>
          <w:b/>
          <w:color w:val="auto"/>
          <w:sz w:val="24"/>
          <w:highlight w:val="none"/>
        </w:rPr>
      </w:pPr>
      <w:r>
        <w:rPr>
          <w:b/>
          <w:color w:val="auto"/>
          <w:sz w:val="24"/>
          <w:highlight w:val="none"/>
        </w:rPr>
        <w:t>三、获取</w:t>
      </w:r>
      <w:r>
        <w:rPr>
          <w:rFonts w:hint="eastAsia"/>
          <w:b/>
          <w:color w:val="auto"/>
          <w:sz w:val="24"/>
          <w:highlight w:val="none"/>
        </w:rPr>
        <w:t>采购</w:t>
      </w:r>
      <w:r>
        <w:rPr>
          <w:b/>
          <w:color w:val="auto"/>
          <w:sz w:val="24"/>
          <w:highlight w:val="none"/>
        </w:rPr>
        <w:t>文件</w:t>
      </w:r>
    </w:p>
    <w:p w14:paraId="3AAF6A55">
      <w:pPr>
        <w:snapToGrid w:val="0"/>
        <w:spacing w:line="480" w:lineRule="exact"/>
        <w:ind w:firstLine="482" w:firstLineChars="200"/>
        <w:rPr>
          <w:b/>
          <w:bCs/>
          <w:color w:val="auto"/>
          <w:sz w:val="24"/>
          <w:highlight w:val="none"/>
        </w:rPr>
      </w:pPr>
      <w:r>
        <w:rPr>
          <w:b/>
          <w:bCs/>
          <w:color w:val="auto"/>
          <w:sz w:val="24"/>
          <w:highlight w:val="none"/>
        </w:rPr>
        <w:t>时间：</w:t>
      </w:r>
      <w:r>
        <w:rPr>
          <w:rFonts w:hint="eastAsia"/>
          <w:b/>
          <w:bCs/>
          <w:color w:val="auto"/>
          <w:sz w:val="24"/>
          <w:highlight w:val="none"/>
          <w:u w:val="single"/>
        </w:rPr>
        <w:t>202</w:t>
      </w:r>
      <w:r>
        <w:rPr>
          <w:rFonts w:hint="eastAsia"/>
          <w:b/>
          <w:bCs/>
          <w:color w:val="auto"/>
          <w:sz w:val="24"/>
          <w:highlight w:val="none"/>
          <w:u w:val="single"/>
          <w:lang w:val="en-US" w:eastAsia="zh-CN"/>
        </w:rPr>
        <w:t>4</w:t>
      </w:r>
      <w:r>
        <w:rPr>
          <w:b/>
          <w:bCs/>
          <w:color w:val="auto"/>
          <w:sz w:val="24"/>
          <w:highlight w:val="none"/>
          <w:u w:val="single"/>
        </w:rPr>
        <w:t>年</w:t>
      </w:r>
      <w:r>
        <w:rPr>
          <w:rFonts w:hint="eastAsia"/>
          <w:b/>
          <w:bCs/>
          <w:color w:val="auto"/>
          <w:sz w:val="24"/>
          <w:highlight w:val="none"/>
          <w:u w:val="single"/>
          <w:lang w:val="en-US" w:eastAsia="zh-CN"/>
        </w:rPr>
        <w:t>10</w:t>
      </w:r>
      <w:r>
        <w:rPr>
          <w:b/>
          <w:bCs/>
          <w:color w:val="auto"/>
          <w:sz w:val="24"/>
          <w:highlight w:val="none"/>
          <w:u w:val="single"/>
        </w:rPr>
        <w:t>月</w:t>
      </w:r>
      <w:r>
        <w:rPr>
          <w:rFonts w:hint="eastAsia"/>
          <w:b/>
          <w:bCs/>
          <w:color w:val="auto"/>
          <w:sz w:val="24"/>
          <w:highlight w:val="none"/>
          <w:u w:val="single"/>
          <w:lang w:val="en-US" w:eastAsia="zh-CN"/>
        </w:rPr>
        <w:t>8</w:t>
      </w:r>
      <w:r>
        <w:rPr>
          <w:b/>
          <w:bCs/>
          <w:color w:val="auto"/>
          <w:sz w:val="24"/>
          <w:highlight w:val="none"/>
          <w:u w:val="single"/>
        </w:rPr>
        <w:t>日至</w:t>
      </w:r>
      <w:r>
        <w:rPr>
          <w:rFonts w:hint="eastAsia"/>
          <w:b/>
          <w:bCs/>
          <w:color w:val="auto"/>
          <w:sz w:val="24"/>
          <w:highlight w:val="none"/>
          <w:u w:val="single"/>
        </w:rPr>
        <w:t>202</w:t>
      </w:r>
      <w:r>
        <w:rPr>
          <w:rFonts w:hint="eastAsia"/>
          <w:b/>
          <w:bCs/>
          <w:color w:val="auto"/>
          <w:sz w:val="24"/>
          <w:highlight w:val="none"/>
          <w:u w:val="single"/>
          <w:lang w:val="en-US" w:eastAsia="zh-CN"/>
        </w:rPr>
        <w:t>4</w:t>
      </w:r>
      <w:r>
        <w:rPr>
          <w:b/>
          <w:bCs/>
          <w:color w:val="auto"/>
          <w:sz w:val="24"/>
          <w:highlight w:val="none"/>
          <w:u w:val="single"/>
        </w:rPr>
        <w:t>年</w:t>
      </w:r>
      <w:r>
        <w:rPr>
          <w:rFonts w:hint="eastAsia"/>
          <w:b/>
          <w:bCs/>
          <w:color w:val="auto"/>
          <w:sz w:val="24"/>
          <w:highlight w:val="none"/>
          <w:u w:val="single"/>
          <w:lang w:val="en-US" w:eastAsia="zh-CN"/>
        </w:rPr>
        <w:t>10</w:t>
      </w:r>
      <w:r>
        <w:rPr>
          <w:b/>
          <w:bCs/>
          <w:color w:val="auto"/>
          <w:sz w:val="24"/>
          <w:highlight w:val="none"/>
          <w:u w:val="single"/>
        </w:rPr>
        <w:t>月</w:t>
      </w:r>
      <w:r>
        <w:rPr>
          <w:rFonts w:hint="eastAsia"/>
          <w:b/>
          <w:bCs/>
          <w:color w:val="auto"/>
          <w:sz w:val="24"/>
          <w:highlight w:val="none"/>
          <w:u w:val="single"/>
          <w:lang w:val="en-US" w:eastAsia="zh-CN"/>
        </w:rPr>
        <w:t>14</w:t>
      </w:r>
      <w:r>
        <w:rPr>
          <w:b/>
          <w:bCs/>
          <w:color w:val="auto"/>
          <w:sz w:val="24"/>
          <w:highlight w:val="none"/>
          <w:u w:val="single"/>
        </w:rPr>
        <w:t>日</w:t>
      </w:r>
      <w:r>
        <w:rPr>
          <w:rFonts w:hint="eastAsia"/>
          <w:b/>
          <w:bCs/>
          <w:color w:val="auto"/>
          <w:sz w:val="24"/>
          <w:highlight w:val="none"/>
          <w:u w:val="single"/>
          <w:lang w:eastAsia="zh-CN"/>
        </w:rPr>
        <w:t>（</w:t>
      </w:r>
      <w:r>
        <w:rPr>
          <w:rFonts w:hint="eastAsia"/>
          <w:b/>
          <w:bCs/>
          <w:color w:val="auto"/>
          <w:sz w:val="24"/>
          <w:highlight w:val="none"/>
          <w:u w:val="single"/>
          <w:lang w:val="en-US" w:eastAsia="zh-CN"/>
        </w:rPr>
        <w:t>五个工作日</w:t>
      </w:r>
      <w:r>
        <w:rPr>
          <w:rFonts w:hint="eastAsia"/>
          <w:b/>
          <w:bCs/>
          <w:color w:val="auto"/>
          <w:sz w:val="24"/>
          <w:highlight w:val="none"/>
          <w:u w:val="single"/>
          <w:lang w:eastAsia="zh-CN"/>
        </w:rPr>
        <w:t>）</w:t>
      </w:r>
      <w:r>
        <w:rPr>
          <w:b/>
          <w:bCs/>
          <w:color w:val="auto"/>
          <w:sz w:val="24"/>
          <w:highlight w:val="none"/>
        </w:rPr>
        <w:t>。</w:t>
      </w:r>
    </w:p>
    <w:p w14:paraId="6D92A745">
      <w:pPr>
        <w:snapToGrid w:val="0"/>
        <w:spacing w:line="480" w:lineRule="exact"/>
        <w:ind w:firstLine="482" w:firstLineChars="200"/>
        <w:rPr>
          <w:rFonts w:hint="default" w:eastAsia="宋体"/>
          <w:b/>
          <w:bCs/>
          <w:color w:val="auto"/>
          <w:sz w:val="24"/>
          <w:highlight w:val="none"/>
          <w:lang w:val="en-US" w:eastAsia="zh-CN"/>
        </w:rPr>
      </w:pPr>
      <w:r>
        <w:rPr>
          <w:rFonts w:hint="eastAsia"/>
          <w:b/>
          <w:bCs/>
          <w:color w:val="auto"/>
          <w:sz w:val="24"/>
          <w:highlight w:val="none"/>
        </w:rPr>
        <w:t>地点：南通网</w:t>
      </w:r>
      <w:r>
        <w:rPr>
          <w:rFonts w:hint="eastAsia"/>
          <w:b/>
          <w:bCs/>
          <w:color w:val="auto"/>
          <w:sz w:val="24"/>
          <w:highlight w:val="none"/>
          <w:lang w:eastAsia="zh-CN"/>
        </w:rPr>
        <w:t>、</w:t>
      </w:r>
      <w:r>
        <w:rPr>
          <w:rFonts w:hint="eastAsia"/>
          <w:b/>
          <w:bCs/>
          <w:color w:val="auto"/>
          <w:sz w:val="24"/>
          <w:highlight w:val="none"/>
          <w:lang w:val="en-US" w:eastAsia="zh-CN"/>
        </w:rPr>
        <w:t>南通市公共资源交易网</w:t>
      </w:r>
    </w:p>
    <w:p w14:paraId="46052DC0">
      <w:pPr>
        <w:snapToGrid w:val="0"/>
        <w:spacing w:line="480" w:lineRule="exact"/>
        <w:ind w:firstLine="482" w:firstLineChars="200"/>
        <w:rPr>
          <w:rFonts w:hint="default" w:eastAsia="宋体"/>
          <w:b/>
          <w:bCs/>
          <w:color w:val="auto"/>
          <w:sz w:val="24"/>
          <w:highlight w:val="none"/>
          <w:lang w:val="en-US" w:eastAsia="zh-CN"/>
        </w:rPr>
      </w:pPr>
      <w:r>
        <w:rPr>
          <w:rFonts w:hint="eastAsia"/>
          <w:b/>
          <w:bCs/>
          <w:color w:val="auto"/>
          <w:sz w:val="24"/>
          <w:highlight w:val="none"/>
        </w:rPr>
        <w:t>方式：</w:t>
      </w:r>
      <w:r>
        <w:rPr>
          <w:rFonts w:hint="eastAsia"/>
          <w:b/>
          <w:bCs/>
          <w:color w:val="auto"/>
          <w:sz w:val="24"/>
          <w:highlight w:val="none"/>
          <w:lang w:val="en-US" w:eastAsia="zh-CN"/>
        </w:rPr>
        <w:t>自行下载</w:t>
      </w:r>
    </w:p>
    <w:p w14:paraId="6D0BB673">
      <w:pPr>
        <w:snapToGrid w:val="0"/>
        <w:spacing w:line="480" w:lineRule="exact"/>
        <w:ind w:firstLine="482" w:firstLineChars="200"/>
        <w:rPr>
          <w:rFonts w:hint="default" w:eastAsia="宋体"/>
          <w:b/>
          <w:bCs/>
          <w:color w:val="auto"/>
          <w:sz w:val="24"/>
          <w:highlight w:val="none"/>
          <w:lang w:val="en-US" w:eastAsia="zh-CN"/>
        </w:rPr>
      </w:pPr>
      <w:r>
        <w:rPr>
          <w:b/>
          <w:bCs/>
          <w:color w:val="auto"/>
          <w:sz w:val="24"/>
          <w:highlight w:val="none"/>
        </w:rPr>
        <w:t>售价：</w:t>
      </w:r>
      <w:r>
        <w:rPr>
          <w:rFonts w:hint="eastAsia"/>
          <w:b/>
          <w:bCs/>
          <w:color w:val="auto"/>
          <w:sz w:val="24"/>
          <w:highlight w:val="none"/>
          <w:lang w:val="en-US" w:eastAsia="zh-CN"/>
        </w:rPr>
        <w:t>免费</w:t>
      </w:r>
      <w:bookmarkStart w:id="10" w:name="_GoBack"/>
      <w:bookmarkEnd w:id="10"/>
    </w:p>
    <w:p w14:paraId="310EDF35">
      <w:pPr>
        <w:snapToGrid w:val="0"/>
        <w:spacing w:line="480" w:lineRule="exact"/>
        <w:ind w:firstLine="482" w:firstLineChars="200"/>
        <w:rPr>
          <w:b/>
          <w:color w:val="auto"/>
          <w:sz w:val="24"/>
          <w:highlight w:val="none"/>
        </w:rPr>
      </w:pPr>
      <w:r>
        <w:rPr>
          <w:b/>
          <w:color w:val="auto"/>
          <w:sz w:val="24"/>
          <w:highlight w:val="none"/>
        </w:rPr>
        <w:t>四、</w:t>
      </w:r>
      <w:r>
        <w:rPr>
          <w:rFonts w:hint="eastAsia"/>
          <w:b/>
          <w:color w:val="auto"/>
          <w:sz w:val="24"/>
          <w:highlight w:val="none"/>
        </w:rPr>
        <w:t>响应</w:t>
      </w:r>
      <w:r>
        <w:rPr>
          <w:b/>
          <w:color w:val="auto"/>
          <w:sz w:val="24"/>
          <w:highlight w:val="none"/>
        </w:rPr>
        <w:t>文件</w:t>
      </w:r>
      <w:r>
        <w:rPr>
          <w:rFonts w:hint="eastAsia"/>
          <w:b/>
          <w:color w:val="auto"/>
          <w:sz w:val="24"/>
          <w:highlight w:val="none"/>
        </w:rPr>
        <w:t>提交</w:t>
      </w:r>
    </w:p>
    <w:p w14:paraId="7FD2366A">
      <w:pPr>
        <w:snapToGrid w:val="0"/>
        <w:spacing w:line="480" w:lineRule="exact"/>
        <w:ind w:firstLine="480" w:firstLineChars="200"/>
        <w:rPr>
          <w:color w:val="auto"/>
          <w:sz w:val="24"/>
          <w:highlight w:val="none"/>
        </w:rPr>
      </w:pPr>
      <w:r>
        <w:rPr>
          <w:rFonts w:hint="eastAsia"/>
          <w:color w:val="auto"/>
          <w:sz w:val="24"/>
          <w:highlight w:val="none"/>
        </w:rPr>
        <w:t>截止时间：</w:t>
      </w:r>
      <w:r>
        <w:rPr>
          <w:rFonts w:hint="eastAsia"/>
          <w:b/>
          <w:bCs/>
          <w:color w:val="auto"/>
          <w:sz w:val="24"/>
          <w:highlight w:val="none"/>
          <w:u w:val="single"/>
        </w:rPr>
        <w:t>202</w:t>
      </w:r>
      <w:r>
        <w:rPr>
          <w:rFonts w:hint="eastAsia"/>
          <w:b/>
          <w:bCs/>
          <w:color w:val="auto"/>
          <w:sz w:val="24"/>
          <w:highlight w:val="none"/>
          <w:u w:val="single"/>
          <w:lang w:val="en-US" w:eastAsia="zh-CN"/>
        </w:rPr>
        <w:t>4</w:t>
      </w:r>
      <w:r>
        <w:rPr>
          <w:b/>
          <w:bCs/>
          <w:color w:val="auto"/>
          <w:sz w:val="24"/>
          <w:highlight w:val="none"/>
          <w:u w:val="single"/>
        </w:rPr>
        <w:t>年</w:t>
      </w:r>
      <w:r>
        <w:rPr>
          <w:rFonts w:hint="eastAsia"/>
          <w:b/>
          <w:bCs/>
          <w:color w:val="auto"/>
          <w:sz w:val="24"/>
          <w:highlight w:val="none"/>
          <w:u w:val="single"/>
          <w:lang w:val="en-US" w:eastAsia="zh-CN"/>
        </w:rPr>
        <w:t>10</w:t>
      </w:r>
      <w:r>
        <w:rPr>
          <w:b/>
          <w:bCs/>
          <w:color w:val="auto"/>
          <w:sz w:val="24"/>
          <w:highlight w:val="none"/>
          <w:u w:val="single"/>
        </w:rPr>
        <w:t>月</w:t>
      </w:r>
      <w:r>
        <w:rPr>
          <w:rFonts w:hint="eastAsia"/>
          <w:b/>
          <w:bCs/>
          <w:color w:val="auto"/>
          <w:sz w:val="24"/>
          <w:highlight w:val="none"/>
          <w:u w:val="single"/>
          <w:lang w:val="en-US" w:eastAsia="zh-CN"/>
        </w:rPr>
        <w:t>22</w:t>
      </w:r>
      <w:r>
        <w:rPr>
          <w:b/>
          <w:bCs/>
          <w:color w:val="auto"/>
          <w:sz w:val="24"/>
          <w:highlight w:val="none"/>
          <w:u w:val="single"/>
        </w:rPr>
        <w:t>日</w:t>
      </w:r>
      <w:r>
        <w:rPr>
          <w:rFonts w:hint="eastAsia"/>
          <w:b/>
          <w:bCs/>
          <w:color w:val="auto"/>
          <w:sz w:val="24"/>
          <w:highlight w:val="none"/>
          <w:u w:val="single"/>
          <w:lang w:val="en-US" w:eastAsia="zh-CN"/>
        </w:rPr>
        <w:t>14</w:t>
      </w:r>
      <w:r>
        <w:rPr>
          <w:b/>
          <w:bCs/>
          <w:color w:val="auto"/>
          <w:sz w:val="24"/>
          <w:highlight w:val="none"/>
          <w:u w:val="single"/>
        </w:rPr>
        <w:t>点</w:t>
      </w:r>
      <w:r>
        <w:rPr>
          <w:rFonts w:hint="eastAsia"/>
          <w:b/>
          <w:bCs/>
          <w:color w:val="auto"/>
          <w:sz w:val="24"/>
          <w:highlight w:val="none"/>
          <w:u w:val="single"/>
          <w:lang w:val="en-US" w:eastAsia="zh-CN"/>
        </w:rPr>
        <w:t>00</w:t>
      </w:r>
      <w:r>
        <w:rPr>
          <w:b/>
          <w:bCs/>
          <w:color w:val="auto"/>
          <w:sz w:val="24"/>
          <w:highlight w:val="none"/>
          <w:u w:val="single"/>
        </w:rPr>
        <w:t>分</w:t>
      </w:r>
      <w:r>
        <w:rPr>
          <w:rFonts w:hint="eastAsia"/>
          <w:b/>
          <w:bCs/>
          <w:color w:val="auto"/>
          <w:sz w:val="24"/>
          <w:highlight w:val="none"/>
          <w:u w:val="single"/>
          <w:lang w:val="en-US" w:eastAsia="zh-CN"/>
        </w:rPr>
        <w:t>00秒</w:t>
      </w:r>
      <w:r>
        <w:rPr>
          <w:color w:val="auto"/>
          <w:sz w:val="24"/>
          <w:highlight w:val="none"/>
        </w:rPr>
        <w:t>（北京时间）</w:t>
      </w:r>
      <w:r>
        <w:rPr>
          <w:rFonts w:hint="eastAsia"/>
          <w:color w:val="auto"/>
          <w:sz w:val="24"/>
          <w:highlight w:val="none"/>
        </w:rPr>
        <w:t>，</w:t>
      </w:r>
      <w:r>
        <w:rPr>
          <w:color w:val="auto"/>
          <w:sz w:val="24"/>
          <w:highlight w:val="none"/>
        </w:rPr>
        <w:t>逾时拒绝接收</w:t>
      </w:r>
      <w:r>
        <w:rPr>
          <w:rFonts w:hint="eastAsia"/>
          <w:color w:val="auto"/>
          <w:sz w:val="24"/>
          <w:highlight w:val="none"/>
        </w:rPr>
        <w:t>磋商</w:t>
      </w:r>
      <w:r>
        <w:rPr>
          <w:color w:val="auto"/>
          <w:sz w:val="24"/>
          <w:highlight w:val="none"/>
        </w:rPr>
        <w:t>响应文件</w:t>
      </w:r>
      <w:r>
        <w:rPr>
          <w:rFonts w:hint="eastAsia"/>
          <w:color w:val="auto"/>
          <w:sz w:val="24"/>
          <w:highlight w:val="none"/>
        </w:rPr>
        <w:t>。</w:t>
      </w:r>
    </w:p>
    <w:p w14:paraId="21F2ED72">
      <w:pPr>
        <w:snapToGrid w:val="0"/>
        <w:spacing w:line="480" w:lineRule="exact"/>
        <w:ind w:firstLine="480" w:firstLineChars="200"/>
        <w:rPr>
          <w:color w:val="auto"/>
          <w:sz w:val="24"/>
          <w:highlight w:val="none"/>
        </w:rPr>
      </w:pPr>
      <w:r>
        <w:rPr>
          <w:color w:val="auto"/>
          <w:sz w:val="24"/>
          <w:highlight w:val="none"/>
        </w:rPr>
        <w:t>地点：</w:t>
      </w:r>
      <w:r>
        <w:rPr>
          <w:rFonts w:hint="eastAsia"/>
          <w:b/>
          <w:bCs/>
          <w:color w:val="auto"/>
          <w:sz w:val="24"/>
          <w:highlight w:val="none"/>
          <w:u w:val="single"/>
        </w:rPr>
        <w:t>南通世纪大道8号，南通报业大厦2415会议室</w:t>
      </w:r>
      <w:r>
        <w:rPr>
          <w:color w:val="auto"/>
          <w:sz w:val="24"/>
          <w:highlight w:val="none"/>
        </w:rPr>
        <w:t>，如有变动另行通知。</w:t>
      </w:r>
    </w:p>
    <w:p w14:paraId="598E6722">
      <w:pPr>
        <w:snapToGrid w:val="0"/>
        <w:spacing w:line="480" w:lineRule="exact"/>
        <w:ind w:firstLine="482" w:firstLineChars="200"/>
        <w:rPr>
          <w:b/>
          <w:color w:val="auto"/>
          <w:sz w:val="24"/>
          <w:highlight w:val="none"/>
        </w:rPr>
      </w:pPr>
      <w:r>
        <w:rPr>
          <w:rFonts w:hint="eastAsia"/>
          <w:b/>
          <w:color w:val="auto"/>
          <w:sz w:val="24"/>
          <w:highlight w:val="none"/>
        </w:rPr>
        <w:t>五、开启</w:t>
      </w:r>
    </w:p>
    <w:p w14:paraId="7F4FC957">
      <w:pPr>
        <w:snapToGrid w:val="0"/>
        <w:spacing w:line="480" w:lineRule="exact"/>
        <w:ind w:firstLine="480" w:firstLineChars="200"/>
        <w:rPr>
          <w:color w:val="auto"/>
          <w:sz w:val="24"/>
          <w:highlight w:val="none"/>
        </w:rPr>
      </w:pPr>
      <w:r>
        <w:rPr>
          <w:rFonts w:hint="eastAsia"/>
          <w:color w:val="auto"/>
          <w:sz w:val="24"/>
          <w:highlight w:val="none"/>
        </w:rPr>
        <w:t>时间：</w:t>
      </w:r>
      <w:r>
        <w:rPr>
          <w:rFonts w:hint="eastAsia"/>
          <w:b/>
          <w:bCs/>
          <w:color w:val="auto"/>
          <w:sz w:val="24"/>
          <w:highlight w:val="none"/>
          <w:u w:val="single"/>
        </w:rPr>
        <w:t>202</w:t>
      </w:r>
      <w:r>
        <w:rPr>
          <w:rFonts w:hint="eastAsia"/>
          <w:b/>
          <w:bCs/>
          <w:color w:val="auto"/>
          <w:sz w:val="24"/>
          <w:highlight w:val="none"/>
          <w:u w:val="single"/>
          <w:lang w:val="en-US" w:eastAsia="zh-CN"/>
        </w:rPr>
        <w:t>4</w:t>
      </w:r>
      <w:r>
        <w:rPr>
          <w:b/>
          <w:bCs/>
          <w:color w:val="auto"/>
          <w:sz w:val="24"/>
          <w:highlight w:val="none"/>
          <w:u w:val="single"/>
        </w:rPr>
        <w:t>年</w:t>
      </w:r>
      <w:r>
        <w:rPr>
          <w:rFonts w:hint="eastAsia"/>
          <w:b/>
          <w:bCs/>
          <w:color w:val="auto"/>
          <w:sz w:val="24"/>
          <w:highlight w:val="none"/>
          <w:u w:val="single"/>
          <w:lang w:val="en-US" w:eastAsia="zh-CN"/>
        </w:rPr>
        <w:t>10</w:t>
      </w:r>
      <w:r>
        <w:rPr>
          <w:b/>
          <w:bCs/>
          <w:color w:val="auto"/>
          <w:sz w:val="24"/>
          <w:highlight w:val="none"/>
          <w:u w:val="single"/>
        </w:rPr>
        <w:t>月</w:t>
      </w:r>
      <w:r>
        <w:rPr>
          <w:rFonts w:hint="eastAsia"/>
          <w:b/>
          <w:bCs/>
          <w:color w:val="auto"/>
          <w:sz w:val="24"/>
          <w:highlight w:val="none"/>
          <w:u w:val="single"/>
          <w:lang w:val="en-US" w:eastAsia="zh-CN"/>
        </w:rPr>
        <w:t>22</w:t>
      </w:r>
      <w:r>
        <w:rPr>
          <w:b/>
          <w:bCs/>
          <w:color w:val="auto"/>
          <w:sz w:val="24"/>
          <w:highlight w:val="none"/>
          <w:u w:val="single"/>
        </w:rPr>
        <w:t>日</w:t>
      </w:r>
      <w:r>
        <w:rPr>
          <w:rFonts w:hint="eastAsia"/>
          <w:b/>
          <w:bCs/>
          <w:color w:val="auto"/>
          <w:sz w:val="24"/>
          <w:highlight w:val="none"/>
          <w:u w:val="single"/>
          <w:lang w:val="en-US" w:eastAsia="zh-CN"/>
        </w:rPr>
        <w:t>14</w:t>
      </w:r>
      <w:r>
        <w:rPr>
          <w:b/>
          <w:bCs/>
          <w:color w:val="auto"/>
          <w:sz w:val="24"/>
          <w:highlight w:val="none"/>
          <w:u w:val="single"/>
        </w:rPr>
        <w:t>点</w:t>
      </w:r>
      <w:r>
        <w:rPr>
          <w:rFonts w:hint="eastAsia"/>
          <w:b/>
          <w:bCs/>
          <w:color w:val="auto"/>
          <w:sz w:val="24"/>
          <w:highlight w:val="none"/>
          <w:u w:val="single"/>
          <w:lang w:val="en-US" w:eastAsia="zh-CN"/>
        </w:rPr>
        <w:t>00</w:t>
      </w:r>
      <w:r>
        <w:rPr>
          <w:b/>
          <w:bCs/>
          <w:color w:val="auto"/>
          <w:sz w:val="24"/>
          <w:highlight w:val="none"/>
          <w:u w:val="single"/>
        </w:rPr>
        <w:t>分</w:t>
      </w:r>
      <w:r>
        <w:rPr>
          <w:color w:val="auto"/>
          <w:sz w:val="24"/>
          <w:highlight w:val="none"/>
        </w:rPr>
        <w:t>（北京时间）</w:t>
      </w:r>
    </w:p>
    <w:p w14:paraId="783D10E7">
      <w:pPr>
        <w:snapToGrid w:val="0"/>
        <w:spacing w:line="480" w:lineRule="exact"/>
        <w:ind w:firstLine="480" w:firstLineChars="200"/>
        <w:rPr>
          <w:color w:val="auto"/>
          <w:sz w:val="24"/>
          <w:highlight w:val="none"/>
        </w:rPr>
      </w:pPr>
      <w:r>
        <w:rPr>
          <w:rFonts w:hint="eastAsia"/>
          <w:color w:val="auto"/>
          <w:sz w:val="24"/>
          <w:highlight w:val="none"/>
        </w:rPr>
        <w:t>地点：</w:t>
      </w:r>
      <w:r>
        <w:rPr>
          <w:rFonts w:hint="eastAsia"/>
          <w:b/>
          <w:bCs/>
          <w:color w:val="auto"/>
          <w:sz w:val="24"/>
          <w:highlight w:val="none"/>
          <w:u w:val="single"/>
        </w:rPr>
        <w:t>南通世纪大道8号，南通报业大厦2415会议室</w:t>
      </w:r>
      <w:r>
        <w:rPr>
          <w:color w:val="auto"/>
          <w:sz w:val="24"/>
          <w:highlight w:val="none"/>
        </w:rPr>
        <w:t>。</w:t>
      </w:r>
    </w:p>
    <w:p w14:paraId="2E042FC6">
      <w:pPr>
        <w:snapToGrid w:val="0"/>
        <w:spacing w:line="480" w:lineRule="exact"/>
        <w:ind w:firstLine="482" w:firstLineChars="200"/>
        <w:rPr>
          <w:b/>
          <w:color w:val="auto"/>
          <w:sz w:val="24"/>
          <w:highlight w:val="none"/>
        </w:rPr>
      </w:pPr>
      <w:r>
        <w:rPr>
          <w:rFonts w:hint="eastAsia"/>
          <w:b/>
          <w:color w:val="auto"/>
          <w:sz w:val="24"/>
          <w:highlight w:val="none"/>
        </w:rPr>
        <w:t>六</w:t>
      </w:r>
      <w:r>
        <w:rPr>
          <w:b/>
          <w:color w:val="auto"/>
          <w:sz w:val="24"/>
          <w:highlight w:val="none"/>
        </w:rPr>
        <w:t>、公告期限</w:t>
      </w:r>
    </w:p>
    <w:p w14:paraId="32546660">
      <w:pPr>
        <w:snapToGrid w:val="0"/>
        <w:spacing w:line="480" w:lineRule="exact"/>
        <w:ind w:firstLine="480" w:firstLineChars="200"/>
        <w:rPr>
          <w:color w:val="auto"/>
          <w:sz w:val="24"/>
          <w:highlight w:val="none"/>
        </w:rPr>
      </w:pPr>
      <w:r>
        <w:rPr>
          <w:color w:val="auto"/>
          <w:sz w:val="24"/>
          <w:highlight w:val="none"/>
        </w:rPr>
        <w:t>自本公告发布之日起</w:t>
      </w:r>
      <w:r>
        <w:rPr>
          <w:rFonts w:hint="eastAsia"/>
          <w:color w:val="auto"/>
          <w:sz w:val="24"/>
          <w:highlight w:val="none"/>
        </w:rPr>
        <w:t>3</w:t>
      </w:r>
      <w:r>
        <w:rPr>
          <w:color w:val="auto"/>
          <w:sz w:val="24"/>
          <w:highlight w:val="none"/>
        </w:rPr>
        <w:t>个工作日。</w:t>
      </w:r>
    </w:p>
    <w:p w14:paraId="4938E7A2">
      <w:pPr>
        <w:snapToGrid w:val="0"/>
        <w:spacing w:line="480" w:lineRule="exact"/>
        <w:ind w:firstLine="482" w:firstLineChars="200"/>
        <w:rPr>
          <w:b/>
          <w:color w:val="auto"/>
          <w:sz w:val="24"/>
          <w:highlight w:val="none"/>
        </w:rPr>
      </w:pPr>
      <w:r>
        <w:rPr>
          <w:rFonts w:hint="eastAsia"/>
          <w:b/>
          <w:color w:val="auto"/>
          <w:sz w:val="24"/>
          <w:highlight w:val="none"/>
        </w:rPr>
        <w:t>七</w:t>
      </w:r>
      <w:r>
        <w:rPr>
          <w:b/>
          <w:color w:val="auto"/>
          <w:sz w:val="24"/>
          <w:highlight w:val="none"/>
        </w:rPr>
        <w:t>、其他补充事宜</w:t>
      </w:r>
    </w:p>
    <w:p w14:paraId="6FBBF2AF">
      <w:pPr>
        <w:snapToGrid w:val="0"/>
        <w:spacing w:line="480" w:lineRule="exact"/>
        <w:ind w:firstLine="480" w:firstLineChars="200"/>
        <w:rPr>
          <w:color w:val="auto"/>
          <w:sz w:val="24"/>
          <w:highlight w:val="none"/>
        </w:rPr>
      </w:pPr>
      <w:r>
        <w:rPr>
          <w:color w:val="auto"/>
          <w:sz w:val="24"/>
          <w:highlight w:val="none"/>
        </w:rPr>
        <w:t>1</w:t>
      </w:r>
      <w:r>
        <w:rPr>
          <w:rFonts w:hint="eastAsia"/>
          <w:color w:val="auto"/>
          <w:sz w:val="24"/>
          <w:highlight w:val="none"/>
        </w:rPr>
        <w:t>.</w:t>
      </w:r>
      <w:r>
        <w:rPr>
          <w:color w:val="auto"/>
          <w:sz w:val="24"/>
          <w:highlight w:val="none"/>
        </w:rPr>
        <w:t>保证金：免收</w:t>
      </w:r>
    </w:p>
    <w:p w14:paraId="0455E9B0">
      <w:pPr>
        <w:snapToGrid w:val="0"/>
        <w:spacing w:line="480" w:lineRule="exact"/>
        <w:ind w:firstLine="480" w:firstLineChars="200"/>
        <w:rPr>
          <w:b/>
          <w:color w:val="auto"/>
          <w:sz w:val="24"/>
          <w:highlight w:val="none"/>
        </w:rPr>
      </w:pPr>
      <w:r>
        <w:rPr>
          <w:color w:val="auto"/>
          <w:sz w:val="24"/>
          <w:highlight w:val="none"/>
        </w:rPr>
        <w:t>2</w:t>
      </w:r>
      <w:r>
        <w:rPr>
          <w:rFonts w:hint="eastAsia"/>
          <w:color w:val="auto"/>
          <w:sz w:val="24"/>
          <w:highlight w:val="none"/>
        </w:rPr>
        <w:t>.</w:t>
      </w:r>
      <w:r>
        <w:rPr>
          <w:color w:val="auto"/>
          <w:sz w:val="24"/>
          <w:highlight w:val="none"/>
        </w:rPr>
        <w:t>项目</w:t>
      </w:r>
      <w:r>
        <w:rPr>
          <w:rFonts w:hint="eastAsia"/>
          <w:color w:val="auto"/>
          <w:sz w:val="24"/>
          <w:highlight w:val="none"/>
        </w:rPr>
        <w:t>磋商</w:t>
      </w:r>
      <w:r>
        <w:rPr>
          <w:color w:val="auto"/>
          <w:sz w:val="24"/>
          <w:highlight w:val="none"/>
        </w:rPr>
        <w:t>活动模式：</w:t>
      </w:r>
      <w:r>
        <w:rPr>
          <w:bCs/>
          <w:color w:val="auto"/>
          <w:sz w:val="24"/>
          <w:highlight w:val="none"/>
        </w:rPr>
        <w:t>现场模式</w:t>
      </w:r>
    </w:p>
    <w:p w14:paraId="7A6B0F06">
      <w:pPr>
        <w:snapToGrid w:val="0"/>
        <w:spacing w:line="480" w:lineRule="exact"/>
        <w:ind w:firstLine="480" w:firstLineChars="200"/>
        <w:rPr>
          <w:color w:val="auto"/>
          <w:sz w:val="24"/>
          <w:highlight w:val="none"/>
        </w:rPr>
      </w:pPr>
      <w:r>
        <w:rPr>
          <w:color w:val="auto"/>
          <w:sz w:val="24"/>
          <w:highlight w:val="none"/>
        </w:rPr>
        <w:t>3</w:t>
      </w:r>
      <w:r>
        <w:rPr>
          <w:rFonts w:hint="eastAsia"/>
          <w:color w:val="auto"/>
          <w:sz w:val="24"/>
          <w:highlight w:val="none"/>
        </w:rPr>
        <w:t>.</w:t>
      </w:r>
      <w:r>
        <w:rPr>
          <w:color w:val="auto"/>
          <w:sz w:val="24"/>
          <w:highlight w:val="none"/>
        </w:rPr>
        <w:t>项目演示、样品、答辩等：无</w:t>
      </w:r>
    </w:p>
    <w:p w14:paraId="107D3655">
      <w:pPr>
        <w:snapToGrid w:val="0"/>
        <w:spacing w:line="480" w:lineRule="exact"/>
        <w:ind w:firstLine="480" w:firstLineChars="200"/>
        <w:rPr>
          <w:color w:val="auto"/>
          <w:sz w:val="24"/>
          <w:highlight w:val="none"/>
        </w:rPr>
      </w:pPr>
      <w:r>
        <w:rPr>
          <w:color w:val="auto"/>
          <w:sz w:val="24"/>
          <w:highlight w:val="none"/>
        </w:rPr>
        <w:t>4</w:t>
      </w:r>
      <w:r>
        <w:rPr>
          <w:rFonts w:hint="eastAsia"/>
          <w:color w:val="auto"/>
          <w:sz w:val="24"/>
          <w:highlight w:val="none"/>
        </w:rPr>
        <w:t>.</w:t>
      </w:r>
      <w:r>
        <w:rPr>
          <w:color w:val="auto"/>
          <w:sz w:val="24"/>
          <w:highlight w:val="none"/>
        </w:rPr>
        <w:t>对项目需求部分（供应商其他资格要求、项目需求、评分标准）的询问、质疑请向采购人提出，由采购人负责答复；对项目</w:t>
      </w:r>
      <w:r>
        <w:rPr>
          <w:rFonts w:hint="eastAsia"/>
          <w:color w:val="auto"/>
          <w:sz w:val="24"/>
          <w:highlight w:val="none"/>
        </w:rPr>
        <w:t>采购</w:t>
      </w:r>
      <w:r>
        <w:rPr>
          <w:color w:val="auto"/>
          <w:sz w:val="24"/>
          <w:highlight w:val="none"/>
        </w:rPr>
        <w:t>文件其它部分的询问请向</w:t>
      </w:r>
      <w:r>
        <w:rPr>
          <w:rFonts w:hint="eastAsia"/>
          <w:color w:val="auto"/>
          <w:sz w:val="24"/>
          <w:highlight w:val="none"/>
        </w:rPr>
        <w:t>采购</w:t>
      </w:r>
      <w:r>
        <w:rPr>
          <w:color w:val="auto"/>
          <w:sz w:val="24"/>
          <w:highlight w:val="none"/>
        </w:rPr>
        <w:t>人或项目</w:t>
      </w:r>
      <w:r>
        <w:rPr>
          <w:rFonts w:hint="eastAsia"/>
          <w:color w:val="auto"/>
          <w:sz w:val="24"/>
          <w:highlight w:val="none"/>
        </w:rPr>
        <w:t>联系</w:t>
      </w:r>
      <w:r>
        <w:rPr>
          <w:color w:val="auto"/>
          <w:sz w:val="24"/>
          <w:highlight w:val="none"/>
        </w:rPr>
        <w:t>人提出。</w:t>
      </w:r>
    </w:p>
    <w:p w14:paraId="721AB723">
      <w:pPr>
        <w:snapToGrid w:val="0"/>
        <w:spacing w:line="480" w:lineRule="exact"/>
        <w:ind w:firstLine="480" w:firstLineChars="200"/>
        <w:rPr>
          <w:color w:val="auto"/>
          <w:sz w:val="24"/>
          <w:highlight w:val="none"/>
        </w:rPr>
      </w:pPr>
      <w:r>
        <w:rPr>
          <w:rFonts w:hint="eastAsia"/>
          <w:color w:val="auto"/>
          <w:sz w:val="24"/>
          <w:highlight w:val="none"/>
        </w:rPr>
        <w:t>5.</w:t>
      </w:r>
      <w:r>
        <w:rPr>
          <w:color w:val="auto"/>
          <w:sz w:val="24"/>
          <w:highlight w:val="none"/>
        </w:rPr>
        <w:t>供应商应依照规定提交各类声明函、承诺函，不再同时提供原件备查或提供有关部门出具的相关证明文件。但成交供应商，应做好提交声明函、承诺</w:t>
      </w:r>
      <w:r>
        <w:rPr>
          <w:rFonts w:hint="eastAsia"/>
          <w:color w:val="auto"/>
          <w:sz w:val="24"/>
          <w:highlight w:val="none"/>
          <w:lang w:eastAsia="zh-CN"/>
        </w:rPr>
        <w:t>函等</w:t>
      </w:r>
      <w:r>
        <w:rPr>
          <w:color w:val="auto"/>
          <w:sz w:val="24"/>
          <w:highlight w:val="none"/>
        </w:rPr>
        <w:t>相应原件的核查准备；核查后发现虚假或违背承诺的，依照相关法律法规规定处理。</w:t>
      </w:r>
    </w:p>
    <w:p w14:paraId="7740A0C6">
      <w:pPr>
        <w:snapToGrid w:val="0"/>
        <w:spacing w:line="480" w:lineRule="exact"/>
        <w:ind w:firstLine="482" w:firstLineChars="200"/>
        <w:rPr>
          <w:b/>
          <w:color w:val="auto"/>
          <w:sz w:val="24"/>
          <w:highlight w:val="none"/>
        </w:rPr>
      </w:pPr>
      <w:r>
        <w:rPr>
          <w:rFonts w:hint="eastAsia"/>
          <w:b/>
          <w:color w:val="auto"/>
          <w:sz w:val="24"/>
          <w:highlight w:val="none"/>
        </w:rPr>
        <w:t>八</w:t>
      </w:r>
      <w:r>
        <w:rPr>
          <w:b/>
          <w:color w:val="auto"/>
          <w:sz w:val="24"/>
          <w:highlight w:val="none"/>
        </w:rPr>
        <w:t>、</w:t>
      </w:r>
      <w:r>
        <w:rPr>
          <w:rFonts w:hint="eastAsia"/>
          <w:b/>
          <w:color w:val="auto"/>
          <w:sz w:val="24"/>
          <w:highlight w:val="none"/>
        </w:rPr>
        <w:t>凡</w:t>
      </w:r>
      <w:r>
        <w:rPr>
          <w:b/>
          <w:color w:val="auto"/>
          <w:sz w:val="24"/>
          <w:highlight w:val="none"/>
        </w:rPr>
        <w:t>对本次</w:t>
      </w:r>
      <w:r>
        <w:rPr>
          <w:rFonts w:hint="eastAsia"/>
          <w:b/>
          <w:color w:val="auto"/>
          <w:sz w:val="24"/>
          <w:highlight w:val="none"/>
        </w:rPr>
        <w:t>采购</w:t>
      </w:r>
      <w:r>
        <w:rPr>
          <w:b/>
          <w:color w:val="auto"/>
          <w:sz w:val="24"/>
          <w:highlight w:val="none"/>
        </w:rPr>
        <w:t>提出询问，请按以下方式联系。</w:t>
      </w:r>
    </w:p>
    <w:bookmarkEnd w:id="0"/>
    <w:p w14:paraId="7C5DD067">
      <w:pPr>
        <w:snapToGrid w:val="0"/>
        <w:spacing w:line="480" w:lineRule="exact"/>
        <w:ind w:firstLine="480" w:firstLineChars="200"/>
        <w:rPr>
          <w:color w:val="auto"/>
          <w:sz w:val="24"/>
          <w:highlight w:val="none"/>
        </w:rPr>
      </w:pPr>
      <w:r>
        <w:rPr>
          <w:color w:val="auto"/>
          <w:sz w:val="24"/>
          <w:highlight w:val="none"/>
        </w:rPr>
        <w:t>1. 采购人信息</w:t>
      </w:r>
    </w:p>
    <w:p w14:paraId="32042384">
      <w:pPr>
        <w:snapToGrid w:val="0"/>
        <w:spacing w:line="480" w:lineRule="exact"/>
        <w:ind w:firstLine="480" w:firstLineChars="200"/>
        <w:rPr>
          <w:rFonts w:hint="default" w:eastAsia="宋体"/>
          <w:color w:val="auto"/>
          <w:sz w:val="24"/>
          <w:highlight w:val="none"/>
          <w:u w:val="single"/>
          <w:lang w:val="en-US" w:eastAsia="zh-CN"/>
        </w:rPr>
      </w:pPr>
      <w:r>
        <w:rPr>
          <w:color w:val="auto"/>
          <w:sz w:val="24"/>
          <w:highlight w:val="none"/>
        </w:rPr>
        <w:t>名 称：</w:t>
      </w:r>
      <w:r>
        <w:rPr>
          <w:rFonts w:hint="eastAsia"/>
          <w:color w:val="auto"/>
          <w:sz w:val="24"/>
          <w:highlight w:val="none"/>
        </w:rPr>
        <w:t>南通</w:t>
      </w:r>
      <w:r>
        <w:rPr>
          <w:rFonts w:hint="eastAsia"/>
          <w:color w:val="auto"/>
          <w:sz w:val="24"/>
          <w:highlight w:val="none"/>
          <w:lang w:val="en-US" w:eastAsia="zh-CN"/>
        </w:rPr>
        <w:t>日报社</w:t>
      </w:r>
    </w:p>
    <w:p w14:paraId="60286E56">
      <w:pPr>
        <w:adjustRightInd w:val="0"/>
        <w:snapToGrid w:val="0"/>
        <w:spacing w:line="480" w:lineRule="exact"/>
        <w:ind w:firstLine="480" w:firstLineChars="200"/>
        <w:rPr>
          <w:color w:val="auto"/>
          <w:sz w:val="24"/>
          <w:highlight w:val="none"/>
        </w:rPr>
      </w:pPr>
      <w:r>
        <w:rPr>
          <w:color w:val="auto"/>
          <w:sz w:val="24"/>
          <w:highlight w:val="none"/>
        </w:rPr>
        <w:t>联系方式：</w:t>
      </w:r>
      <w:r>
        <w:rPr>
          <w:rFonts w:hint="eastAsia"/>
          <w:color w:val="auto"/>
          <w:sz w:val="24"/>
          <w:highlight w:val="none"/>
          <w:lang w:val="en-US" w:eastAsia="zh-CN"/>
        </w:rPr>
        <w:t>张先生，</w:t>
      </w:r>
      <w:r>
        <w:rPr>
          <w:rFonts w:hint="eastAsia"/>
          <w:color w:val="auto"/>
          <w:sz w:val="24"/>
          <w:highlight w:val="none"/>
        </w:rPr>
        <w:t>0513-68218829</w:t>
      </w:r>
    </w:p>
    <w:p w14:paraId="0C362BA6">
      <w:pPr>
        <w:widowControl/>
        <w:shd w:val="clear" w:color="auto" w:fill="FFFFFF"/>
        <w:adjustRightInd w:val="0"/>
        <w:snapToGrid w:val="0"/>
        <w:spacing w:line="480" w:lineRule="exact"/>
        <w:ind w:firstLine="480" w:firstLineChars="200"/>
        <w:jc w:val="left"/>
        <w:rPr>
          <w:color w:val="auto"/>
          <w:sz w:val="24"/>
          <w:highlight w:val="none"/>
        </w:rPr>
      </w:pPr>
      <w:r>
        <w:rPr>
          <w:color w:val="auto"/>
          <w:sz w:val="24"/>
          <w:highlight w:val="none"/>
        </w:rPr>
        <w:t>2. 采购代理机构信息</w:t>
      </w:r>
    </w:p>
    <w:p w14:paraId="17635D37">
      <w:pPr>
        <w:widowControl/>
        <w:shd w:val="clear" w:color="auto" w:fill="FFFFFF"/>
        <w:adjustRightInd w:val="0"/>
        <w:snapToGrid w:val="0"/>
        <w:spacing w:line="480" w:lineRule="exact"/>
        <w:ind w:firstLine="480" w:firstLineChars="200"/>
        <w:jc w:val="left"/>
        <w:rPr>
          <w:color w:val="auto"/>
          <w:sz w:val="24"/>
          <w:highlight w:val="none"/>
        </w:rPr>
      </w:pPr>
      <w:r>
        <w:rPr>
          <w:color w:val="auto"/>
          <w:sz w:val="24"/>
          <w:highlight w:val="none"/>
        </w:rPr>
        <w:t>名 称：</w:t>
      </w:r>
      <w:r>
        <w:rPr>
          <w:rFonts w:hint="eastAsia"/>
          <w:color w:val="auto"/>
          <w:sz w:val="24"/>
          <w:highlight w:val="none"/>
        </w:rPr>
        <w:t>江苏海审工程咨询有限公司</w:t>
      </w:r>
    </w:p>
    <w:p w14:paraId="228CF368">
      <w:pPr>
        <w:widowControl/>
        <w:shd w:val="clear" w:color="auto" w:fill="FFFFFF"/>
        <w:adjustRightInd w:val="0"/>
        <w:snapToGrid w:val="0"/>
        <w:spacing w:line="480" w:lineRule="exact"/>
        <w:ind w:firstLine="480" w:firstLineChars="200"/>
        <w:jc w:val="left"/>
        <w:rPr>
          <w:color w:val="auto"/>
          <w:sz w:val="24"/>
          <w:highlight w:val="none"/>
        </w:rPr>
      </w:pPr>
      <w:r>
        <w:rPr>
          <w:color w:val="auto"/>
          <w:sz w:val="24"/>
          <w:highlight w:val="none"/>
        </w:rPr>
        <w:t>地 址：</w:t>
      </w:r>
      <w:r>
        <w:rPr>
          <w:rFonts w:hint="eastAsia"/>
          <w:color w:val="auto"/>
          <w:sz w:val="24"/>
          <w:highlight w:val="none"/>
        </w:rPr>
        <w:t>南通市崇川区星城路299号创源科技园3号楼501室</w:t>
      </w:r>
    </w:p>
    <w:p w14:paraId="35B2BAD8">
      <w:pPr>
        <w:widowControl/>
        <w:shd w:val="clear" w:color="auto" w:fill="FFFFFF"/>
        <w:adjustRightInd w:val="0"/>
        <w:snapToGrid w:val="0"/>
        <w:spacing w:line="480" w:lineRule="exact"/>
        <w:ind w:firstLine="480" w:firstLineChars="200"/>
        <w:jc w:val="left"/>
        <w:rPr>
          <w:rFonts w:hint="default" w:eastAsia="宋体"/>
          <w:color w:val="auto"/>
          <w:sz w:val="24"/>
          <w:highlight w:val="none"/>
          <w:lang w:val="en-US" w:eastAsia="zh-CN"/>
        </w:rPr>
      </w:pPr>
      <w:r>
        <w:rPr>
          <w:color w:val="auto"/>
          <w:sz w:val="24"/>
          <w:highlight w:val="none"/>
        </w:rPr>
        <w:t>联系方式：</w:t>
      </w:r>
      <w:r>
        <w:rPr>
          <w:rFonts w:hint="eastAsia"/>
          <w:color w:val="auto"/>
          <w:sz w:val="24"/>
          <w:highlight w:val="none"/>
          <w:lang w:val="en-US" w:eastAsia="zh-CN"/>
        </w:rPr>
        <w:t>朱一仁，18068996360；王银珂，18012222810</w:t>
      </w:r>
    </w:p>
    <w:p w14:paraId="56654A21">
      <w:pPr>
        <w:snapToGrid w:val="0"/>
        <w:spacing w:line="480" w:lineRule="exact"/>
        <w:contextualSpacing/>
        <w:jc w:val="center"/>
        <w:rPr>
          <w:rFonts w:asciiTheme="minorEastAsia" w:hAnsiTheme="minorEastAsia" w:eastAsiaTheme="minorEastAsia"/>
          <w:b/>
          <w:color w:val="auto"/>
          <w:sz w:val="28"/>
          <w:szCs w:val="28"/>
          <w:highlight w:val="none"/>
        </w:rPr>
      </w:pPr>
      <w:r>
        <w:rPr>
          <w:rFonts w:ascii="仿宋_GB2312" w:eastAsia="仿宋_GB2312"/>
          <w:b/>
          <w:bCs/>
          <w:color w:val="auto"/>
          <w:sz w:val="36"/>
          <w:szCs w:val="36"/>
          <w:highlight w:val="none"/>
          <w:lang w:val="zh-CN"/>
        </w:rPr>
        <w:br w:type="page"/>
      </w:r>
      <w:r>
        <w:rPr>
          <w:rFonts w:hint="eastAsia" w:asciiTheme="minorEastAsia" w:hAnsiTheme="minorEastAsia" w:eastAsiaTheme="minorEastAsia"/>
          <w:b/>
          <w:bCs/>
          <w:color w:val="auto"/>
          <w:sz w:val="36"/>
          <w:szCs w:val="36"/>
          <w:highlight w:val="none"/>
          <w:lang w:val="zh-CN"/>
        </w:rPr>
        <w:t>第二部分 磋商须知</w:t>
      </w:r>
    </w:p>
    <w:p w14:paraId="329EB055">
      <w:pPr>
        <w:autoSpaceDE w:val="0"/>
        <w:autoSpaceDN w:val="0"/>
        <w:adjustRightInd w:val="0"/>
        <w:snapToGrid w:val="0"/>
        <w:spacing w:line="300" w:lineRule="auto"/>
        <w:contextualSpacing/>
        <w:rPr>
          <w:rFonts w:ascii="黑体" w:eastAsia="黑体"/>
          <w:b/>
          <w:bCs/>
          <w:color w:val="auto"/>
          <w:sz w:val="28"/>
          <w:szCs w:val="28"/>
          <w:highlight w:val="none"/>
          <w:lang w:val="zh-CN"/>
        </w:rPr>
      </w:pPr>
    </w:p>
    <w:p w14:paraId="0CA5A843">
      <w:pPr>
        <w:snapToGrid w:val="0"/>
        <w:spacing w:line="480" w:lineRule="exact"/>
        <w:ind w:firstLine="482" w:firstLineChars="200"/>
        <w:contextualSpacing/>
        <w:outlineLvl w:val="0"/>
        <w:rPr>
          <w:b/>
          <w:color w:val="auto"/>
          <w:sz w:val="24"/>
          <w:highlight w:val="none"/>
        </w:rPr>
      </w:pPr>
      <w:r>
        <w:rPr>
          <w:b/>
          <w:color w:val="auto"/>
          <w:sz w:val="24"/>
          <w:highlight w:val="none"/>
        </w:rPr>
        <w:t>一、本磋商文件由采购人或采购代理机构解释。</w:t>
      </w:r>
    </w:p>
    <w:p w14:paraId="40C7170A">
      <w:pPr>
        <w:snapToGrid w:val="0"/>
        <w:spacing w:line="480" w:lineRule="exact"/>
        <w:ind w:firstLine="480" w:firstLineChars="200"/>
        <w:contextualSpacing/>
        <w:rPr>
          <w:b/>
          <w:color w:val="auto"/>
          <w:sz w:val="24"/>
          <w:highlight w:val="none"/>
        </w:rPr>
      </w:pPr>
      <w:r>
        <w:rPr>
          <w:color w:val="auto"/>
          <w:sz w:val="24"/>
          <w:highlight w:val="none"/>
        </w:rPr>
        <w:t>1、供应商在</w:t>
      </w:r>
      <w:r>
        <w:rPr>
          <w:rFonts w:hint="eastAsia"/>
          <w:color w:val="auto"/>
          <w:sz w:val="24"/>
          <w:highlight w:val="none"/>
          <w:lang w:val="en-US" w:eastAsia="zh-CN"/>
        </w:rPr>
        <w:t>获取</w:t>
      </w:r>
      <w:r>
        <w:rPr>
          <w:color w:val="auto"/>
          <w:sz w:val="24"/>
          <w:highlight w:val="none"/>
        </w:rPr>
        <w:t>磋商文件后，应仔细检查磋商文件的所有内容，如对采购活动事项有疑问的，应向采购人或采购代理机构以书面形式提出，否则视同供应商理解并接受本磋商文件所有内容，并由此引起的损失自负。供应商不得在磋商结束后针对磋商文件所有内容提出质疑事项。</w:t>
      </w:r>
    </w:p>
    <w:p w14:paraId="3571ECAB">
      <w:pPr>
        <w:snapToGrid w:val="0"/>
        <w:spacing w:line="480" w:lineRule="exact"/>
        <w:ind w:firstLine="480" w:firstLineChars="200"/>
        <w:contextualSpacing/>
        <w:rPr>
          <w:color w:val="auto"/>
          <w:sz w:val="24"/>
          <w:highlight w:val="none"/>
        </w:rPr>
      </w:pPr>
      <w:r>
        <w:rPr>
          <w:color w:val="auto"/>
          <w:sz w:val="24"/>
          <w:highlight w:val="none"/>
        </w:rPr>
        <w:t>2、供应商应认真审阅磋商文件中所有的事项、格式、条款和规范要求等，如果供应商没有按照磋商文件要求提交响应文件，或者响应文件没有对磋商文件做出实质性响应，将被拒绝参与磋商。</w:t>
      </w:r>
    </w:p>
    <w:p w14:paraId="3F37F42A">
      <w:pPr>
        <w:snapToGrid w:val="0"/>
        <w:spacing w:line="480" w:lineRule="exact"/>
        <w:ind w:firstLine="482" w:firstLineChars="200"/>
        <w:contextualSpacing/>
        <w:rPr>
          <w:b/>
          <w:color w:val="auto"/>
          <w:sz w:val="24"/>
          <w:highlight w:val="none"/>
        </w:rPr>
      </w:pPr>
      <w:r>
        <w:rPr>
          <w:b/>
          <w:color w:val="auto"/>
          <w:sz w:val="24"/>
          <w:highlight w:val="none"/>
        </w:rPr>
        <w:t>二、磋商文件的澄清、修改、答疑</w:t>
      </w:r>
    </w:p>
    <w:p w14:paraId="4CF8E53A">
      <w:pPr>
        <w:pStyle w:val="7"/>
        <w:snapToGrid w:val="0"/>
        <w:spacing w:line="480" w:lineRule="exact"/>
        <w:ind w:left="0" w:leftChars="0" w:firstLine="480" w:firstLineChars="200"/>
        <w:contextualSpacing/>
        <w:rPr>
          <w:color w:val="auto"/>
          <w:sz w:val="24"/>
          <w:highlight w:val="none"/>
        </w:rPr>
      </w:pPr>
      <w:r>
        <w:rPr>
          <w:color w:val="auto"/>
          <w:sz w:val="24"/>
          <w:highlight w:val="none"/>
        </w:rPr>
        <w:t>采购人可以对已发出的磋商文件进行必要的澄清或者修改，澄清或者修改的内容作为磋商文件的组成部分。澄清或者修改的内容可能影响响应文件编制的，采购人将在提交首次响应文件截止之日5日前，以网上公告</w:t>
      </w:r>
      <w:r>
        <w:rPr>
          <w:rFonts w:hint="eastAsia"/>
          <w:color w:val="auto"/>
          <w:sz w:val="24"/>
          <w:highlight w:val="none"/>
          <w:lang w:val="en-US" w:eastAsia="zh-CN"/>
        </w:rPr>
        <w:t>或</w:t>
      </w:r>
      <w:r>
        <w:rPr>
          <w:color w:val="auto"/>
          <w:sz w:val="24"/>
          <w:highlight w:val="none"/>
        </w:rPr>
        <w:t>书面形式</w:t>
      </w:r>
      <w:r>
        <w:rPr>
          <w:rFonts w:hint="eastAsia"/>
          <w:color w:val="auto"/>
          <w:sz w:val="24"/>
          <w:highlight w:val="none"/>
          <w:lang w:eastAsia="zh-CN"/>
        </w:rPr>
        <w:t>（</w:t>
      </w:r>
      <w:r>
        <w:rPr>
          <w:rFonts w:hint="eastAsia"/>
          <w:color w:val="auto"/>
          <w:sz w:val="24"/>
          <w:highlight w:val="none"/>
          <w:lang w:val="en-US" w:eastAsia="zh-CN"/>
        </w:rPr>
        <w:t>邮件</w:t>
      </w:r>
      <w:r>
        <w:rPr>
          <w:rFonts w:hint="eastAsia"/>
          <w:color w:val="auto"/>
          <w:sz w:val="24"/>
          <w:highlight w:val="none"/>
          <w:lang w:eastAsia="zh-CN"/>
        </w:rPr>
        <w:t>）</w:t>
      </w:r>
      <w:r>
        <w:rPr>
          <w:color w:val="auto"/>
          <w:sz w:val="24"/>
          <w:highlight w:val="none"/>
        </w:rPr>
        <w:t>通知所有接收磋商文件的供应商，不足5日的，应当顺延提交首次响应文件截止之日。</w:t>
      </w:r>
    </w:p>
    <w:p w14:paraId="2ABFE877">
      <w:pPr>
        <w:pStyle w:val="7"/>
        <w:snapToGrid w:val="0"/>
        <w:spacing w:line="480" w:lineRule="exact"/>
        <w:ind w:left="0" w:leftChars="0" w:firstLine="480" w:firstLineChars="200"/>
        <w:contextualSpacing/>
        <w:rPr>
          <w:color w:val="auto"/>
          <w:sz w:val="24"/>
          <w:highlight w:val="none"/>
          <w:lang w:val="zh-CN"/>
        </w:rPr>
      </w:pPr>
      <w:r>
        <w:rPr>
          <w:color w:val="auto"/>
          <w:sz w:val="24"/>
          <w:highlight w:val="none"/>
        </w:rPr>
        <w:t>供应商由于对磋商文件的任何推论和误解以及采购人或采购代理机构对有</w:t>
      </w:r>
      <w:r>
        <w:rPr>
          <w:color w:val="auto"/>
          <w:sz w:val="24"/>
          <w:highlight w:val="none"/>
          <w:lang w:val="zh-CN"/>
        </w:rPr>
        <w:t>关问题的口头解释所造成的后果，均由供应商自负。</w:t>
      </w:r>
    </w:p>
    <w:p w14:paraId="403B879B">
      <w:pPr>
        <w:pStyle w:val="7"/>
        <w:snapToGrid w:val="0"/>
        <w:spacing w:line="480" w:lineRule="exact"/>
        <w:ind w:left="0" w:leftChars="0" w:firstLine="480" w:firstLineChars="200"/>
        <w:contextualSpacing/>
        <w:rPr>
          <w:color w:val="auto"/>
          <w:sz w:val="24"/>
          <w:highlight w:val="none"/>
        </w:rPr>
      </w:pPr>
      <w:r>
        <w:rPr>
          <w:color w:val="auto"/>
          <w:sz w:val="24"/>
          <w:highlight w:val="none"/>
          <w:lang w:val="zh-CN"/>
        </w:rPr>
        <w:t>采购单位可视情组织答疑会。</w:t>
      </w:r>
    </w:p>
    <w:p w14:paraId="4D67AFFD">
      <w:pPr>
        <w:autoSpaceDE w:val="0"/>
        <w:autoSpaceDN w:val="0"/>
        <w:adjustRightInd w:val="0"/>
        <w:snapToGrid w:val="0"/>
        <w:spacing w:after="120" w:line="480" w:lineRule="exact"/>
        <w:ind w:firstLine="562"/>
        <w:contextualSpacing/>
        <w:rPr>
          <w:b/>
          <w:bCs/>
          <w:color w:val="auto"/>
          <w:sz w:val="24"/>
          <w:highlight w:val="none"/>
        </w:rPr>
      </w:pPr>
      <w:r>
        <w:rPr>
          <w:b/>
          <w:bCs/>
          <w:color w:val="auto"/>
          <w:sz w:val="24"/>
          <w:highlight w:val="none"/>
          <w:lang w:val="zh-CN"/>
        </w:rPr>
        <w:t>三、响应文件的编写、递交</w:t>
      </w:r>
    </w:p>
    <w:p w14:paraId="1A647DDE">
      <w:pPr>
        <w:autoSpaceDE w:val="0"/>
        <w:autoSpaceDN w:val="0"/>
        <w:adjustRightInd w:val="0"/>
        <w:snapToGrid w:val="0"/>
        <w:spacing w:line="480" w:lineRule="exact"/>
        <w:ind w:right="210" w:firstLine="560"/>
        <w:rPr>
          <w:b/>
          <w:color w:val="auto"/>
          <w:sz w:val="24"/>
          <w:highlight w:val="none"/>
        </w:rPr>
      </w:pPr>
      <w:r>
        <w:rPr>
          <w:b/>
          <w:color w:val="auto"/>
          <w:sz w:val="24"/>
          <w:highlight w:val="none"/>
        </w:rPr>
        <w:t>（一）响应文件的编写</w:t>
      </w:r>
    </w:p>
    <w:p w14:paraId="03ED7561">
      <w:pPr>
        <w:autoSpaceDE w:val="0"/>
        <w:autoSpaceDN w:val="0"/>
        <w:adjustRightInd w:val="0"/>
        <w:snapToGrid w:val="0"/>
        <w:spacing w:line="480" w:lineRule="exact"/>
        <w:ind w:firstLine="480" w:firstLineChars="200"/>
        <w:contextualSpacing/>
        <w:jc w:val="left"/>
        <w:rPr>
          <w:color w:val="auto"/>
          <w:sz w:val="24"/>
          <w:highlight w:val="none"/>
        </w:rPr>
      </w:pPr>
      <w:r>
        <w:rPr>
          <w:color w:val="auto"/>
          <w:sz w:val="24"/>
          <w:highlight w:val="none"/>
          <w:lang w:val="zh-CN"/>
        </w:rPr>
        <w:t>供应商按</w:t>
      </w:r>
      <w:r>
        <w:rPr>
          <w:rFonts w:ascii="宋体" w:hAnsi="宋体"/>
          <w:color w:val="auto"/>
          <w:sz w:val="24"/>
          <w:highlight w:val="none"/>
          <w:lang w:val="zh-CN"/>
        </w:rPr>
        <w:t>“第七部分 响应文件组成”</w:t>
      </w:r>
      <w:r>
        <w:rPr>
          <w:color w:val="auto"/>
          <w:sz w:val="24"/>
          <w:highlight w:val="none"/>
          <w:lang w:val="zh-CN"/>
        </w:rPr>
        <w:t>要求编写响应文件。</w:t>
      </w:r>
    </w:p>
    <w:p w14:paraId="331A671E">
      <w:pPr>
        <w:snapToGrid w:val="0"/>
        <w:spacing w:line="480" w:lineRule="exact"/>
        <w:ind w:firstLine="482" w:firstLineChars="200"/>
        <w:contextualSpacing/>
        <w:rPr>
          <w:b/>
          <w:color w:val="auto"/>
          <w:sz w:val="24"/>
          <w:highlight w:val="none"/>
        </w:rPr>
      </w:pPr>
      <w:r>
        <w:rPr>
          <w:b/>
          <w:color w:val="auto"/>
          <w:sz w:val="24"/>
          <w:highlight w:val="none"/>
        </w:rPr>
        <w:t>（二）响应文件的递交</w:t>
      </w:r>
    </w:p>
    <w:p w14:paraId="23732D9B">
      <w:pPr>
        <w:snapToGrid w:val="0"/>
        <w:spacing w:line="480" w:lineRule="exact"/>
        <w:ind w:firstLine="480" w:firstLineChars="200"/>
        <w:contextualSpacing/>
        <w:rPr>
          <w:color w:val="auto"/>
          <w:sz w:val="24"/>
          <w:highlight w:val="none"/>
        </w:rPr>
      </w:pPr>
      <w:r>
        <w:rPr>
          <w:color w:val="auto"/>
          <w:sz w:val="24"/>
          <w:highlight w:val="none"/>
        </w:rPr>
        <w:t>1、响应文件</w:t>
      </w:r>
      <w:r>
        <w:rPr>
          <w:rFonts w:hint="eastAsia"/>
          <w:color w:val="auto"/>
          <w:sz w:val="24"/>
          <w:highlight w:val="none"/>
          <w:lang w:val="en-US" w:eastAsia="zh-CN"/>
        </w:rPr>
        <w:t>三</w:t>
      </w:r>
      <w:r>
        <w:rPr>
          <w:color w:val="auto"/>
          <w:sz w:val="24"/>
          <w:highlight w:val="none"/>
        </w:rPr>
        <w:t>部分内容（资格审查文件、商务技术文件、报价文件）须分别单独密封，</w:t>
      </w:r>
      <w:r>
        <w:rPr>
          <w:color w:val="auto"/>
          <w:sz w:val="24"/>
          <w:highlight w:val="none"/>
          <w:lang w:val="zh-CN"/>
        </w:rPr>
        <w:t>并牢</w:t>
      </w:r>
      <w:r>
        <w:rPr>
          <w:color w:val="auto"/>
          <w:sz w:val="24"/>
          <w:highlight w:val="none"/>
        </w:rPr>
        <w:t>固装订成册，不得相互混淆，文件自编目录，不得将内容拆开。报价文件不得出现于其他磋商</w:t>
      </w:r>
      <w:r>
        <w:rPr>
          <w:rFonts w:hint="eastAsia"/>
          <w:color w:val="auto"/>
          <w:sz w:val="24"/>
          <w:highlight w:val="none"/>
          <w:lang w:val="en-US" w:eastAsia="zh-CN"/>
        </w:rPr>
        <w:t>响应</w:t>
      </w:r>
      <w:r>
        <w:rPr>
          <w:color w:val="auto"/>
          <w:sz w:val="24"/>
          <w:highlight w:val="none"/>
        </w:rPr>
        <w:t>文件中。</w:t>
      </w:r>
    </w:p>
    <w:p w14:paraId="10D32A20">
      <w:pPr>
        <w:snapToGrid w:val="0"/>
        <w:spacing w:line="480" w:lineRule="exact"/>
        <w:ind w:firstLine="480" w:firstLineChars="200"/>
        <w:rPr>
          <w:rFonts w:hint="eastAsia"/>
          <w:color w:val="auto"/>
          <w:sz w:val="24"/>
          <w:highlight w:val="none"/>
          <w:lang w:eastAsia="zh-CN"/>
        </w:rPr>
      </w:pPr>
      <w:r>
        <w:rPr>
          <w:color w:val="auto"/>
          <w:sz w:val="24"/>
          <w:highlight w:val="none"/>
        </w:rPr>
        <w:t>2、响应文件每一部分内容均须提供“</w:t>
      </w:r>
      <w:r>
        <w:rPr>
          <w:b/>
          <w:color w:val="auto"/>
          <w:sz w:val="24"/>
          <w:highlight w:val="none"/>
        </w:rPr>
        <w:t>一正、</w:t>
      </w:r>
      <w:r>
        <w:rPr>
          <w:rFonts w:hint="eastAsia"/>
          <w:b/>
          <w:color w:val="auto"/>
          <w:sz w:val="24"/>
          <w:highlight w:val="none"/>
          <w:lang w:val="en-US" w:eastAsia="zh-CN"/>
        </w:rPr>
        <w:t>贰</w:t>
      </w:r>
      <w:r>
        <w:rPr>
          <w:b/>
          <w:color w:val="auto"/>
          <w:sz w:val="24"/>
          <w:highlight w:val="none"/>
        </w:rPr>
        <w:t>副”</w:t>
      </w:r>
      <w:r>
        <w:rPr>
          <w:color w:val="auto"/>
          <w:sz w:val="24"/>
          <w:highlight w:val="none"/>
        </w:rPr>
        <w:t>纸质响应文件</w:t>
      </w:r>
      <w:r>
        <w:rPr>
          <w:rFonts w:hint="eastAsia"/>
          <w:color w:val="auto"/>
          <w:sz w:val="24"/>
          <w:highlight w:val="none"/>
          <w:lang w:eastAsia="zh-CN"/>
        </w:rPr>
        <w:t>。</w:t>
      </w:r>
    </w:p>
    <w:p w14:paraId="0682CD1D">
      <w:pPr>
        <w:snapToGrid w:val="0"/>
        <w:spacing w:line="480" w:lineRule="exact"/>
        <w:ind w:firstLine="480" w:firstLineChars="200"/>
        <w:rPr>
          <w:rFonts w:hint="eastAsia" w:eastAsia="宋体"/>
          <w:color w:val="auto"/>
          <w:sz w:val="24"/>
          <w:highlight w:val="none"/>
          <w:lang w:val="en-US" w:eastAsia="zh-CN"/>
        </w:rPr>
      </w:pPr>
      <w:r>
        <w:rPr>
          <w:rFonts w:hint="eastAsia"/>
          <w:color w:val="auto"/>
          <w:sz w:val="24"/>
          <w:highlight w:val="none"/>
          <w:lang w:val="en-US" w:eastAsia="zh-CN"/>
        </w:rPr>
        <w:t>①</w:t>
      </w:r>
      <w:r>
        <w:rPr>
          <w:color w:val="auto"/>
          <w:sz w:val="24"/>
          <w:highlight w:val="none"/>
        </w:rPr>
        <w:t>资格审查文件</w:t>
      </w:r>
      <w:r>
        <w:rPr>
          <w:rFonts w:hint="eastAsia"/>
          <w:color w:val="auto"/>
          <w:sz w:val="24"/>
          <w:highlight w:val="none"/>
          <w:lang w:eastAsia="zh-CN"/>
        </w:rPr>
        <w:t>。正本、副本合并密封，统一装在一个密封袋或密封箱内。</w:t>
      </w:r>
    </w:p>
    <w:p w14:paraId="1CCC14CE">
      <w:pPr>
        <w:snapToGrid w:val="0"/>
        <w:spacing w:line="48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②</w:t>
      </w:r>
      <w:r>
        <w:rPr>
          <w:color w:val="auto"/>
          <w:sz w:val="24"/>
          <w:highlight w:val="none"/>
        </w:rPr>
        <w:t>商务技术文件</w:t>
      </w:r>
      <w:r>
        <w:rPr>
          <w:rFonts w:hint="eastAsia"/>
          <w:color w:val="auto"/>
          <w:sz w:val="24"/>
          <w:highlight w:val="none"/>
          <w:lang w:eastAsia="zh-CN"/>
        </w:rPr>
        <w:t>。</w:t>
      </w:r>
      <w:r>
        <w:rPr>
          <w:rFonts w:hint="eastAsia"/>
          <w:color w:val="auto"/>
          <w:sz w:val="24"/>
          <w:highlight w:val="none"/>
          <w:lang w:val="en-US" w:eastAsia="zh-CN"/>
        </w:rPr>
        <w:t>正本、副本合并密封，统一装在一个密封袋或密封箱内。</w:t>
      </w:r>
    </w:p>
    <w:p w14:paraId="46870619">
      <w:pPr>
        <w:snapToGrid w:val="0"/>
        <w:spacing w:line="48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③</w:t>
      </w:r>
      <w:r>
        <w:rPr>
          <w:color w:val="auto"/>
          <w:sz w:val="24"/>
          <w:highlight w:val="none"/>
        </w:rPr>
        <w:t>报价文件</w:t>
      </w:r>
      <w:r>
        <w:rPr>
          <w:rFonts w:hint="eastAsia"/>
          <w:color w:val="auto"/>
          <w:sz w:val="24"/>
          <w:highlight w:val="none"/>
          <w:lang w:eastAsia="zh-CN"/>
        </w:rPr>
        <w:t>。</w:t>
      </w:r>
      <w:r>
        <w:rPr>
          <w:rFonts w:hint="eastAsia"/>
          <w:color w:val="auto"/>
          <w:sz w:val="24"/>
          <w:highlight w:val="none"/>
          <w:lang w:val="en-US" w:eastAsia="zh-CN"/>
        </w:rPr>
        <w:t>正本、副本合并密封，统一装在一个密封袋或密封箱内。</w:t>
      </w:r>
    </w:p>
    <w:p w14:paraId="5A5DA159">
      <w:pPr>
        <w:snapToGrid w:val="0"/>
        <w:spacing w:line="480" w:lineRule="exact"/>
        <w:ind w:firstLine="480" w:firstLineChars="200"/>
        <w:contextualSpacing/>
        <w:rPr>
          <w:color w:val="auto"/>
          <w:sz w:val="24"/>
          <w:highlight w:val="none"/>
        </w:rPr>
      </w:pPr>
      <w:r>
        <w:rPr>
          <w:color w:val="auto"/>
          <w:sz w:val="24"/>
          <w:highlight w:val="none"/>
        </w:rPr>
        <w:t>3、纸质响应文件须</w:t>
      </w:r>
      <w:r>
        <w:rPr>
          <w:color w:val="auto"/>
          <w:sz w:val="24"/>
          <w:highlight w:val="none"/>
          <w:lang w:val="zh-CN"/>
        </w:rPr>
        <w:t>采用A4纸（</w:t>
      </w:r>
      <w:r>
        <w:rPr>
          <w:color w:val="auto"/>
          <w:sz w:val="24"/>
          <w:highlight w:val="none"/>
        </w:rPr>
        <w:t>图纸等除外），正本须打印并由法定代表人或授权人签字并加盖单位印章。副本可复印，但须加盖单位印章。文件内容中不得行间插字、涂改、增删，如修补错漏处，须由响应文件签署人签字并加盖</w:t>
      </w:r>
      <w:r>
        <w:rPr>
          <w:rFonts w:hint="eastAsia"/>
          <w:color w:val="auto"/>
          <w:sz w:val="24"/>
          <w:highlight w:val="none"/>
          <w:lang w:val="en-US" w:eastAsia="zh-CN"/>
        </w:rPr>
        <w:t>投标单位</w:t>
      </w:r>
      <w:r>
        <w:rPr>
          <w:color w:val="auto"/>
          <w:sz w:val="24"/>
          <w:highlight w:val="none"/>
        </w:rPr>
        <w:t>公章。</w:t>
      </w:r>
    </w:p>
    <w:p w14:paraId="4F2F13C4">
      <w:pPr>
        <w:snapToGrid w:val="0"/>
        <w:spacing w:line="480" w:lineRule="exact"/>
        <w:ind w:firstLine="480" w:firstLineChars="200"/>
        <w:contextualSpacing/>
        <w:rPr>
          <w:color w:val="auto"/>
          <w:sz w:val="24"/>
          <w:highlight w:val="none"/>
        </w:rPr>
      </w:pPr>
      <w:r>
        <w:rPr>
          <w:color w:val="auto"/>
          <w:sz w:val="24"/>
          <w:highlight w:val="none"/>
        </w:rPr>
        <w:t>4、响应文件密封后应标明响应文件项目名称、项目编号、边缝处加盖单位骑缝章。</w:t>
      </w:r>
    </w:p>
    <w:p w14:paraId="5D50AEE7">
      <w:pPr>
        <w:snapToGrid w:val="0"/>
        <w:spacing w:line="480" w:lineRule="exact"/>
        <w:ind w:firstLine="480" w:firstLineChars="200"/>
        <w:contextualSpacing/>
        <w:rPr>
          <w:color w:val="auto"/>
          <w:sz w:val="24"/>
          <w:highlight w:val="none"/>
        </w:rPr>
      </w:pPr>
      <w:r>
        <w:rPr>
          <w:color w:val="auto"/>
          <w:sz w:val="24"/>
          <w:highlight w:val="none"/>
        </w:rPr>
        <w:t>5、递交时间：供应商须在规定的响应文件接收截止时间前送达指定地点。供应商递交磋商文件，即视为已响应参加采购活动。</w:t>
      </w:r>
    </w:p>
    <w:p w14:paraId="78EF2DC3">
      <w:pPr>
        <w:snapToGrid w:val="0"/>
        <w:spacing w:line="480" w:lineRule="exact"/>
        <w:ind w:firstLine="482" w:firstLineChars="200"/>
        <w:contextualSpacing/>
        <w:rPr>
          <w:b/>
          <w:color w:val="auto"/>
          <w:sz w:val="24"/>
          <w:highlight w:val="none"/>
        </w:rPr>
      </w:pPr>
      <w:r>
        <w:rPr>
          <w:b/>
          <w:color w:val="auto"/>
          <w:sz w:val="24"/>
          <w:highlight w:val="none"/>
        </w:rPr>
        <w:t>友情提醒：采购代理机构将拒绝接收未按照磋商文件要求密封的响应文件，拒绝接收在响应文件接收截止时间后递交的响应文件。如果供应商无故不到现场递交纸质磋商响应文件或者故意迟到，影响</w:t>
      </w:r>
      <w:r>
        <w:rPr>
          <w:rFonts w:hint="eastAsia"/>
          <w:b/>
          <w:color w:val="auto"/>
          <w:sz w:val="24"/>
          <w:highlight w:val="none"/>
          <w:lang w:val="en-US" w:eastAsia="zh-CN"/>
        </w:rPr>
        <w:t>采购</w:t>
      </w:r>
      <w:r>
        <w:rPr>
          <w:b/>
          <w:color w:val="auto"/>
          <w:sz w:val="24"/>
          <w:highlight w:val="none"/>
        </w:rPr>
        <w:t>活动正常进行的，根据《江苏省政府采购信用管理暂行办法》第九条的规定，将被列作一般失信行为。</w:t>
      </w:r>
    </w:p>
    <w:p w14:paraId="5457D38E">
      <w:pPr>
        <w:snapToGrid w:val="0"/>
        <w:spacing w:line="480" w:lineRule="exact"/>
        <w:ind w:firstLine="602" w:firstLineChars="250"/>
        <w:contextualSpacing/>
        <w:rPr>
          <w:b/>
          <w:color w:val="auto"/>
          <w:sz w:val="24"/>
          <w:highlight w:val="none"/>
        </w:rPr>
      </w:pPr>
      <w:r>
        <w:rPr>
          <w:b/>
          <w:color w:val="auto"/>
          <w:sz w:val="24"/>
          <w:highlight w:val="none"/>
        </w:rPr>
        <w:t>四、报价准备</w:t>
      </w:r>
    </w:p>
    <w:p w14:paraId="180C009A">
      <w:pPr>
        <w:pStyle w:val="16"/>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1、磋商结束后，供应商就所有内容进行</w:t>
      </w:r>
      <w:r>
        <w:rPr>
          <w:rFonts w:hint="eastAsia" w:ascii="Times New Roman" w:hAnsi="Times New Roman" w:eastAsia="宋体"/>
          <w:color w:val="auto"/>
          <w:sz w:val="24"/>
          <w:szCs w:val="24"/>
          <w:highlight w:val="none"/>
          <w:lang w:val="en-US" w:eastAsia="zh-CN"/>
        </w:rPr>
        <w:t>二次报价（</w:t>
      </w:r>
      <w:r>
        <w:rPr>
          <w:rFonts w:hint="eastAsia" w:ascii="Times New Roman" w:hAnsi="Times New Roman" w:eastAsia="宋体"/>
          <w:color w:val="auto"/>
          <w:sz w:val="24"/>
          <w:szCs w:val="24"/>
          <w:highlight w:val="none"/>
        </w:rPr>
        <w:t>即最后报价，下同</w:t>
      </w:r>
      <w:r>
        <w:rPr>
          <w:rFonts w:hint="eastAsia" w:ascii="Times New Roman" w:hAnsi="Times New Roman" w:eastAsia="宋体"/>
          <w:color w:val="auto"/>
          <w:sz w:val="24"/>
          <w:szCs w:val="24"/>
          <w:highlight w:val="none"/>
          <w:lang w:val="en-US" w:eastAsia="zh-CN"/>
        </w:rPr>
        <w:t>）</w:t>
      </w:r>
      <w:r>
        <w:rPr>
          <w:rFonts w:ascii="Times New Roman" w:hAnsi="Times New Roman" w:eastAsia="宋体"/>
          <w:color w:val="auto"/>
          <w:sz w:val="24"/>
          <w:szCs w:val="24"/>
          <w:highlight w:val="none"/>
        </w:rPr>
        <w:t>，少报无效。</w:t>
      </w:r>
    </w:p>
    <w:p w14:paraId="179B1C4B">
      <w:pPr>
        <w:pStyle w:val="16"/>
        <w:snapToGrid w:val="0"/>
        <w:spacing w:line="480" w:lineRule="exact"/>
        <w:ind w:firstLine="494"/>
        <w:contextualSpacing/>
        <w:rPr>
          <w:rFonts w:ascii="Times New Roman" w:hAnsi="Times New Roman" w:eastAsia="宋体"/>
          <w:b/>
          <w:bCs/>
          <w:color w:val="auto"/>
          <w:sz w:val="24"/>
          <w:szCs w:val="24"/>
          <w:highlight w:val="none"/>
        </w:rPr>
      </w:pPr>
      <w:r>
        <w:rPr>
          <w:rFonts w:ascii="Times New Roman" w:hAnsi="Times New Roman" w:eastAsia="宋体"/>
          <w:b/>
          <w:bCs/>
          <w:color w:val="auto"/>
          <w:sz w:val="24"/>
          <w:szCs w:val="24"/>
          <w:highlight w:val="none"/>
        </w:rPr>
        <w:t>2、</w:t>
      </w:r>
      <w:r>
        <w:rPr>
          <w:rFonts w:hint="eastAsia" w:ascii="Times New Roman" w:hAnsi="Times New Roman" w:eastAsia="宋体"/>
          <w:b/>
          <w:bCs/>
          <w:color w:val="auto"/>
          <w:sz w:val="24"/>
          <w:szCs w:val="24"/>
          <w:highlight w:val="none"/>
          <w:u w:val="thick" w:color="FF0000"/>
        </w:rPr>
        <w:t>本项目投标报价为固定</w:t>
      </w:r>
      <w:r>
        <w:rPr>
          <w:rFonts w:hint="eastAsia" w:ascii="Times New Roman" w:hAnsi="Times New Roman" w:eastAsia="宋体"/>
          <w:b/>
          <w:bCs/>
          <w:color w:val="auto"/>
          <w:sz w:val="24"/>
          <w:szCs w:val="24"/>
          <w:highlight w:val="none"/>
          <w:u w:val="thick" w:color="FF0000"/>
          <w:lang w:val="en-US" w:eastAsia="zh-CN"/>
        </w:rPr>
        <w:t>总价</w:t>
      </w:r>
      <w:r>
        <w:rPr>
          <w:rFonts w:hint="eastAsia" w:ascii="Times New Roman" w:hAnsi="Times New Roman" w:eastAsia="宋体"/>
          <w:b/>
          <w:bCs/>
          <w:color w:val="auto"/>
          <w:sz w:val="24"/>
          <w:szCs w:val="24"/>
          <w:highlight w:val="none"/>
          <w:u w:val="thick" w:color="FF0000"/>
        </w:rPr>
        <w:t>进行报价，货物质量标准按最新国家标准、行业标准和本文件要求规定。</w:t>
      </w:r>
      <w:r>
        <w:rPr>
          <w:rFonts w:hint="eastAsia" w:ascii="Times New Roman" w:hAnsi="Times New Roman" w:eastAsia="宋体"/>
          <w:b/>
          <w:bCs/>
          <w:color w:val="auto"/>
          <w:sz w:val="24"/>
          <w:szCs w:val="24"/>
          <w:highlight w:val="none"/>
          <w:u w:val="thick" w:color="FF0000"/>
          <w:lang w:val="en-US" w:eastAsia="zh-CN"/>
        </w:rPr>
        <w:t>响应报价</w:t>
      </w:r>
      <w:r>
        <w:rPr>
          <w:rFonts w:hint="eastAsia" w:ascii="Times New Roman" w:hAnsi="Times New Roman" w:eastAsia="宋体"/>
          <w:b/>
          <w:bCs/>
          <w:color w:val="auto"/>
          <w:sz w:val="24"/>
          <w:szCs w:val="24"/>
          <w:highlight w:val="none"/>
          <w:u w:val="thick" w:color="FF0000"/>
        </w:rPr>
        <w:t>包括为完成采购文件所列材料的全部费用（充分考虑包括原材料涨价在内的各种风险，报价中包含制作、运输至指定地点、上下车装卸费、检测费、税费及利润、</w:t>
      </w:r>
      <w:r>
        <w:rPr>
          <w:rFonts w:hint="eastAsia" w:ascii="Times New Roman" w:hAnsi="Times New Roman" w:eastAsia="宋体"/>
          <w:b/>
          <w:bCs/>
          <w:color w:val="auto"/>
          <w:sz w:val="24"/>
          <w:szCs w:val="24"/>
          <w:highlight w:val="none"/>
          <w:u w:val="thick" w:color="FF0000"/>
          <w:lang w:val="en-US" w:eastAsia="zh-CN"/>
        </w:rPr>
        <w:t>服务费、</w:t>
      </w:r>
      <w:r>
        <w:rPr>
          <w:rFonts w:hint="eastAsia" w:ascii="Times New Roman" w:hAnsi="Times New Roman" w:eastAsia="宋体"/>
          <w:b/>
          <w:bCs/>
          <w:color w:val="auto"/>
          <w:sz w:val="24"/>
          <w:szCs w:val="24"/>
          <w:highlight w:val="none"/>
          <w:u w:val="thick" w:color="FF0000"/>
        </w:rPr>
        <w:t>售后服务等全部费用和政策性文件规定及合同包含的所有风险、责任等各项应有费用，即采购物交付使用前的所有费用）。</w:t>
      </w:r>
    </w:p>
    <w:p w14:paraId="12021A0A">
      <w:pPr>
        <w:pStyle w:val="16"/>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3、最后报价将作为磋商小组评定成交供应商的组成依据。</w:t>
      </w:r>
    </w:p>
    <w:p w14:paraId="67949339">
      <w:pPr>
        <w:snapToGrid w:val="0"/>
        <w:spacing w:line="480" w:lineRule="exact"/>
        <w:ind w:firstLine="482" w:firstLineChars="200"/>
        <w:rPr>
          <w:color w:val="auto"/>
          <w:sz w:val="24"/>
          <w:highlight w:val="none"/>
        </w:rPr>
      </w:pPr>
      <w:r>
        <w:rPr>
          <w:b/>
          <w:color w:val="auto"/>
          <w:sz w:val="24"/>
          <w:highlight w:val="none"/>
          <w:lang w:val="zh-CN"/>
        </w:rPr>
        <w:t>五、</w:t>
      </w:r>
      <w:r>
        <w:rPr>
          <w:b/>
          <w:bCs/>
          <w:color w:val="auto"/>
          <w:sz w:val="24"/>
          <w:highlight w:val="none"/>
        </w:rPr>
        <w:t>相关费用</w:t>
      </w:r>
    </w:p>
    <w:p w14:paraId="08576466">
      <w:pPr>
        <w:snapToGrid w:val="0"/>
        <w:spacing w:line="480" w:lineRule="exact"/>
        <w:ind w:firstLine="480" w:firstLineChars="200"/>
        <w:contextualSpacing/>
        <w:rPr>
          <w:color w:val="auto"/>
          <w:sz w:val="24"/>
          <w:highlight w:val="none"/>
        </w:rPr>
      </w:pPr>
      <w:r>
        <w:rPr>
          <w:color w:val="auto"/>
          <w:sz w:val="24"/>
          <w:highlight w:val="none"/>
        </w:rPr>
        <w:t>1、供应商承担参与磋商可能发生的全部费用，采购人在任何情况下均无义务和责任承担这些费用。</w:t>
      </w:r>
    </w:p>
    <w:p w14:paraId="54E77E8A">
      <w:pPr>
        <w:snapToGrid w:val="0"/>
        <w:spacing w:line="480" w:lineRule="exact"/>
        <w:ind w:firstLine="480" w:firstLineChars="200"/>
        <w:contextualSpacing/>
        <w:rPr>
          <w:color w:val="auto"/>
          <w:sz w:val="24"/>
          <w:highlight w:val="none"/>
        </w:rPr>
      </w:pPr>
      <w:r>
        <w:rPr>
          <w:color w:val="auto"/>
          <w:sz w:val="24"/>
          <w:highlight w:val="none"/>
        </w:rPr>
        <w:t>2、采购人不收取任何费用。</w:t>
      </w:r>
    </w:p>
    <w:p w14:paraId="084BD962">
      <w:pPr>
        <w:snapToGrid w:val="0"/>
        <w:spacing w:line="440" w:lineRule="exact"/>
        <w:ind w:firstLine="480" w:firstLineChars="200"/>
        <w:outlineLvl w:val="1"/>
        <w:rPr>
          <w:rFonts w:ascii="宋体" w:hAnsi="宋体" w:cs="宋体"/>
          <w:color w:val="auto"/>
          <w:sz w:val="24"/>
          <w:highlight w:val="none"/>
        </w:rPr>
      </w:pPr>
      <w:r>
        <w:rPr>
          <w:rFonts w:hint="eastAsia"/>
          <w:bCs/>
          <w:color w:val="auto"/>
          <w:sz w:val="24"/>
          <w:highlight w:val="none"/>
        </w:rPr>
        <w:t>3、</w:t>
      </w:r>
      <w:r>
        <w:rPr>
          <w:rFonts w:hint="eastAsia" w:ascii="宋体" w:hAnsi="宋体" w:cs="宋体"/>
          <w:color w:val="auto"/>
          <w:sz w:val="24"/>
          <w:highlight w:val="none"/>
        </w:rPr>
        <w:t>本项目采购代理服务费3000元及专家评审费（按实际支出）由供应商综合考虑在报价内（不得单列），成交</w:t>
      </w:r>
      <w:r>
        <w:rPr>
          <w:rFonts w:hint="eastAsia" w:ascii="宋体" w:hAnsi="宋体" w:cs="宋体"/>
          <w:color w:val="auto"/>
          <w:sz w:val="24"/>
          <w:highlight w:val="none"/>
          <w:lang w:eastAsia="zh-CN"/>
        </w:rPr>
        <w:t>供应商在</w:t>
      </w:r>
      <w:r>
        <w:rPr>
          <w:rFonts w:hint="eastAsia" w:ascii="宋体" w:hAnsi="宋体" w:cs="宋体"/>
          <w:color w:val="auto"/>
          <w:sz w:val="24"/>
          <w:highlight w:val="none"/>
        </w:rPr>
        <w:t>领取《成交通知书》时一次性</w:t>
      </w:r>
      <w:r>
        <w:rPr>
          <w:rFonts w:hint="eastAsia" w:ascii="宋体" w:hAnsi="宋体" w:cs="宋体"/>
          <w:color w:val="auto"/>
          <w:sz w:val="24"/>
          <w:highlight w:val="none"/>
          <w:lang w:val="en-US" w:eastAsia="zh-CN"/>
        </w:rPr>
        <w:t>支付给采购代理机构</w:t>
      </w:r>
      <w:r>
        <w:rPr>
          <w:rFonts w:hint="eastAsia" w:ascii="宋体" w:hAnsi="宋体" w:cs="宋体"/>
          <w:color w:val="auto"/>
          <w:sz w:val="24"/>
          <w:highlight w:val="none"/>
        </w:rPr>
        <w:t>。</w:t>
      </w:r>
    </w:p>
    <w:p w14:paraId="17C7D206">
      <w:pPr>
        <w:snapToGrid w:val="0"/>
        <w:spacing w:line="480" w:lineRule="exact"/>
        <w:ind w:firstLine="482" w:firstLineChars="200"/>
        <w:contextualSpacing/>
        <w:rPr>
          <w:b/>
          <w:color w:val="auto"/>
          <w:sz w:val="24"/>
          <w:highlight w:val="none"/>
        </w:rPr>
      </w:pPr>
      <w:r>
        <w:rPr>
          <w:rFonts w:hint="eastAsia"/>
          <w:b/>
          <w:bCs/>
          <w:color w:val="auto"/>
          <w:sz w:val="24"/>
          <w:highlight w:val="none"/>
          <w:lang w:val="en-US" w:eastAsia="zh-CN"/>
        </w:rPr>
        <w:t>六</w:t>
      </w:r>
      <w:r>
        <w:rPr>
          <w:b/>
          <w:bCs/>
          <w:color w:val="auto"/>
          <w:sz w:val="24"/>
          <w:highlight w:val="none"/>
        </w:rPr>
        <w:t>、</w:t>
      </w:r>
      <w:r>
        <w:rPr>
          <w:b/>
          <w:color w:val="auto"/>
          <w:sz w:val="24"/>
          <w:highlight w:val="none"/>
        </w:rPr>
        <w:t>竞争性磋商程序简介</w:t>
      </w:r>
    </w:p>
    <w:p w14:paraId="067AA502">
      <w:pPr>
        <w:snapToGrid w:val="0"/>
        <w:spacing w:line="480" w:lineRule="exact"/>
        <w:ind w:firstLine="480" w:firstLineChars="200"/>
        <w:contextualSpacing/>
        <w:rPr>
          <w:color w:val="auto"/>
          <w:sz w:val="24"/>
          <w:highlight w:val="none"/>
        </w:rPr>
      </w:pPr>
      <w:r>
        <w:rPr>
          <w:b w:val="0"/>
          <w:bCs/>
          <w:color w:val="auto"/>
          <w:sz w:val="24"/>
          <w:highlight w:val="none"/>
        </w:rPr>
        <w:t>采购代理机构先对资格审查文件进行拆封，磋商小组审查响应供应商资格，</w:t>
      </w:r>
      <w:r>
        <w:rPr>
          <w:color w:val="auto"/>
          <w:sz w:val="24"/>
          <w:highlight w:val="none"/>
        </w:rPr>
        <w:t>符合资格的供应商接受磋商小组的各轮磋商。磋商结束后要求所有实质性响应的供应商在规定时间内提交最后报价（提交最后报价的供应商不得少于3家；只有符合“市场竞争不充分的科研项目，以及需要扶持的科技成果转化项目”条件的，提交最后报价的供应商可以为2家），磋商小组采用综合评分法对提交最后报价的供应商的响应文件和最后报价进行评分，</w:t>
      </w:r>
      <w:r>
        <w:rPr>
          <w:rFonts w:hint="eastAsia" w:ascii="宋体" w:hAnsi="宋体" w:cs="宋体"/>
          <w:color w:val="auto"/>
          <w:sz w:val="24"/>
          <w:highlight w:val="none"/>
        </w:rPr>
        <w:t>依据评审方法推荐成交候选人</w:t>
      </w:r>
      <w:r>
        <w:rPr>
          <w:color w:val="auto"/>
          <w:sz w:val="24"/>
          <w:highlight w:val="none"/>
        </w:rPr>
        <w:t>。</w:t>
      </w:r>
    </w:p>
    <w:p w14:paraId="0478CC86">
      <w:pPr>
        <w:autoSpaceDE w:val="0"/>
        <w:autoSpaceDN w:val="0"/>
        <w:adjustRightInd w:val="0"/>
        <w:snapToGrid w:val="0"/>
        <w:spacing w:line="480" w:lineRule="exact"/>
        <w:ind w:right="210" w:firstLine="472" w:firstLineChars="196"/>
        <w:contextualSpacing/>
        <w:rPr>
          <w:b/>
          <w:bCs/>
          <w:color w:val="auto"/>
          <w:sz w:val="24"/>
          <w:highlight w:val="none"/>
        </w:rPr>
      </w:pPr>
      <w:r>
        <w:rPr>
          <w:rFonts w:hint="eastAsia"/>
          <w:b/>
          <w:bCs/>
          <w:color w:val="auto"/>
          <w:sz w:val="24"/>
          <w:highlight w:val="none"/>
          <w:lang w:val="en-US" w:eastAsia="zh-CN"/>
        </w:rPr>
        <w:t>七</w:t>
      </w:r>
      <w:r>
        <w:rPr>
          <w:b/>
          <w:bCs/>
          <w:color w:val="auto"/>
          <w:sz w:val="24"/>
          <w:highlight w:val="none"/>
        </w:rPr>
        <w:t>、相关提示</w:t>
      </w:r>
    </w:p>
    <w:p w14:paraId="1A267E8E">
      <w:pPr>
        <w:snapToGrid w:val="0"/>
        <w:spacing w:line="480" w:lineRule="exact"/>
        <w:ind w:firstLine="480" w:firstLineChars="200"/>
        <w:contextualSpacing/>
        <w:rPr>
          <w:bCs/>
          <w:color w:val="auto"/>
          <w:sz w:val="24"/>
          <w:highlight w:val="none"/>
        </w:rPr>
      </w:pPr>
      <w:r>
        <w:rPr>
          <w:bCs/>
          <w:color w:val="auto"/>
          <w:sz w:val="24"/>
          <w:highlight w:val="none"/>
        </w:rPr>
        <w:t>商务技术部分评审结束后进入最后报价环节，最后报价将作为评审价。采购代理机构发出最后报价填报通知后，所有的响应供应商须在</w:t>
      </w:r>
      <w:r>
        <w:rPr>
          <w:rFonts w:hint="eastAsia"/>
          <w:bCs/>
          <w:color w:val="auto"/>
          <w:sz w:val="24"/>
          <w:highlight w:val="none"/>
        </w:rPr>
        <w:t>规定时间</w:t>
      </w:r>
      <w:r>
        <w:rPr>
          <w:bCs/>
          <w:color w:val="auto"/>
          <w:sz w:val="24"/>
          <w:highlight w:val="none"/>
        </w:rPr>
        <w:t>内填写并提交最后报价，未在规定时间内提交最后报价的，视作无效响应处理</w:t>
      </w:r>
      <w:r>
        <w:rPr>
          <w:bCs/>
          <w:color w:val="auto"/>
          <w:sz w:val="24"/>
          <w:highlight w:val="none"/>
        </w:rPr>
        <w:t>。</w:t>
      </w:r>
    </w:p>
    <w:p w14:paraId="4DA93067">
      <w:pPr>
        <w:autoSpaceDE w:val="0"/>
        <w:autoSpaceDN w:val="0"/>
        <w:adjustRightInd w:val="0"/>
        <w:snapToGrid w:val="0"/>
        <w:spacing w:line="300" w:lineRule="auto"/>
        <w:jc w:val="center"/>
        <w:outlineLvl w:val="0"/>
        <w:rPr>
          <w:rFonts w:asciiTheme="minorEastAsia" w:hAnsiTheme="minorEastAsia" w:eastAsiaTheme="minorEastAsia"/>
          <w:b/>
          <w:bCs/>
          <w:color w:val="auto"/>
          <w:szCs w:val="21"/>
          <w:highlight w:val="none"/>
          <w:lang w:val="zh-CN"/>
        </w:rPr>
      </w:pPr>
      <w:r>
        <w:rPr>
          <w:rFonts w:ascii="仿宋_GB2312" w:eastAsia="仿宋_GB2312"/>
          <w:b/>
          <w:bCs/>
          <w:color w:val="auto"/>
          <w:sz w:val="36"/>
          <w:szCs w:val="36"/>
          <w:highlight w:val="none"/>
          <w:lang w:val="zh-CN"/>
        </w:rPr>
        <w:br w:type="page"/>
      </w:r>
      <w:r>
        <w:rPr>
          <w:rFonts w:hint="eastAsia" w:asciiTheme="minorEastAsia" w:hAnsiTheme="minorEastAsia" w:eastAsiaTheme="minorEastAsia"/>
          <w:b/>
          <w:bCs/>
          <w:color w:val="auto"/>
          <w:sz w:val="36"/>
          <w:szCs w:val="36"/>
          <w:highlight w:val="none"/>
          <w:lang w:val="zh-CN"/>
        </w:rPr>
        <w:t>第三部分 项目需求</w:t>
      </w:r>
    </w:p>
    <w:p w14:paraId="64870858">
      <w:pPr>
        <w:adjustRightInd w:val="0"/>
        <w:snapToGrid w:val="0"/>
        <w:spacing w:line="500" w:lineRule="exact"/>
        <w:ind w:firstLine="482" w:firstLineChars="200"/>
        <w:rPr>
          <w:rFonts w:hint="eastAsia" w:ascii="宋体" w:cs="宋体"/>
          <w:b/>
          <w:color w:val="auto"/>
          <w:kern w:val="0"/>
          <w:sz w:val="24"/>
          <w:highlight w:val="none"/>
          <w:lang w:val="zh-CN"/>
        </w:rPr>
      </w:pPr>
      <w:r>
        <w:rPr>
          <w:rFonts w:hint="eastAsia"/>
          <w:b/>
          <w:color w:val="auto"/>
          <w:sz w:val="24"/>
          <w:highlight w:val="none"/>
        </w:rPr>
        <w:t>供应商</w:t>
      </w:r>
      <w:r>
        <w:rPr>
          <w:b/>
          <w:color w:val="auto"/>
          <w:sz w:val="24"/>
          <w:highlight w:val="none"/>
          <w:lang w:val="zh-CN"/>
        </w:rPr>
        <w:t>在制作</w:t>
      </w:r>
      <w:r>
        <w:rPr>
          <w:rFonts w:hint="eastAsia"/>
          <w:b/>
          <w:color w:val="auto"/>
          <w:sz w:val="24"/>
          <w:highlight w:val="none"/>
        </w:rPr>
        <w:t>响应</w:t>
      </w:r>
      <w:r>
        <w:rPr>
          <w:b/>
          <w:color w:val="auto"/>
          <w:sz w:val="24"/>
          <w:highlight w:val="none"/>
          <w:lang w:val="zh-CN"/>
        </w:rPr>
        <w:t>文件时仔细研究项目需求说明。项目需求包括技术要求和商务要求:技术要求是指对采购标的功能和质量要求，包括性能、材料、结构、外观、安全，或者服务内容和标准等</w:t>
      </w:r>
      <w:r>
        <w:rPr>
          <w:rFonts w:hint="eastAsia"/>
          <w:b/>
          <w:color w:val="auto"/>
          <w:sz w:val="24"/>
          <w:highlight w:val="none"/>
          <w:lang w:val="zh-CN"/>
        </w:rPr>
        <w:t>；</w:t>
      </w:r>
      <w:r>
        <w:rPr>
          <w:b/>
          <w:color w:val="auto"/>
          <w:sz w:val="24"/>
          <w:highlight w:val="none"/>
          <w:lang w:val="zh-CN"/>
        </w:rPr>
        <w:t>商务要求是指取得采购标的的时间、地点、财务和服务要求，包括交付（实施）的时间（期限）和地点（范围），付款条件（进度和方法），</w:t>
      </w:r>
      <w:r>
        <w:rPr>
          <w:rFonts w:hint="eastAsia"/>
          <w:b/>
          <w:color w:val="auto"/>
          <w:sz w:val="24"/>
          <w:highlight w:val="none"/>
        </w:rPr>
        <w:t>商品</w:t>
      </w:r>
      <w:r>
        <w:rPr>
          <w:b/>
          <w:color w:val="auto"/>
          <w:sz w:val="24"/>
          <w:highlight w:val="none"/>
          <w:lang w:val="zh-CN"/>
        </w:rPr>
        <w:t>包装</w:t>
      </w:r>
      <w:r>
        <w:rPr>
          <w:rFonts w:hint="eastAsia"/>
          <w:b/>
          <w:color w:val="auto"/>
          <w:sz w:val="24"/>
          <w:highlight w:val="none"/>
          <w:lang w:val="zh-CN"/>
        </w:rPr>
        <w:t>、</w:t>
      </w:r>
      <w:r>
        <w:rPr>
          <w:rFonts w:hint="eastAsia"/>
          <w:b/>
          <w:color w:val="auto"/>
          <w:sz w:val="24"/>
          <w:highlight w:val="none"/>
        </w:rPr>
        <w:t>快递包装</w:t>
      </w:r>
      <w:r>
        <w:rPr>
          <w:b/>
          <w:color w:val="auto"/>
          <w:sz w:val="24"/>
          <w:highlight w:val="none"/>
          <w:lang w:val="zh-CN"/>
        </w:rPr>
        <w:t>和运输，售后服务，保险等。</w:t>
      </w:r>
    </w:p>
    <w:p w14:paraId="7609221C">
      <w:pPr>
        <w:pStyle w:val="16"/>
        <w:snapToGrid w:val="0"/>
        <w:spacing w:line="480" w:lineRule="exact"/>
        <w:ind w:firstLine="482" w:firstLineChars="200"/>
        <w:rPr>
          <w:rFonts w:ascii="宋体" w:eastAsia="宋体"/>
          <w:color w:val="auto"/>
          <w:sz w:val="24"/>
          <w:szCs w:val="24"/>
          <w:highlight w:val="none"/>
        </w:rPr>
      </w:pPr>
      <w:r>
        <w:rPr>
          <w:rFonts w:hint="eastAsia" w:ascii="宋体" w:eastAsia="宋体" w:cs="宋体"/>
          <w:b/>
          <w:color w:val="auto"/>
          <w:kern w:val="0"/>
          <w:sz w:val="24"/>
          <w:szCs w:val="24"/>
          <w:highlight w:val="none"/>
          <w:lang w:val="zh-CN"/>
        </w:rPr>
        <w:t>请供应商在制作响应文件时仔细研究项目需求说明。</w:t>
      </w:r>
      <w:r>
        <w:rPr>
          <w:rFonts w:hint="eastAsia" w:ascii="宋体" w:eastAsia="宋体" w:cs="宋体"/>
          <w:color w:val="auto"/>
          <w:kern w:val="0"/>
          <w:sz w:val="24"/>
          <w:szCs w:val="24"/>
          <w:highlight w:val="none"/>
          <w:lang w:val="zh-CN"/>
        </w:rPr>
        <w:t>供应商不能简单照搬照抄采购单位项目需求说明中的技术、商务要求，必须作实事求是地响应。如照搬照抄项目需求说明中的技术、商务要求的，成交后供应商在同采购单位签订合同和履约环节中不得提出异议，一切后果和损失由成交供应商承担。如供应商提供的货物和服务同采购单位提出的项目需求说明中的技术、商务要求不同的，必须在《商</w:t>
      </w:r>
      <w:r>
        <w:rPr>
          <w:rFonts w:hint="eastAsia" w:ascii="宋体" w:eastAsia="宋体"/>
          <w:color w:val="auto"/>
          <w:sz w:val="24"/>
          <w:szCs w:val="24"/>
          <w:highlight w:val="none"/>
        </w:rPr>
        <w:t>务部分正负偏离表》和《技术部分正负偏离表》上明示，</w:t>
      </w:r>
      <w:r>
        <w:rPr>
          <w:rFonts w:hint="eastAsia" w:ascii="宋体" w:eastAsia="宋体"/>
          <w:b/>
          <w:bCs/>
          <w:color w:val="auto"/>
          <w:sz w:val="24"/>
          <w:szCs w:val="24"/>
          <w:highlight w:val="none"/>
        </w:rPr>
        <w:t>如不明示的视同完全响应</w:t>
      </w:r>
      <w:r>
        <w:rPr>
          <w:rFonts w:hint="eastAsia" w:ascii="宋体" w:eastAsia="宋体" w:cs="宋体"/>
          <w:color w:val="auto"/>
          <w:kern w:val="0"/>
          <w:sz w:val="24"/>
          <w:szCs w:val="24"/>
          <w:highlight w:val="none"/>
          <w:lang w:val="zh-CN"/>
        </w:rPr>
        <w:t>。</w:t>
      </w:r>
    </w:p>
    <w:p w14:paraId="08CA829C">
      <w:pPr>
        <w:snapToGrid w:val="0"/>
        <w:spacing w:line="480" w:lineRule="exact"/>
        <w:ind w:firstLine="482" w:firstLineChars="200"/>
        <w:rPr>
          <w:rFonts w:hint="eastAsia" w:ascii="宋体" w:hAnsi="宋体"/>
          <w:b/>
          <w:color w:val="auto"/>
          <w:sz w:val="24"/>
          <w:highlight w:val="none"/>
        </w:rPr>
      </w:pPr>
      <w:r>
        <w:rPr>
          <w:rFonts w:hint="eastAsia" w:ascii="宋体" w:hAnsi="宋体"/>
          <w:b/>
          <w:color w:val="auto"/>
          <w:sz w:val="24"/>
          <w:highlight w:val="none"/>
        </w:rPr>
        <w:t>一、有关要求说明</w:t>
      </w:r>
    </w:p>
    <w:p w14:paraId="6C2CE660">
      <w:pPr>
        <w:snapToGrid w:val="0"/>
        <w:spacing w:line="480" w:lineRule="exact"/>
        <w:ind w:firstLine="477" w:firstLineChars="199"/>
        <w:outlineLvl w:val="0"/>
        <w:rPr>
          <w:color w:val="auto"/>
          <w:kern w:val="0"/>
          <w:sz w:val="24"/>
          <w:highlight w:val="none"/>
          <w:lang w:val="zh-CN"/>
        </w:rPr>
      </w:pPr>
      <w:r>
        <w:rPr>
          <w:rFonts w:hint="eastAsia"/>
          <w:color w:val="auto"/>
          <w:kern w:val="0"/>
          <w:sz w:val="24"/>
          <w:highlight w:val="none"/>
          <w:lang w:val="en-US" w:eastAsia="zh-CN"/>
        </w:rPr>
        <w:t>用于本服务项目的</w:t>
      </w:r>
      <w:r>
        <w:rPr>
          <w:color w:val="auto"/>
          <w:kern w:val="0"/>
          <w:sz w:val="24"/>
          <w:highlight w:val="none"/>
          <w:lang w:val="zh-CN"/>
        </w:rPr>
        <w:t>产品必须是全新、未使用过的原装合格正品，完全符合采购文件规定的质量、规格和性能的要求，达到国家或行业规定的标准。</w:t>
      </w:r>
    </w:p>
    <w:p w14:paraId="258B20DB">
      <w:pPr>
        <w:snapToGrid w:val="0"/>
        <w:spacing w:line="480" w:lineRule="exact"/>
        <w:ind w:firstLine="479" w:firstLineChars="199"/>
        <w:outlineLvl w:val="0"/>
        <w:rPr>
          <w:rFonts w:ascii="宋体" w:hAnsi="宋体"/>
          <w:b/>
          <w:color w:val="auto"/>
          <w:sz w:val="24"/>
          <w:highlight w:val="none"/>
        </w:rPr>
      </w:pPr>
      <w:r>
        <w:rPr>
          <w:rFonts w:hint="eastAsia" w:ascii="宋体" w:hAnsi="宋体"/>
          <w:b/>
          <w:color w:val="auto"/>
          <w:sz w:val="24"/>
          <w:highlight w:val="none"/>
        </w:rPr>
        <w:t>二、项目具体需求说明</w:t>
      </w:r>
    </w:p>
    <w:p w14:paraId="0C561B12">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宋体" w:hAnsi="宋体" w:cs="宋体"/>
          <w:b/>
          <w:bCs/>
          <w:color w:val="auto"/>
          <w:sz w:val="24"/>
          <w:highlight w:val="none"/>
        </w:rPr>
      </w:pPr>
      <w:r>
        <w:rPr>
          <w:rFonts w:hint="eastAsia" w:ascii="宋体" w:hAnsi="宋体" w:cs="宋体"/>
          <w:b/>
          <w:bCs/>
          <w:color w:val="auto"/>
          <w:sz w:val="24"/>
          <w:highlight w:val="none"/>
        </w:rPr>
        <w:t>（一）采购标的需实现的功能或者目标, 以及为落实采购政策需满足的要求</w:t>
      </w:r>
    </w:p>
    <w:p w14:paraId="7FD62AF0">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南通日报社以“宣传党的路线、方针、政策、传播新闻和其他信息，促进社会经济文化发展”为宗旨。我社发行的《南通日报》、《江海晚报》等报刊见证了南通人民从解放到建设。作为报刊的发行方，</w:t>
      </w:r>
      <w:r>
        <w:rPr>
          <w:rFonts w:hint="eastAsia" w:ascii="宋体" w:hAnsi="宋体"/>
          <w:color w:val="auto"/>
          <w:sz w:val="24"/>
          <w:highlight w:val="none"/>
          <w:lang w:val="en-US" w:eastAsia="zh-CN"/>
        </w:rPr>
        <w:t>我单位</w:t>
      </w:r>
      <w:r>
        <w:rPr>
          <w:rFonts w:hint="eastAsia" w:ascii="宋体" w:hAnsi="宋体"/>
          <w:color w:val="auto"/>
          <w:sz w:val="24"/>
          <w:highlight w:val="none"/>
        </w:rPr>
        <w:t>有责任将这份</w:t>
      </w:r>
      <w:r>
        <w:rPr>
          <w:rFonts w:hint="eastAsia" w:ascii="宋体" w:hAnsi="宋体"/>
          <w:color w:val="auto"/>
          <w:sz w:val="24"/>
          <w:highlight w:val="none"/>
          <w:lang w:eastAsia="zh-CN"/>
        </w:rPr>
        <w:t>承载着</w:t>
      </w:r>
      <w:r>
        <w:rPr>
          <w:rFonts w:hint="eastAsia" w:ascii="宋体" w:hAnsi="宋体"/>
          <w:color w:val="auto"/>
          <w:sz w:val="24"/>
          <w:highlight w:val="none"/>
        </w:rPr>
        <w:t>南通人民珍贵奋斗史的报刊电子档案妥善留存。</w:t>
      </w:r>
    </w:p>
    <w:p w14:paraId="1E35C831">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但是随着日常业务数据的快速增长，想要长期留存媒体报刊等信息存在一些问题。具体在：（1）IT架构老旧、服务器硬件到了更换周期，CPU、内存、硬盘等关键硬件容易损坏，影响核心业务，维护难，成本高；（2）存储容量告急，其中一个主控损坏，可用容量不到10%，扩容成本高；（3）管理割裂、数据割裂、资源浪费严重；（4）性能低下，数据量增长较快，大文件传输速率慢；（5）国外虚拟化VMware最新版本变成订阅式授权，国外虚拟化平台逐渐不可控等。</w:t>
      </w:r>
    </w:p>
    <w:p w14:paraId="19646982">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因此为提升日报社存储能力，拟从2024年开始，采用服务模式在大楼部署一套超融合存储系统。通过对当前VMware平台的替换升级改造、数据中心基础设施架构的升级、安全能力建设的加强，满足日益增长的存储容量和存储性能平滑扩展的要求，在未来能够更加安全、稳定、高质量的为单位和服务群众提供信息化服务。</w:t>
      </w:r>
    </w:p>
    <w:p w14:paraId="15DAA524">
      <w:pPr>
        <w:tabs>
          <w:tab w:val="left" w:pos="0"/>
        </w:tabs>
        <w:spacing w:line="480" w:lineRule="exact"/>
        <w:rPr>
          <w:rFonts w:ascii="宋体" w:hAnsi="宋体" w:cs="宋体"/>
          <w:b/>
          <w:bCs/>
          <w:color w:val="auto"/>
          <w:sz w:val="24"/>
          <w:highlight w:val="none"/>
        </w:rPr>
      </w:pPr>
      <w:r>
        <w:rPr>
          <w:rFonts w:hint="eastAsia" w:ascii="宋体" w:hAnsi="宋体" w:cs="宋体"/>
          <w:b/>
          <w:bCs/>
          <w:color w:val="auto"/>
          <w:sz w:val="24"/>
          <w:highlight w:val="none"/>
        </w:rPr>
        <w:t>（二）采购标的需执行的国家相关标准、行业标准、地方标准或者其他标准、规范</w:t>
      </w:r>
    </w:p>
    <w:p w14:paraId="2668C975">
      <w:pPr>
        <w:keepNext w:val="0"/>
        <w:keepLines w:val="0"/>
        <w:pageBreakBefore w:val="0"/>
        <w:widowControl w:val="0"/>
        <w:tabs>
          <w:tab w:val="left" w:pos="0"/>
        </w:tabs>
        <w:kinsoku/>
        <w:wordWrap/>
        <w:overflowPunct/>
        <w:topLinePunct w:val="0"/>
        <w:autoSpaceDE/>
        <w:autoSpaceDN/>
        <w:bidi w:val="0"/>
        <w:adjustRightInd/>
        <w:snapToGrid/>
        <w:spacing w:line="480" w:lineRule="exact"/>
        <w:ind w:firstLine="480" w:firstLineChars="200"/>
        <w:textAlignment w:val="auto"/>
        <w:rPr>
          <w:rFonts w:hint="eastAsia" w:eastAsia="宋体"/>
          <w:color w:val="auto"/>
          <w:kern w:val="0"/>
          <w:sz w:val="24"/>
          <w:highlight w:val="none"/>
          <w:lang w:val="zh-CN"/>
        </w:rPr>
      </w:pPr>
      <w:r>
        <w:rPr>
          <w:rFonts w:hint="eastAsia"/>
          <w:color w:val="auto"/>
          <w:kern w:val="0"/>
          <w:sz w:val="24"/>
          <w:highlight w:val="none"/>
          <w:lang w:val="en-US" w:eastAsia="zh-CN"/>
        </w:rPr>
        <w:t>供应商提供</w:t>
      </w:r>
      <w:r>
        <w:rPr>
          <w:rFonts w:hint="eastAsia"/>
          <w:color w:val="auto"/>
          <w:kern w:val="0"/>
          <w:sz w:val="24"/>
          <w:highlight w:val="none"/>
          <w:lang w:val="en-US" w:eastAsia="zh-CN"/>
        </w:rPr>
        <w:t>用于本服务项目</w:t>
      </w:r>
      <w:r>
        <w:rPr>
          <w:rFonts w:hint="eastAsia"/>
          <w:color w:val="auto"/>
          <w:kern w:val="0"/>
          <w:sz w:val="24"/>
          <w:highlight w:val="none"/>
          <w:lang w:val="en-US" w:eastAsia="zh-CN"/>
        </w:rPr>
        <w:t>的</w:t>
      </w:r>
      <w:r>
        <w:rPr>
          <w:rFonts w:hint="eastAsia" w:eastAsia="宋体"/>
          <w:color w:val="auto"/>
          <w:kern w:val="0"/>
          <w:sz w:val="24"/>
          <w:highlight w:val="none"/>
          <w:lang w:val="zh-CN"/>
        </w:rPr>
        <w:t>产品的技术标准按国家标准执行，无国家标准的，按行业标准执行，无国家和行业标准的，按企业标准执行；但在</w:t>
      </w:r>
      <w:r>
        <w:rPr>
          <w:rFonts w:hint="eastAsia"/>
          <w:color w:val="auto"/>
          <w:kern w:val="0"/>
          <w:sz w:val="24"/>
          <w:highlight w:val="none"/>
          <w:lang w:val="en-US" w:eastAsia="zh-CN"/>
        </w:rPr>
        <w:t>采购</w:t>
      </w:r>
      <w:r>
        <w:rPr>
          <w:rFonts w:hint="eastAsia" w:eastAsia="宋体"/>
          <w:color w:val="auto"/>
          <w:kern w:val="0"/>
          <w:sz w:val="24"/>
          <w:highlight w:val="none"/>
          <w:lang w:val="zh-CN"/>
        </w:rPr>
        <w:t>文件中有特别要求的，按</w:t>
      </w:r>
      <w:r>
        <w:rPr>
          <w:rFonts w:hint="eastAsia"/>
          <w:color w:val="auto"/>
          <w:kern w:val="0"/>
          <w:sz w:val="24"/>
          <w:highlight w:val="none"/>
          <w:lang w:val="en-US" w:eastAsia="zh-CN"/>
        </w:rPr>
        <w:t>采购</w:t>
      </w:r>
      <w:r>
        <w:rPr>
          <w:rFonts w:hint="eastAsia" w:eastAsia="宋体"/>
          <w:color w:val="auto"/>
          <w:kern w:val="0"/>
          <w:sz w:val="24"/>
          <w:highlight w:val="none"/>
          <w:lang w:val="zh-CN"/>
        </w:rPr>
        <w:t>文件中规定的要求执行，并且符合相关法律、法规规定的要求。</w:t>
      </w:r>
    </w:p>
    <w:p w14:paraId="1DCD8143">
      <w:pPr>
        <w:keepNext w:val="0"/>
        <w:keepLines w:val="0"/>
        <w:pageBreakBefore w:val="0"/>
        <w:widowControl w:val="0"/>
        <w:tabs>
          <w:tab w:val="left" w:pos="0"/>
        </w:tabs>
        <w:kinsoku/>
        <w:wordWrap/>
        <w:overflowPunct/>
        <w:topLinePunct w:val="0"/>
        <w:autoSpaceDE/>
        <w:autoSpaceDN/>
        <w:bidi w:val="0"/>
        <w:adjustRightInd/>
        <w:snapToGrid/>
        <w:spacing w:line="480" w:lineRule="exact"/>
        <w:textAlignment w:val="auto"/>
        <w:rPr>
          <w:rFonts w:ascii="宋体" w:hAnsi="宋体" w:cs="宋体"/>
          <w:b/>
          <w:bCs/>
          <w:color w:val="auto"/>
          <w:sz w:val="24"/>
          <w:highlight w:val="none"/>
        </w:rPr>
      </w:pPr>
      <w:r>
        <w:rPr>
          <w:rFonts w:hint="eastAsia" w:ascii="宋体" w:hAnsi="宋体" w:cs="宋体"/>
          <w:b/>
          <w:bCs/>
          <w:color w:val="auto"/>
          <w:sz w:val="24"/>
          <w:highlight w:val="none"/>
        </w:rPr>
        <w:t>（三）采购标的需满足的质量、安全、技术规格、物理特性等要求</w:t>
      </w:r>
    </w:p>
    <w:p w14:paraId="76BD2C3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auto"/>
          <w:sz w:val="24"/>
          <w:highlight w:val="none"/>
        </w:rPr>
      </w:pPr>
      <w:r>
        <w:rPr>
          <w:rFonts w:hint="eastAsia" w:eastAsia="宋体"/>
          <w:color w:val="auto"/>
          <w:kern w:val="0"/>
          <w:sz w:val="24"/>
          <w:highlight w:val="none"/>
          <w:lang w:val="zh-CN"/>
        </w:rPr>
        <w:t xml:space="preserve"> </w:t>
      </w:r>
      <w:r>
        <w:rPr>
          <w:rFonts w:hint="eastAsia" w:ascii="宋体" w:hAnsi="宋体"/>
          <w:color w:val="auto"/>
          <w:sz w:val="24"/>
          <w:highlight w:val="none"/>
        </w:rPr>
        <w:t>本次拟采购的服务内容主要包括：</w:t>
      </w:r>
    </w:p>
    <w:p w14:paraId="4289056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1、存储资源服务：</w:t>
      </w:r>
    </w:p>
    <w:p w14:paraId="090089F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提供性能卓越的存储资源，快速高效地处理数据。同时超融合存储服务具有高可靠性和可扩展性，可以在需求变化时进行扩展。</w:t>
      </w:r>
    </w:p>
    <w:p w14:paraId="514DD8F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建设大容量、易扩容、高可靠的存储池，保证既有数据及新增海量报业集团数据存储及调取使用。</w:t>
      </w:r>
    </w:p>
    <w:p w14:paraId="0F3FACA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借助x86服务器虚拟化技术，形成统一的计算资源池和内存资源池，做到资源共享和弹性调配，提升系统资源的使用率，减少物理服务器的个数，节约机房空间，节省电力和空调消耗，建设绿色数据中心。</w:t>
      </w:r>
    </w:p>
    <w:p w14:paraId="453303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采用服务器虚拟化技术，获得系统级高可用、系统级容错、应用级高可用、虚拟机在线迁移、资源动态负载均衡等能力，使得业务系统在可靠性、可用性、可服务性等方面得到提升。</w:t>
      </w:r>
    </w:p>
    <w:p w14:paraId="2CA2837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2、数据保护和备份服务：</w:t>
      </w:r>
    </w:p>
    <w:p w14:paraId="02B6984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超融合存储</w:t>
      </w:r>
    </w:p>
    <w:p w14:paraId="494B1B2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服务提供备份和恢复服务，帮助保护数据和应用程序免遭损坏。可提供灵活的备份和还原策略，可以满足用户的需求。</w:t>
      </w:r>
    </w:p>
    <w:p w14:paraId="7D2516F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同时具备存储虚拟化能力，可以按照业务系统对于不同类型业务要求提供不同的读写性能和存储容量，并且存储是动态可扩展。当前存储性能和容量不能满足现有业务系统的情况下，采用存储在线迁移技术，完整系统存储的热迁移。</w:t>
      </w:r>
    </w:p>
    <w:p w14:paraId="551F6C8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3、数据分析服务：</w:t>
      </w:r>
    </w:p>
    <w:p w14:paraId="60AF798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提供数据分析服务，帮助用户快速获取数据分析结果。可以对大量数据进行处理和分析，帮助用户做出更准确的决策。</w:t>
      </w:r>
    </w:p>
    <w:p w14:paraId="62573AE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提供3节点计算虚拟化报业集团虚拟化信息平台及存储系统，实现算存分离，计算节点与存储节点之间网络不低于25G存储私网。满足目前及将来的视频图片存储和数字化归档存放的容量需求和速率需求。</w:t>
      </w:r>
    </w:p>
    <w:p w14:paraId="57C0ABC0">
      <w:pPr>
        <w:spacing w:line="360" w:lineRule="auto"/>
        <w:jc w:val="center"/>
        <w:rPr>
          <w:rFonts w:ascii="宋体" w:hAnsi="宋体"/>
          <w:color w:val="auto"/>
          <w:sz w:val="24"/>
          <w:highlight w:val="none"/>
        </w:rPr>
      </w:pPr>
      <w:r>
        <w:rPr>
          <w:rFonts w:ascii="宋体" w:hAnsi="宋体"/>
          <w:color w:val="auto"/>
          <w:sz w:val="24"/>
          <w:highlight w:val="none"/>
        </w:rPr>
        <w:drawing>
          <wp:inline distT="0" distB="0" distL="114300" distR="114300">
            <wp:extent cx="5735320" cy="3093085"/>
            <wp:effectExtent l="0" t="0" r="1016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735320" cy="3093085"/>
                    </a:xfrm>
                    <a:prstGeom prst="rect">
                      <a:avLst/>
                    </a:prstGeom>
                    <a:noFill/>
                    <a:ln>
                      <a:noFill/>
                    </a:ln>
                  </pic:spPr>
                </pic:pic>
              </a:graphicData>
            </a:graphic>
          </wp:inline>
        </w:drawing>
      </w:r>
    </w:p>
    <w:p w14:paraId="5C33DE3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提升数字化、高清化制作能力，搭建智能中台。让智能服务于业务系统、资料管理等系统，通过图像、语音、文字识别等辅助业务，让媒体从业人员可以减少繁琐重复的劳动，提高工作效率，采写有思想、有温度、有品质的新闻。</w:t>
      </w:r>
    </w:p>
    <w:p w14:paraId="261B980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eastAsia="宋体"/>
          <w:color w:val="auto"/>
          <w:kern w:val="0"/>
          <w:sz w:val="24"/>
          <w:highlight w:val="none"/>
          <w:lang w:val="zh-CN"/>
        </w:rPr>
      </w:pPr>
      <w:r>
        <w:rPr>
          <w:rFonts w:hint="eastAsia" w:ascii="宋体" w:hAnsi="宋体"/>
          <w:color w:val="auto"/>
          <w:sz w:val="24"/>
          <w:highlight w:val="none"/>
        </w:rPr>
        <w:t>报业集团数据中心平台的IT资源主要采用x86虚拟化为基础架构的集中部署模式，统一监控管理中心资源，这些资源涵盖了计算、存储、网络、安全、应用和数据等。</w:t>
      </w:r>
    </w:p>
    <w:p w14:paraId="37EB4733">
      <w:pPr>
        <w:tabs>
          <w:tab w:val="left" w:pos="0"/>
        </w:tabs>
        <w:snapToGrid w:val="0"/>
        <w:spacing w:before="120" w:after="120" w:line="480" w:lineRule="exact"/>
        <w:rPr>
          <w:rFonts w:ascii="宋体" w:hAnsi="宋体" w:cs="宋体"/>
          <w:b/>
          <w:bCs/>
          <w:color w:val="auto"/>
          <w:sz w:val="24"/>
          <w:highlight w:val="none"/>
        </w:rPr>
      </w:pPr>
      <w:r>
        <w:rPr>
          <w:rFonts w:hint="eastAsia" w:ascii="宋体" w:hAnsi="宋体" w:cs="宋体"/>
          <w:b/>
          <w:bCs/>
          <w:color w:val="auto"/>
          <w:sz w:val="24"/>
          <w:highlight w:val="none"/>
        </w:rPr>
        <w:t>（四）</w:t>
      </w:r>
      <w:r>
        <w:rPr>
          <w:rFonts w:hint="eastAsia" w:ascii="宋体" w:hAnsi="宋体" w:cs="宋体"/>
          <w:b/>
          <w:bCs/>
          <w:color w:val="auto"/>
          <w:sz w:val="24"/>
          <w:highlight w:val="none"/>
        </w:rPr>
        <w:t>为满足本</w:t>
      </w:r>
      <w:r>
        <w:rPr>
          <w:rFonts w:hint="eastAsia" w:ascii="宋体" w:hAnsi="宋体" w:cs="宋体"/>
          <w:b/>
          <w:bCs/>
          <w:color w:val="auto"/>
          <w:sz w:val="24"/>
          <w:highlight w:val="none"/>
          <w:lang w:eastAsia="zh-CN"/>
        </w:rPr>
        <w:t>服务项目</w:t>
      </w:r>
      <w:r>
        <w:rPr>
          <w:rFonts w:hint="eastAsia" w:ascii="宋体" w:hAnsi="宋体" w:cs="宋体"/>
          <w:b/>
          <w:bCs/>
          <w:color w:val="auto"/>
          <w:sz w:val="24"/>
          <w:highlight w:val="none"/>
        </w:rPr>
        <w:t>所须的设备数量、参数、交付及其他相关规定</w:t>
      </w:r>
    </w:p>
    <w:p w14:paraId="5B843F3F">
      <w:pPr>
        <w:widowControl/>
        <w:spacing w:line="480" w:lineRule="exact"/>
        <w:ind w:firstLine="508" w:firstLineChars="200"/>
        <w:jc w:val="left"/>
        <w:rPr>
          <w:rFonts w:hint="eastAsia" w:ascii="宋体" w:hAnsi="宋体"/>
          <w:color w:val="auto"/>
          <w:spacing w:val="7"/>
          <w:kern w:val="0"/>
          <w:sz w:val="24"/>
          <w:highlight w:val="none"/>
          <w:shd w:val="clear" w:color="auto" w:fill="FFFFFF"/>
        </w:rPr>
      </w:pPr>
      <w:r>
        <w:rPr>
          <w:rFonts w:hint="eastAsia" w:ascii="宋体" w:hAnsi="宋体"/>
          <w:color w:val="auto"/>
          <w:spacing w:val="7"/>
          <w:kern w:val="0"/>
          <w:sz w:val="24"/>
          <w:highlight w:val="none"/>
          <w:shd w:val="clear" w:color="auto" w:fill="FFFFFF"/>
        </w:rPr>
        <w:t>1、为满足本</w:t>
      </w:r>
      <w:r>
        <w:rPr>
          <w:rFonts w:hint="eastAsia" w:ascii="宋体" w:hAnsi="宋体"/>
          <w:color w:val="auto"/>
          <w:spacing w:val="7"/>
          <w:kern w:val="0"/>
          <w:sz w:val="24"/>
          <w:highlight w:val="none"/>
          <w:shd w:val="clear" w:color="auto" w:fill="FFFFFF"/>
          <w:lang w:eastAsia="zh-CN"/>
        </w:rPr>
        <w:t>服务项目</w:t>
      </w:r>
      <w:r>
        <w:rPr>
          <w:rFonts w:hint="eastAsia" w:ascii="宋体" w:hAnsi="宋体"/>
          <w:color w:val="auto"/>
          <w:spacing w:val="7"/>
          <w:kern w:val="0"/>
          <w:sz w:val="24"/>
          <w:highlight w:val="none"/>
          <w:shd w:val="clear" w:color="auto" w:fill="FFFFFF"/>
        </w:rPr>
        <w:t>所须的设备数量、参数：</w:t>
      </w:r>
    </w:p>
    <w:p w14:paraId="52180A56">
      <w:pPr>
        <w:pStyle w:val="3"/>
        <w:spacing w:before="0" w:after="0" w:line="360" w:lineRule="auto"/>
        <w:rPr>
          <w:rFonts w:hint="eastAsia" w:ascii="宋体" w:hAnsi="宋体" w:eastAsia="宋体"/>
          <w:bCs/>
          <w:color w:val="auto"/>
          <w:sz w:val="24"/>
          <w:highlight w:val="none"/>
        </w:rPr>
      </w:pPr>
      <w:r>
        <w:rPr>
          <w:rFonts w:hint="eastAsia" w:ascii="宋体" w:hAnsi="宋体" w:eastAsia="宋体"/>
          <w:bCs/>
          <w:color w:val="auto"/>
          <w:sz w:val="24"/>
          <w:highlight w:val="none"/>
          <w:lang w:val="en-US" w:eastAsia="zh-CN"/>
        </w:rPr>
        <w:t>1</w:t>
      </w:r>
      <w:r>
        <w:rPr>
          <w:rFonts w:hint="eastAsia" w:ascii="宋体" w:hAnsi="宋体" w:eastAsia="宋体"/>
          <w:bCs/>
          <w:color w:val="auto"/>
          <w:sz w:val="24"/>
          <w:highlight w:val="none"/>
        </w:rPr>
        <w:t>.1 超融合一体机</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98"/>
        <w:gridCol w:w="7059"/>
      </w:tblGrid>
      <w:tr w14:paraId="3EE11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16" w:type="dxa"/>
            <w:tcMar>
              <w:top w:w="15" w:type="dxa"/>
              <w:left w:w="15" w:type="dxa"/>
              <w:bottom w:w="15" w:type="dxa"/>
              <w:right w:w="15" w:type="dxa"/>
            </w:tcMar>
            <w:vAlign w:val="center"/>
          </w:tcPr>
          <w:p w14:paraId="6F43DED4">
            <w:pPr>
              <w:spacing w:line="276" w:lineRule="auto"/>
              <w:jc w:val="center"/>
              <w:rPr>
                <w:rFonts w:ascii="宋体" w:hAnsi="宋体"/>
                <w:color w:val="auto"/>
                <w:highlight w:val="none"/>
              </w:rPr>
            </w:pPr>
            <w:r>
              <w:rPr>
                <w:rFonts w:hint="eastAsia" w:ascii="宋体" w:hAnsi="宋体" w:cs="宋体"/>
                <w:b/>
                <w:bCs/>
                <w:color w:val="auto"/>
                <w:kern w:val="0"/>
                <w:szCs w:val="21"/>
                <w:highlight w:val="none"/>
              </w:rPr>
              <w:t>指标项</w:t>
            </w:r>
          </w:p>
        </w:tc>
        <w:tc>
          <w:tcPr>
            <w:tcW w:w="6717" w:type="dxa"/>
            <w:tcMar>
              <w:top w:w="15" w:type="dxa"/>
              <w:left w:w="15" w:type="dxa"/>
              <w:bottom w:w="15" w:type="dxa"/>
              <w:right w:w="15" w:type="dxa"/>
            </w:tcMar>
            <w:vAlign w:val="center"/>
          </w:tcPr>
          <w:p w14:paraId="6040501B">
            <w:pPr>
              <w:spacing w:line="276" w:lineRule="auto"/>
              <w:jc w:val="center"/>
              <w:rPr>
                <w:rFonts w:ascii="宋体" w:hAnsi="宋体"/>
                <w:color w:val="auto"/>
                <w:highlight w:val="none"/>
              </w:rPr>
            </w:pPr>
            <w:r>
              <w:rPr>
                <w:rFonts w:hint="eastAsia" w:ascii="宋体" w:hAnsi="宋体" w:cs="宋体"/>
                <w:b/>
                <w:bCs/>
                <w:color w:val="auto"/>
                <w:kern w:val="0"/>
                <w:szCs w:val="21"/>
                <w:highlight w:val="none"/>
              </w:rPr>
              <w:t>技术参数要求</w:t>
            </w:r>
          </w:p>
        </w:tc>
      </w:tr>
      <w:tr w14:paraId="4DBED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16" w:type="dxa"/>
            <w:tcMar>
              <w:top w:w="15" w:type="dxa"/>
              <w:left w:w="15" w:type="dxa"/>
              <w:bottom w:w="15" w:type="dxa"/>
              <w:right w:w="15" w:type="dxa"/>
            </w:tcMar>
            <w:vAlign w:val="center"/>
          </w:tcPr>
          <w:p w14:paraId="3296974A">
            <w:pPr>
              <w:jc w:val="center"/>
              <w:rPr>
                <w:rFonts w:ascii="宋体" w:hAnsi="宋体"/>
                <w:color w:val="auto"/>
                <w:highlight w:val="none"/>
              </w:rPr>
            </w:pPr>
            <w:r>
              <w:rPr>
                <w:rFonts w:hint="eastAsia" w:cs="宋体"/>
                <w:color w:val="auto"/>
                <w:highlight w:val="none"/>
              </w:rPr>
              <w:t>★</w:t>
            </w:r>
            <w:r>
              <w:rPr>
                <w:rFonts w:hint="eastAsia" w:ascii="宋体" w:hAnsi="宋体"/>
                <w:color w:val="auto"/>
                <w:highlight w:val="none"/>
              </w:rPr>
              <w:t>服务器硬件</w:t>
            </w:r>
          </w:p>
        </w:tc>
        <w:tc>
          <w:tcPr>
            <w:tcW w:w="6717" w:type="dxa"/>
            <w:tcMar>
              <w:top w:w="15" w:type="dxa"/>
              <w:left w:w="15" w:type="dxa"/>
              <w:bottom w:w="15" w:type="dxa"/>
              <w:right w:w="15" w:type="dxa"/>
            </w:tcMar>
            <w:vAlign w:val="center"/>
          </w:tcPr>
          <w:p w14:paraId="51722EE7">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数量</w:t>
            </w:r>
            <w:r>
              <w:rPr>
                <w:rFonts w:hint="eastAsia" w:ascii="宋体" w:hAnsi="宋体" w:eastAsia="宋体" w:cs="宋体"/>
                <w:bCs/>
                <w:color w:val="auto"/>
                <w:kern w:val="0"/>
                <w:szCs w:val="21"/>
                <w:highlight w:val="none"/>
                <w:lang w:val="en-US" w:eastAsia="zh-CN"/>
              </w:rPr>
              <w:t>=</w:t>
            </w:r>
            <w:r>
              <w:rPr>
                <w:rFonts w:hint="eastAsia" w:ascii="宋体" w:hAnsi="宋体" w:eastAsia="宋体" w:cs="宋体"/>
                <w:bCs/>
                <w:color w:val="auto"/>
                <w:kern w:val="0"/>
                <w:szCs w:val="21"/>
                <w:highlight w:val="none"/>
              </w:rPr>
              <w:t>3台</w:t>
            </w:r>
          </w:p>
          <w:p w14:paraId="108E07CE">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每台配置不低于：</w:t>
            </w:r>
          </w:p>
          <w:p w14:paraId="7C4B8741">
            <w:pPr>
              <w:keepNext w:val="0"/>
              <w:keepLines w:val="0"/>
              <w:pageBreakBefore w:val="0"/>
              <w:widowControl/>
              <w:numPr>
                <w:ilvl w:val="0"/>
                <w:numId w:val="1"/>
              </w:numPr>
              <w:kinsoku/>
              <w:wordWrap/>
              <w:overflowPunct/>
              <w:topLinePunct w:val="0"/>
              <w:autoSpaceDE/>
              <w:autoSpaceDN/>
              <w:bidi w:val="0"/>
              <w:adjustRightInd/>
              <w:snapToGrid/>
              <w:spacing w:line="440" w:lineRule="exact"/>
              <w:jc w:val="left"/>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 xml:space="preserve">CPU：2颗Intel Xeon Gold 6326 </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"mailto:CPU@2.90GHZ（16C）"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szCs w:val="21"/>
                <w:highlight w:val="none"/>
              </w:rPr>
              <w:t>CPU@2.90GHZ（16C）</w:t>
            </w:r>
            <w:r>
              <w:rPr>
                <w:rFonts w:hint="eastAsia" w:ascii="宋体" w:hAnsi="宋体" w:eastAsia="宋体" w:cs="宋体"/>
                <w:bCs/>
                <w:color w:val="auto"/>
                <w:kern w:val="0"/>
                <w:szCs w:val="21"/>
                <w:highlight w:val="none"/>
              </w:rPr>
              <w:fldChar w:fldCharType="end"/>
            </w:r>
          </w:p>
          <w:p w14:paraId="12E7F556">
            <w:pPr>
              <w:keepNext w:val="0"/>
              <w:keepLines w:val="0"/>
              <w:pageBreakBefore w:val="0"/>
              <w:widowControl/>
              <w:numPr>
                <w:ilvl w:val="0"/>
                <w:numId w:val="1"/>
              </w:numPr>
              <w:kinsoku/>
              <w:wordWrap/>
              <w:overflowPunct/>
              <w:topLinePunct w:val="0"/>
              <w:autoSpaceDE/>
              <w:autoSpaceDN/>
              <w:bidi w:val="0"/>
              <w:adjustRightInd/>
              <w:snapToGrid/>
              <w:spacing w:line="440" w:lineRule="exact"/>
              <w:jc w:val="left"/>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内存：16*32GB DDR4</w:t>
            </w:r>
          </w:p>
          <w:p w14:paraId="1A28E367">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3）系统盘：2*240GB SATA SSD</w:t>
            </w:r>
          </w:p>
          <w:p w14:paraId="258F12E0">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4）数据盘：7.68T-U.2-NVME-SSD(*4个)</w:t>
            </w:r>
          </w:p>
          <w:p w14:paraId="60CEC315">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5）网卡：4千兆电口+2万兆光口（含光模块）+2个25G光接口(含光模块)</w:t>
            </w:r>
          </w:p>
          <w:p w14:paraId="1B87B719">
            <w:pPr>
              <w:keepNext w:val="0"/>
              <w:keepLines w:val="0"/>
              <w:pageBreakBefore w:val="0"/>
              <w:kinsoku/>
              <w:wordWrap/>
              <w:overflowPunct/>
              <w:topLinePunct w:val="0"/>
              <w:autoSpaceDE/>
              <w:autoSpaceDN/>
              <w:bidi w:val="0"/>
              <w:adjustRightInd/>
              <w:snapToGrid/>
              <w:spacing w:line="440" w:lineRule="exact"/>
              <w:rPr>
                <w:rFonts w:hint="eastAsia" w:ascii="宋体" w:hAnsi="宋体" w:cs="宋体"/>
                <w:bCs/>
                <w:color w:val="auto"/>
                <w:kern w:val="0"/>
                <w:szCs w:val="21"/>
                <w:highlight w:val="none"/>
              </w:rPr>
            </w:pPr>
            <w:r>
              <w:rPr>
                <w:rFonts w:hint="eastAsia" w:ascii="宋体" w:hAnsi="宋体" w:eastAsia="宋体" w:cs="宋体"/>
                <w:bCs/>
                <w:color w:val="auto"/>
                <w:kern w:val="0"/>
                <w:szCs w:val="21"/>
                <w:highlight w:val="none"/>
              </w:rPr>
              <w:t>6）冗余电源</w:t>
            </w:r>
          </w:p>
        </w:tc>
      </w:tr>
      <w:tr w14:paraId="6777D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16" w:type="dxa"/>
            <w:vMerge w:val="restart"/>
            <w:tcMar>
              <w:top w:w="15" w:type="dxa"/>
              <w:left w:w="15" w:type="dxa"/>
              <w:bottom w:w="15" w:type="dxa"/>
              <w:right w:w="15" w:type="dxa"/>
            </w:tcMar>
            <w:vAlign w:val="center"/>
          </w:tcPr>
          <w:p w14:paraId="55CAB0A3">
            <w:pPr>
              <w:jc w:val="center"/>
              <w:rPr>
                <w:rFonts w:ascii="宋体" w:hAnsi="宋体"/>
                <w:color w:val="auto"/>
                <w:highlight w:val="none"/>
              </w:rPr>
            </w:pPr>
            <w:r>
              <w:rPr>
                <w:rFonts w:hint="eastAsia" w:ascii="宋体" w:hAnsi="宋体"/>
                <w:color w:val="auto"/>
                <w:highlight w:val="none"/>
              </w:rPr>
              <w:t>计算虚拟化软件</w:t>
            </w:r>
          </w:p>
        </w:tc>
        <w:tc>
          <w:tcPr>
            <w:tcW w:w="6717" w:type="dxa"/>
            <w:tcMar>
              <w:top w:w="15" w:type="dxa"/>
              <w:left w:w="15" w:type="dxa"/>
              <w:bottom w:w="15" w:type="dxa"/>
              <w:right w:w="15" w:type="dxa"/>
            </w:tcMar>
            <w:vAlign w:val="center"/>
          </w:tcPr>
          <w:p w14:paraId="3A3E076D">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olor w:val="auto"/>
                <w:highlight w:val="none"/>
              </w:rPr>
            </w:pPr>
            <w:r>
              <w:rPr>
                <w:rFonts w:hint="eastAsia" w:cs="宋体"/>
                <w:color w:val="auto"/>
                <w:highlight w:val="none"/>
              </w:rPr>
              <w:t>★</w:t>
            </w:r>
            <w:r>
              <w:rPr>
                <w:rFonts w:hint="eastAsia" w:ascii="宋体" w:hAnsi="宋体"/>
                <w:color w:val="auto"/>
                <w:highlight w:val="none"/>
              </w:rPr>
              <w:t>配置不少于6颗CPU服务器虚拟化软件授权，需为企业版及以上版本。</w:t>
            </w:r>
          </w:p>
        </w:tc>
      </w:tr>
      <w:tr w14:paraId="3666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616" w:type="dxa"/>
            <w:vMerge w:val="continue"/>
            <w:vAlign w:val="center"/>
          </w:tcPr>
          <w:p w14:paraId="7F2BF5D3">
            <w:pPr>
              <w:jc w:val="center"/>
              <w:rPr>
                <w:rFonts w:ascii="宋体" w:hAnsi="宋体"/>
                <w:color w:val="auto"/>
                <w:highlight w:val="none"/>
              </w:rPr>
            </w:pPr>
          </w:p>
        </w:tc>
        <w:tc>
          <w:tcPr>
            <w:tcW w:w="6717" w:type="dxa"/>
            <w:tcMar>
              <w:top w:w="15" w:type="dxa"/>
              <w:left w:w="15" w:type="dxa"/>
              <w:bottom w:w="15" w:type="dxa"/>
              <w:right w:w="15" w:type="dxa"/>
            </w:tcMar>
            <w:vAlign w:val="center"/>
          </w:tcPr>
          <w:p w14:paraId="5685986C">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olor w:val="auto"/>
                <w:highlight w:val="none"/>
              </w:rPr>
            </w:pPr>
            <w:r>
              <w:rPr>
                <w:rFonts w:hint="eastAsia" w:ascii="宋体" w:hAnsi="宋体"/>
                <w:color w:val="auto"/>
                <w:highlight w:val="none"/>
              </w:rPr>
              <w:t>自动收集所有的相关的组件的日志，告警，提供告警合并功能。</w:t>
            </w:r>
          </w:p>
        </w:tc>
      </w:tr>
      <w:tr w14:paraId="50198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16" w:type="dxa"/>
            <w:vMerge w:val="restart"/>
            <w:tcMar>
              <w:top w:w="15" w:type="dxa"/>
              <w:left w:w="15" w:type="dxa"/>
              <w:bottom w:w="15" w:type="dxa"/>
              <w:right w:w="15" w:type="dxa"/>
            </w:tcMar>
            <w:vAlign w:val="center"/>
          </w:tcPr>
          <w:p w14:paraId="6AE89E98">
            <w:pPr>
              <w:jc w:val="center"/>
              <w:rPr>
                <w:rFonts w:ascii="宋体" w:hAnsi="宋体"/>
                <w:color w:val="auto"/>
                <w:highlight w:val="none"/>
              </w:rPr>
            </w:pPr>
            <w:r>
              <w:rPr>
                <w:rFonts w:hint="eastAsia" w:ascii="宋体" w:hAnsi="宋体"/>
                <w:color w:val="auto"/>
                <w:highlight w:val="none"/>
              </w:rPr>
              <w:t>存储虚拟化</w:t>
            </w:r>
          </w:p>
        </w:tc>
        <w:tc>
          <w:tcPr>
            <w:tcW w:w="6717" w:type="dxa"/>
            <w:tcMar>
              <w:top w:w="15" w:type="dxa"/>
              <w:left w:w="15" w:type="dxa"/>
              <w:bottom w:w="15" w:type="dxa"/>
              <w:right w:w="15" w:type="dxa"/>
            </w:tcMar>
            <w:vAlign w:val="center"/>
          </w:tcPr>
          <w:p w14:paraId="4DB99B59">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olor w:val="auto"/>
                <w:highlight w:val="none"/>
              </w:rPr>
            </w:pPr>
            <w:r>
              <w:rPr>
                <w:rFonts w:hint="eastAsia" w:cs="宋体"/>
                <w:color w:val="auto"/>
                <w:highlight w:val="none"/>
              </w:rPr>
              <w:t>★</w:t>
            </w:r>
            <w:r>
              <w:rPr>
                <w:rFonts w:hint="eastAsia" w:ascii="宋体" w:hAnsi="宋体"/>
                <w:color w:val="auto"/>
                <w:highlight w:val="none"/>
              </w:rPr>
              <w:t>配置不少于6颗CPU的存储虚拟化企业版授权。</w:t>
            </w:r>
          </w:p>
        </w:tc>
      </w:tr>
      <w:tr w14:paraId="11BAC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16" w:type="dxa"/>
            <w:vMerge w:val="continue"/>
            <w:vAlign w:val="center"/>
          </w:tcPr>
          <w:p w14:paraId="48FFA090">
            <w:pPr>
              <w:jc w:val="center"/>
              <w:rPr>
                <w:rFonts w:ascii="宋体" w:hAnsi="宋体"/>
                <w:color w:val="auto"/>
                <w:highlight w:val="none"/>
              </w:rPr>
            </w:pPr>
          </w:p>
        </w:tc>
        <w:tc>
          <w:tcPr>
            <w:tcW w:w="6717" w:type="dxa"/>
            <w:tcMar>
              <w:top w:w="15" w:type="dxa"/>
              <w:left w:w="15" w:type="dxa"/>
              <w:bottom w:w="15" w:type="dxa"/>
              <w:right w:w="15" w:type="dxa"/>
            </w:tcMar>
            <w:vAlign w:val="center"/>
          </w:tcPr>
          <w:p w14:paraId="73F770F6">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olor w:val="auto"/>
                <w:highlight w:val="none"/>
              </w:rPr>
            </w:pPr>
            <w:r>
              <w:rPr>
                <w:rFonts w:hint="eastAsia" w:ascii="宋体" w:hAnsi="宋体"/>
                <w:color w:val="auto"/>
                <w:highlight w:val="none"/>
              </w:rPr>
              <w:t>为保证硬盘健康，当服务器硬件出现SSD卡盘时，显示并告警对应硬盘，并对卡盘进行自动隔离。</w:t>
            </w:r>
          </w:p>
        </w:tc>
      </w:tr>
      <w:tr w14:paraId="5419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16" w:type="dxa"/>
            <w:vMerge w:val="continue"/>
            <w:vAlign w:val="center"/>
          </w:tcPr>
          <w:p w14:paraId="267C2C3D">
            <w:pPr>
              <w:jc w:val="center"/>
              <w:rPr>
                <w:rFonts w:ascii="宋体" w:hAnsi="宋体"/>
                <w:color w:val="auto"/>
                <w:highlight w:val="none"/>
              </w:rPr>
            </w:pPr>
          </w:p>
        </w:tc>
        <w:tc>
          <w:tcPr>
            <w:tcW w:w="6717" w:type="dxa"/>
            <w:tcMar>
              <w:top w:w="15" w:type="dxa"/>
              <w:left w:w="15" w:type="dxa"/>
              <w:bottom w:w="15" w:type="dxa"/>
              <w:right w:w="15" w:type="dxa"/>
            </w:tcMar>
            <w:vAlign w:val="center"/>
          </w:tcPr>
          <w:p w14:paraId="6FC76AD5">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olor w:val="auto"/>
                <w:highlight w:val="none"/>
              </w:rPr>
            </w:pPr>
            <w:r>
              <w:rPr>
                <w:rFonts w:hint="eastAsia" w:ascii="宋体" w:hAnsi="宋体" w:cs="宋体"/>
                <w:bCs/>
                <w:color w:val="auto"/>
                <w:kern w:val="0"/>
                <w:szCs w:val="21"/>
                <w:highlight w:val="none"/>
              </w:rPr>
              <w:t>为了提升我单位对于数据的保障，快照类型需要支持存储快照、磁盘快照</w:t>
            </w:r>
            <w:r>
              <w:rPr>
                <w:rFonts w:hint="eastAsia" w:ascii="宋体" w:hAnsi="宋体" w:cs="宋体"/>
                <w:bCs/>
                <w:color w:val="auto"/>
                <w:kern w:val="0"/>
                <w:szCs w:val="21"/>
                <w:highlight w:val="none"/>
                <w:lang w:val="en-US" w:eastAsia="zh-CN"/>
              </w:rPr>
              <w:t>,</w:t>
            </w:r>
            <w:r>
              <w:rPr>
                <w:rFonts w:hint="eastAsia" w:ascii="宋体" w:hAnsi="宋体" w:cs="宋体"/>
                <w:bCs/>
                <w:color w:val="auto"/>
                <w:kern w:val="0"/>
                <w:szCs w:val="21"/>
                <w:highlight w:val="none"/>
              </w:rPr>
              <w:t>支持静默快照功能。</w:t>
            </w:r>
          </w:p>
        </w:tc>
      </w:tr>
      <w:tr w14:paraId="1729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16" w:type="dxa"/>
            <w:vMerge w:val="continue"/>
            <w:vAlign w:val="center"/>
          </w:tcPr>
          <w:p w14:paraId="536D12ED">
            <w:pPr>
              <w:jc w:val="center"/>
              <w:rPr>
                <w:rFonts w:ascii="宋体" w:hAnsi="宋体"/>
                <w:color w:val="auto"/>
                <w:highlight w:val="none"/>
              </w:rPr>
            </w:pPr>
          </w:p>
        </w:tc>
        <w:tc>
          <w:tcPr>
            <w:tcW w:w="6717" w:type="dxa"/>
            <w:tcMar>
              <w:top w:w="15" w:type="dxa"/>
              <w:left w:w="15" w:type="dxa"/>
              <w:bottom w:w="15" w:type="dxa"/>
              <w:right w:w="15" w:type="dxa"/>
            </w:tcMar>
            <w:vAlign w:val="center"/>
          </w:tcPr>
          <w:p w14:paraId="54C45AA6">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olor w:val="auto"/>
                <w:highlight w:val="none"/>
              </w:rPr>
            </w:pPr>
            <w:r>
              <w:rPr>
                <w:rFonts w:hint="eastAsia" w:ascii="宋体" w:hAnsi="宋体"/>
                <w:color w:val="auto"/>
                <w:highlight w:val="none"/>
              </w:rPr>
              <w:t>支持智能坏道预测，准确识别出接下来会出现坏道的硬盘，实现故障前预测并处理，规避故障风险。</w:t>
            </w:r>
          </w:p>
        </w:tc>
      </w:tr>
      <w:tr w14:paraId="67150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16" w:type="dxa"/>
            <w:vMerge w:val="continue"/>
            <w:vAlign w:val="center"/>
          </w:tcPr>
          <w:p w14:paraId="28A91534">
            <w:pPr>
              <w:jc w:val="center"/>
              <w:rPr>
                <w:rFonts w:ascii="宋体" w:hAnsi="宋体"/>
                <w:color w:val="auto"/>
                <w:highlight w:val="none"/>
              </w:rPr>
            </w:pPr>
          </w:p>
        </w:tc>
        <w:tc>
          <w:tcPr>
            <w:tcW w:w="6717" w:type="dxa"/>
            <w:tcMar>
              <w:top w:w="15" w:type="dxa"/>
              <w:left w:w="15" w:type="dxa"/>
              <w:bottom w:w="15" w:type="dxa"/>
              <w:right w:w="15" w:type="dxa"/>
            </w:tcMar>
            <w:vAlign w:val="center"/>
          </w:tcPr>
          <w:p w14:paraId="5F753031">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olor w:val="auto"/>
                <w:highlight w:val="none"/>
              </w:rPr>
            </w:pPr>
            <w:r>
              <w:rPr>
                <w:rFonts w:hint="eastAsia" w:ascii="宋体" w:hAnsi="宋体" w:cs="宋体"/>
                <w:bCs/>
                <w:color w:val="auto"/>
                <w:kern w:val="0"/>
                <w:szCs w:val="21"/>
                <w:highlight w:val="none"/>
              </w:rPr>
              <w:t>▲支持坏道扫描功能，由用户设置扫描的时间段定期对集群的硬盘进行扫描，及时发现潜藏的坏道（中标后签订合同前提供截图证明并加盖原厂公章）</w:t>
            </w:r>
          </w:p>
        </w:tc>
      </w:tr>
      <w:tr w14:paraId="501D9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16" w:type="dxa"/>
            <w:vMerge w:val="restart"/>
            <w:tcMar>
              <w:top w:w="15" w:type="dxa"/>
              <w:left w:w="15" w:type="dxa"/>
              <w:bottom w:w="15" w:type="dxa"/>
              <w:right w:w="15" w:type="dxa"/>
            </w:tcMar>
            <w:vAlign w:val="center"/>
          </w:tcPr>
          <w:p w14:paraId="2D1F43B3">
            <w:pPr>
              <w:jc w:val="center"/>
              <w:rPr>
                <w:rFonts w:ascii="宋体" w:hAnsi="宋体"/>
                <w:color w:val="auto"/>
                <w:highlight w:val="none"/>
              </w:rPr>
            </w:pPr>
            <w:r>
              <w:rPr>
                <w:rFonts w:hint="eastAsia" w:ascii="宋体" w:hAnsi="宋体"/>
                <w:color w:val="auto"/>
                <w:highlight w:val="none"/>
              </w:rPr>
              <w:t>网络虚拟化</w:t>
            </w:r>
          </w:p>
        </w:tc>
        <w:tc>
          <w:tcPr>
            <w:tcW w:w="6717" w:type="dxa"/>
            <w:tcMar>
              <w:top w:w="15" w:type="dxa"/>
              <w:left w:w="15" w:type="dxa"/>
              <w:bottom w:w="15" w:type="dxa"/>
              <w:right w:w="15" w:type="dxa"/>
            </w:tcMar>
            <w:vAlign w:val="center"/>
          </w:tcPr>
          <w:p w14:paraId="7919AF67">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olor w:val="auto"/>
                <w:highlight w:val="none"/>
              </w:rPr>
            </w:pPr>
            <w:r>
              <w:rPr>
                <w:rFonts w:hint="eastAsia" w:cs="宋体"/>
                <w:color w:val="auto"/>
                <w:highlight w:val="none"/>
              </w:rPr>
              <w:t>★</w:t>
            </w:r>
            <w:r>
              <w:rPr>
                <w:rFonts w:hint="eastAsia" w:ascii="宋体" w:hAnsi="宋体"/>
                <w:color w:val="auto"/>
                <w:highlight w:val="none"/>
              </w:rPr>
              <w:t>配置不少于6颗CPU网络虚拟化企业版授权。</w:t>
            </w:r>
          </w:p>
        </w:tc>
      </w:tr>
      <w:tr w14:paraId="4C458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16" w:type="dxa"/>
            <w:vMerge w:val="continue"/>
            <w:vAlign w:val="center"/>
          </w:tcPr>
          <w:p w14:paraId="5FD66F14">
            <w:pPr>
              <w:jc w:val="center"/>
              <w:rPr>
                <w:rFonts w:ascii="宋体" w:hAnsi="宋体"/>
                <w:color w:val="auto"/>
                <w:highlight w:val="none"/>
              </w:rPr>
            </w:pPr>
          </w:p>
        </w:tc>
        <w:tc>
          <w:tcPr>
            <w:tcW w:w="6717" w:type="dxa"/>
            <w:tcMar>
              <w:top w:w="15" w:type="dxa"/>
              <w:left w:w="15" w:type="dxa"/>
              <w:bottom w:w="15" w:type="dxa"/>
              <w:right w:w="15" w:type="dxa"/>
            </w:tcMar>
            <w:vAlign w:val="center"/>
          </w:tcPr>
          <w:p w14:paraId="202F4EDE">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olor w:val="auto"/>
                <w:highlight w:val="none"/>
              </w:rPr>
            </w:pPr>
            <w:r>
              <w:rPr>
                <w:rFonts w:hint="eastAsia" w:ascii="宋体" w:hAnsi="宋体" w:cs="宋体"/>
                <w:bCs/>
                <w:color w:val="auto"/>
                <w:kern w:val="0"/>
                <w:szCs w:val="21"/>
                <w:highlight w:val="none"/>
              </w:rPr>
              <w:t>▲需要能够在图形化管理平台上，通过拖动等方式完成虚拟网络拓扑创建。（中标后签订合同前提供截图证明并加盖原厂公章）</w:t>
            </w:r>
          </w:p>
        </w:tc>
      </w:tr>
      <w:tr w14:paraId="006BD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616" w:type="dxa"/>
            <w:vMerge w:val="continue"/>
            <w:vAlign w:val="center"/>
          </w:tcPr>
          <w:p w14:paraId="7ADB91B7">
            <w:pPr>
              <w:jc w:val="center"/>
              <w:rPr>
                <w:rFonts w:ascii="宋体" w:hAnsi="宋体"/>
                <w:color w:val="auto"/>
                <w:highlight w:val="none"/>
              </w:rPr>
            </w:pPr>
          </w:p>
        </w:tc>
        <w:tc>
          <w:tcPr>
            <w:tcW w:w="6717" w:type="dxa"/>
            <w:tcMar>
              <w:top w:w="15" w:type="dxa"/>
              <w:left w:w="15" w:type="dxa"/>
              <w:bottom w:w="15" w:type="dxa"/>
              <w:right w:w="15" w:type="dxa"/>
            </w:tcMar>
            <w:vAlign w:val="center"/>
          </w:tcPr>
          <w:p w14:paraId="71CB0CF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olor w:val="auto"/>
                <w:highlight w:val="none"/>
              </w:rPr>
            </w:pPr>
            <w:r>
              <w:rPr>
                <w:rFonts w:hint="eastAsia" w:ascii="宋体" w:hAnsi="宋体" w:cs="宋体"/>
                <w:bCs/>
                <w:color w:val="auto"/>
                <w:kern w:val="0"/>
                <w:szCs w:val="21"/>
                <w:highlight w:val="none"/>
              </w:rPr>
              <w:t>为能定位业务虚拟机出现的网络问题，需提供网络可视化功能，观察到所有虚拟机的流量走向与访问关系。</w:t>
            </w:r>
          </w:p>
        </w:tc>
      </w:tr>
      <w:tr w14:paraId="093FC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16" w:type="dxa"/>
            <w:vMerge w:val="continue"/>
            <w:vAlign w:val="center"/>
          </w:tcPr>
          <w:p w14:paraId="59714BC7">
            <w:pPr>
              <w:jc w:val="center"/>
              <w:rPr>
                <w:rFonts w:ascii="宋体" w:hAnsi="宋体"/>
                <w:color w:val="auto"/>
                <w:highlight w:val="none"/>
              </w:rPr>
            </w:pPr>
          </w:p>
        </w:tc>
        <w:tc>
          <w:tcPr>
            <w:tcW w:w="6717" w:type="dxa"/>
            <w:tcMar>
              <w:top w:w="15" w:type="dxa"/>
              <w:left w:w="15" w:type="dxa"/>
              <w:bottom w:w="15" w:type="dxa"/>
              <w:right w:w="15" w:type="dxa"/>
            </w:tcMar>
            <w:vAlign w:val="center"/>
          </w:tcPr>
          <w:p w14:paraId="77CEBA64">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olor w:val="auto"/>
                <w:highlight w:val="none"/>
              </w:rPr>
            </w:pPr>
            <w:r>
              <w:rPr>
                <w:rFonts w:hint="eastAsia" w:ascii="宋体" w:hAnsi="宋体"/>
                <w:color w:val="auto"/>
                <w:highlight w:val="none"/>
              </w:rPr>
              <w:t>分布式防火墙基于监测虚机IP地址和端口进行东西向流量隔离控制，并提供实时拦截日志，方便出现问题快速定位问题。</w:t>
            </w:r>
          </w:p>
        </w:tc>
      </w:tr>
      <w:tr w14:paraId="2BCA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16" w:type="dxa"/>
            <w:vMerge w:val="restart"/>
            <w:vAlign w:val="center"/>
          </w:tcPr>
          <w:p w14:paraId="3B4930D5">
            <w:pPr>
              <w:jc w:val="center"/>
              <w:rPr>
                <w:rFonts w:ascii="宋体" w:hAnsi="宋体"/>
                <w:color w:val="auto"/>
                <w:highlight w:val="none"/>
              </w:rPr>
            </w:pPr>
            <w:r>
              <w:rPr>
                <w:rFonts w:hint="eastAsia" w:ascii="宋体" w:hAnsi="宋体"/>
                <w:color w:val="auto"/>
                <w:highlight w:val="none"/>
              </w:rPr>
              <w:t>云计算管理软件</w:t>
            </w:r>
          </w:p>
        </w:tc>
        <w:tc>
          <w:tcPr>
            <w:tcW w:w="6717" w:type="dxa"/>
            <w:tcMar>
              <w:top w:w="15" w:type="dxa"/>
              <w:left w:w="15" w:type="dxa"/>
              <w:bottom w:w="15" w:type="dxa"/>
              <w:right w:w="15" w:type="dxa"/>
            </w:tcMar>
            <w:vAlign w:val="center"/>
          </w:tcPr>
          <w:p w14:paraId="03F25DF9">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olor w:val="auto"/>
                <w:highlight w:val="none"/>
              </w:rPr>
            </w:pPr>
            <w:r>
              <w:rPr>
                <w:rFonts w:hint="eastAsia" w:cs="宋体"/>
                <w:color w:val="auto"/>
                <w:highlight w:val="none"/>
              </w:rPr>
              <w:t>★</w:t>
            </w:r>
            <w:r>
              <w:rPr>
                <w:rFonts w:hint="eastAsia" w:ascii="宋体" w:hAnsi="宋体"/>
                <w:color w:val="auto"/>
                <w:highlight w:val="none"/>
              </w:rPr>
              <w:t>配置不少于6颗CPU云计算管理软件授权</w:t>
            </w:r>
          </w:p>
        </w:tc>
      </w:tr>
      <w:tr w14:paraId="493A7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16" w:type="dxa"/>
            <w:vMerge w:val="continue"/>
            <w:vAlign w:val="center"/>
          </w:tcPr>
          <w:p w14:paraId="5E3E2586">
            <w:pPr>
              <w:jc w:val="center"/>
              <w:rPr>
                <w:rFonts w:ascii="宋体" w:hAnsi="宋体"/>
                <w:color w:val="auto"/>
                <w:highlight w:val="none"/>
              </w:rPr>
            </w:pPr>
          </w:p>
        </w:tc>
        <w:tc>
          <w:tcPr>
            <w:tcW w:w="6717" w:type="dxa"/>
            <w:tcMar>
              <w:top w:w="15" w:type="dxa"/>
              <w:left w:w="15" w:type="dxa"/>
              <w:bottom w:w="15" w:type="dxa"/>
              <w:right w:w="15" w:type="dxa"/>
            </w:tcMar>
            <w:vAlign w:val="center"/>
          </w:tcPr>
          <w:p w14:paraId="7CFF313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highlight w:val="none"/>
              </w:rPr>
            </w:pPr>
            <w:r>
              <w:rPr>
                <w:rFonts w:hint="eastAsia" w:ascii="宋体" w:hAnsi="宋体"/>
                <w:color w:val="auto"/>
                <w:highlight w:val="none"/>
              </w:rPr>
              <w:t>支持大屏展示便于我单位直观查看虚拟化资源池的使用情况和健康状态。</w:t>
            </w:r>
          </w:p>
        </w:tc>
      </w:tr>
      <w:tr w14:paraId="378CB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16" w:type="dxa"/>
            <w:vAlign w:val="center"/>
          </w:tcPr>
          <w:p w14:paraId="5DC3FEF2">
            <w:pPr>
              <w:jc w:val="center"/>
              <w:rPr>
                <w:rFonts w:ascii="宋体" w:hAnsi="宋体"/>
                <w:color w:val="auto"/>
                <w:highlight w:val="none"/>
              </w:rPr>
            </w:pPr>
            <w:r>
              <w:rPr>
                <w:rFonts w:hint="eastAsia" w:ascii="宋体" w:hAnsi="宋体"/>
                <w:color w:val="auto"/>
                <w:highlight w:val="none"/>
              </w:rPr>
              <w:t>迁移需求</w:t>
            </w:r>
          </w:p>
        </w:tc>
        <w:tc>
          <w:tcPr>
            <w:tcW w:w="6717" w:type="dxa"/>
            <w:tcMar>
              <w:top w:w="15" w:type="dxa"/>
              <w:left w:w="15" w:type="dxa"/>
              <w:bottom w:w="15" w:type="dxa"/>
              <w:right w:w="15" w:type="dxa"/>
            </w:tcMar>
            <w:vAlign w:val="center"/>
          </w:tcPr>
          <w:p w14:paraId="056D45C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highlight w:val="none"/>
              </w:rPr>
            </w:pPr>
            <w:r>
              <w:rPr>
                <w:rFonts w:hint="eastAsia" w:cs="宋体"/>
                <w:color w:val="auto"/>
                <w:highlight w:val="none"/>
              </w:rPr>
              <w:t>★</w:t>
            </w:r>
            <w:r>
              <w:rPr>
                <w:rFonts w:hint="eastAsia" w:ascii="宋体" w:hAnsi="宋体"/>
                <w:color w:val="auto"/>
                <w:highlight w:val="none"/>
              </w:rPr>
              <w:t>支持双向迁移操作，可将VMware虚拟机迁移到超融合平台上，也可将超融合平台上的虚拟机迁移到VMware vCenter的集群中，迁移结束后的虚拟机可进行手动或自动重启操作（</w:t>
            </w:r>
            <w:r>
              <w:rPr>
                <w:rFonts w:hint="eastAsia" w:ascii="宋体" w:hAnsi="宋体" w:cs="宋体"/>
                <w:bCs/>
                <w:color w:val="auto"/>
                <w:kern w:val="0"/>
                <w:szCs w:val="21"/>
                <w:highlight w:val="none"/>
              </w:rPr>
              <w:t>中标后签订合同前</w:t>
            </w:r>
            <w:r>
              <w:rPr>
                <w:rFonts w:hint="eastAsia" w:ascii="宋体" w:hAnsi="宋体"/>
                <w:color w:val="auto"/>
                <w:highlight w:val="none"/>
              </w:rPr>
              <w:t>提供带有CMA、CNAS标识的检测报告证明并加盖原厂公章，至少包含报告首页，对应功能测试页和报告尾页）</w:t>
            </w:r>
          </w:p>
        </w:tc>
      </w:tr>
    </w:tbl>
    <w:p w14:paraId="412EE594">
      <w:pPr>
        <w:pStyle w:val="3"/>
        <w:spacing w:before="0" w:after="0" w:line="360" w:lineRule="auto"/>
        <w:rPr>
          <w:rFonts w:hint="eastAsia" w:ascii="宋体" w:hAnsi="宋体" w:eastAsia="宋体"/>
          <w:bCs/>
          <w:color w:val="auto"/>
          <w:sz w:val="24"/>
          <w:highlight w:val="none"/>
        </w:rPr>
      </w:pPr>
      <w:r>
        <w:rPr>
          <w:rFonts w:hint="eastAsia" w:ascii="宋体" w:hAnsi="宋体" w:eastAsia="宋体"/>
          <w:bCs/>
          <w:color w:val="auto"/>
          <w:sz w:val="24"/>
          <w:highlight w:val="none"/>
          <w:lang w:val="en-US" w:eastAsia="zh-CN"/>
        </w:rPr>
        <w:t>1</w:t>
      </w:r>
      <w:r>
        <w:rPr>
          <w:rFonts w:hint="eastAsia" w:ascii="宋体" w:hAnsi="宋体" w:eastAsia="宋体"/>
          <w:bCs/>
          <w:color w:val="auto"/>
          <w:sz w:val="24"/>
          <w:highlight w:val="none"/>
        </w:rPr>
        <w:t>.2 存储交换机</w:t>
      </w:r>
    </w:p>
    <w:tbl>
      <w:tblPr>
        <w:tblStyle w:val="14"/>
        <w:tblW w:w="8773"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7027"/>
      </w:tblGrid>
      <w:tr w14:paraId="495E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46" w:type="dxa"/>
            <w:vAlign w:val="center"/>
          </w:tcPr>
          <w:p w14:paraId="5E9D6D8C">
            <w:pPr>
              <w:spacing w:line="276" w:lineRule="auto"/>
              <w:jc w:val="center"/>
              <w:rPr>
                <w:rFonts w:hint="eastAsia" w:ascii="宋体" w:hAnsi="宋体" w:cs="宋体"/>
                <w:b/>
                <w:color w:val="auto"/>
                <w:szCs w:val="21"/>
                <w:highlight w:val="none"/>
              </w:rPr>
            </w:pPr>
            <w:r>
              <w:rPr>
                <w:rFonts w:hint="eastAsia" w:ascii="宋体" w:hAnsi="宋体" w:cs="宋体"/>
                <w:b/>
                <w:bCs/>
                <w:color w:val="auto"/>
                <w:kern w:val="0"/>
                <w:szCs w:val="21"/>
                <w:highlight w:val="none"/>
              </w:rPr>
              <w:t>指标项</w:t>
            </w:r>
          </w:p>
        </w:tc>
        <w:tc>
          <w:tcPr>
            <w:tcW w:w="7027" w:type="dxa"/>
            <w:vAlign w:val="center"/>
          </w:tcPr>
          <w:p w14:paraId="34320941">
            <w:pPr>
              <w:spacing w:line="276" w:lineRule="auto"/>
              <w:jc w:val="center"/>
              <w:rPr>
                <w:rFonts w:hint="eastAsia" w:ascii="宋体" w:hAnsi="宋体" w:cs="宋体"/>
                <w:b/>
                <w:color w:val="auto"/>
                <w:szCs w:val="21"/>
                <w:highlight w:val="none"/>
              </w:rPr>
            </w:pPr>
            <w:r>
              <w:rPr>
                <w:rFonts w:hint="eastAsia" w:ascii="宋体" w:hAnsi="宋体" w:cs="宋体"/>
                <w:b/>
                <w:bCs/>
                <w:color w:val="auto"/>
                <w:kern w:val="0"/>
                <w:szCs w:val="21"/>
                <w:highlight w:val="none"/>
              </w:rPr>
              <w:t>技术参数要求</w:t>
            </w:r>
          </w:p>
        </w:tc>
      </w:tr>
      <w:tr w14:paraId="5307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46" w:type="dxa"/>
            <w:vAlign w:val="center"/>
          </w:tcPr>
          <w:p w14:paraId="4F2E97C2">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★基础硬件</w:t>
            </w:r>
          </w:p>
        </w:tc>
        <w:tc>
          <w:tcPr>
            <w:tcW w:w="7027" w:type="dxa"/>
            <w:vAlign w:val="center"/>
          </w:tcPr>
          <w:p w14:paraId="0A33979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2台</w:t>
            </w:r>
          </w:p>
          <w:p w14:paraId="4079831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交换容量≥4.8Tbps，包转发率≥1800Mpps，25G以太网光口≥24，</w:t>
            </w:r>
            <w:r>
              <w:rPr>
                <w:rFonts w:hint="eastAsia" w:ascii="宋体" w:hAnsi="宋体" w:cs="宋体"/>
                <w:color w:val="auto"/>
                <w:szCs w:val="21"/>
                <w:highlight w:val="none"/>
              </w:rPr>
              <w:t xml:space="preserve"> 40G/100G以太网光口</w:t>
            </w:r>
            <w:r>
              <w:rPr>
                <w:rFonts w:hint="eastAsia" w:ascii="宋体" w:hAnsi="宋体" w:cs="宋体"/>
                <w:color w:val="auto"/>
                <w:kern w:val="0"/>
                <w:szCs w:val="21"/>
                <w:highlight w:val="none"/>
              </w:rPr>
              <w:t>≥</w:t>
            </w:r>
            <w:r>
              <w:rPr>
                <w:rFonts w:hint="eastAsia" w:ascii="宋体" w:hAnsi="宋体" w:cs="宋体"/>
                <w:color w:val="auto"/>
                <w:szCs w:val="21"/>
                <w:highlight w:val="none"/>
              </w:rPr>
              <w:t>8</w:t>
            </w:r>
            <w:r>
              <w:rPr>
                <w:rFonts w:hint="eastAsia" w:ascii="宋体" w:hAnsi="宋体" w:cs="宋体"/>
                <w:color w:val="auto"/>
                <w:kern w:val="0"/>
                <w:szCs w:val="21"/>
                <w:highlight w:val="none"/>
              </w:rPr>
              <w:t>，支持≥2个电源插槽，≥4个风扇插槽；</w:t>
            </w:r>
          </w:p>
        </w:tc>
      </w:tr>
      <w:tr w14:paraId="64316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46" w:type="dxa"/>
            <w:tcBorders>
              <w:top w:val="single" w:color="auto" w:sz="4" w:space="0"/>
              <w:left w:val="single" w:color="auto" w:sz="4" w:space="0"/>
              <w:right w:val="single" w:color="auto" w:sz="4" w:space="0"/>
            </w:tcBorders>
            <w:vAlign w:val="center"/>
          </w:tcPr>
          <w:p w14:paraId="596D7776">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虚拟化</w:t>
            </w:r>
          </w:p>
        </w:tc>
        <w:tc>
          <w:tcPr>
            <w:tcW w:w="7027" w:type="dxa"/>
            <w:tcBorders>
              <w:top w:val="single" w:color="auto" w:sz="4" w:space="0"/>
              <w:left w:val="single" w:color="auto" w:sz="4" w:space="0"/>
              <w:bottom w:val="single" w:color="auto" w:sz="4" w:space="0"/>
              <w:right w:val="single" w:color="auto" w:sz="4" w:space="0"/>
            </w:tcBorders>
            <w:vAlign w:val="center"/>
          </w:tcPr>
          <w:p w14:paraId="6C8B4314">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支持多虚一技术(N:1)，可将多台物理设备虚拟化为1台逻辑设备；</w:t>
            </w:r>
          </w:p>
        </w:tc>
      </w:tr>
      <w:tr w14:paraId="6AFEE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46" w:type="dxa"/>
            <w:tcBorders>
              <w:top w:val="single" w:color="auto" w:sz="4" w:space="0"/>
              <w:left w:val="single" w:color="auto" w:sz="4" w:space="0"/>
              <w:right w:val="single" w:color="auto" w:sz="4" w:space="0"/>
            </w:tcBorders>
            <w:vAlign w:val="center"/>
          </w:tcPr>
          <w:p w14:paraId="39F60596">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★可靠性</w:t>
            </w:r>
          </w:p>
        </w:tc>
        <w:tc>
          <w:tcPr>
            <w:tcW w:w="7027" w:type="dxa"/>
            <w:tcBorders>
              <w:top w:val="single" w:color="auto" w:sz="4" w:space="0"/>
              <w:left w:val="single" w:color="auto" w:sz="4" w:space="0"/>
              <w:bottom w:val="single" w:color="auto" w:sz="4" w:space="0"/>
              <w:right w:val="single" w:color="auto" w:sz="4" w:space="0"/>
            </w:tcBorders>
            <w:vAlign w:val="center"/>
          </w:tcPr>
          <w:p w14:paraId="2F4D1E74">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支持M-LAG跨设备链路聚合技术，将两台物理设备在转发层面虚拟成一台设备来实现跨设备链路聚合，保持控制层面互相独立，提升至设备级可靠性。</w:t>
            </w:r>
          </w:p>
        </w:tc>
      </w:tr>
      <w:tr w14:paraId="346B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46" w:type="dxa"/>
            <w:tcBorders>
              <w:top w:val="single" w:color="auto" w:sz="4" w:space="0"/>
              <w:left w:val="single" w:color="auto" w:sz="4" w:space="0"/>
              <w:bottom w:val="single" w:color="auto" w:sz="4" w:space="0"/>
              <w:right w:val="single" w:color="auto" w:sz="4" w:space="0"/>
            </w:tcBorders>
            <w:vAlign w:val="center"/>
          </w:tcPr>
          <w:p w14:paraId="3E4D4074">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★配置要求</w:t>
            </w:r>
          </w:p>
        </w:tc>
        <w:tc>
          <w:tcPr>
            <w:tcW w:w="7027" w:type="dxa"/>
            <w:tcBorders>
              <w:top w:val="single" w:color="auto" w:sz="4" w:space="0"/>
              <w:left w:val="single" w:color="auto" w:sz="4" w:space="0"/>
              <w:bottom w:val="single" w:color="auto" w:sz="4" w:space="0"/>
              <w:right w:val="single" w:color="auto" w:sz="4" w:space="0"/>
            </w:tcBorders>
            <w:vAlign w:val="center"/>
          </w:tcPr>
          <w:p w14:paraId="53786D0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单台配置双电源、40G虚拟化线缆≥1根，25G多模光模块≥6个</w:t>
            </w:r>
          </w:p>
        </w:tc>
      </w:tr>
    </w:tbl>
    <w:p w14:paraId="3C93C067">
      <w:pPr>
        <w:rPr>
          <w:rFonts w:hint="eastAsia" w:ascii="宋体" w:hAnsi="宋体" w:cs="宋体"/>
          <w:color w:val="auto"/>
          <w:szCs w:val="21"/>
          <w:highlight w:val="none"/>
        </w:rPr>
      </w:pPr>
    </w:p>
    <w:p w14:paraId="415BC10F">
      <w:pPr>
        <w:rPr>
          <w:rFonts w:hint="eastAsia" w:ascii="宋体" w:hAnsi="宋体" w:cs="宋体"/>
          <w:color w:val="auto"/>
          <w:szCs w:val="21"/>
          <w:highlight w:val="none"/>
        </w:rPr>
      </w:pPr>
    </w:p>
    <w:p w14:paraId="5322E36F">
      <w:pPr>
        <w:pStyle w:val="3"/>
        <w:spacing w:before="0" w:after="0" w:line="360" w:lineRule="auto"/>
        <w:rPr>
          <w:rFonts w:ascii="宋体" w:hAnsi="宋体" w:eastAsia="宋体"/>
          <w:bCs/>
          <w:color w:val="auto"/>
          <w:sz w:val="24"/>
          <w:highlight w:val="none"/>
        </w:rPr>
      </w:pPr>
      <w:r>
        <w:rPr>
          <w:rFonts w:hint="eastAsia" w:ascii="宋体" w:hAnsi="宋体" w:eastAsia="宋体"/>
          <w:bCs/>
          <w:color w:val="auto"/>
          <w:sz w:val="24"/>
          <w:highlight w:val="none"/>
          <w:lang w:val="en-US" w:eastAsia="zh-CN"/>
        </w:rPr>
        <w:t>1</w:t>
      </w:r>
      <w:r>
        <w:rPr>
          <w:rFonts w:hint="eastAsia" w:ascii="宋体" w:hAnsi="宋体" w:eastAsia="宋体"/>
          <w:bCs/>
          <w:color w:val="auto"/>
          <w:sz w:val="24"/>
          <w:highlight w:val="none"/>
        </w:rPr>
        <w:t>.3 业务交换机/万兆汇聚交换机</w:t>
      </w:r>
    </w:p>
    <w:tbl>
      <w:tblPr>
        <w:tblStyle w:val="14"/>
        <w:tblW w:w="9064"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0"/>
        <w:gridCol w:w="7304"/>
      </w:tblGrid>
      <w:tr w14:paraId="033C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60" w:type="dxa"/>
            <w:vAlign w:val="center"/>
          </w:tcPr>
          <w:p w14:paraId="6D75EE0E">
            <w:pPr>
              <w:spacing w:line="276" w:lineRule="auto"/>
              <w:jc w:val="center"/>
              <w:rPr>
                <w:rFonts w:hint="eastAsia" w:ascii="宋体" w:hAnsi="宋体" w:cs="宋体"/>
                <w:b/>
                <w:color w:val="auto"/>
                <w:szCs w:val="21"/>
                <w:highlight w:val="none"/>
              </w:rPr>
            </w:pPr>
            <w:r>
              <w:rPr>
                <w:rFonts w:hint="eastAsia" w:ascii="宋体" w:hAnsi="宋体" w:cs="宋体"/>
                <w:b/>
                <w:bCs/>
                <w:color w:val="auto"/>
                <w:szCs w:val="21"/>
                <w:highlight w:val="none"/>
              </w:rPr>
              <w:t>指标项</w:t>
            </w:r>
          </w:p>
        </w:tc>
        <w:tc>
          <w:tcPr>
            <w:tcW w:w="7304" w:type="dxa"/>
            <w:vAlign w:val="center"/>
          </w:tcPr>
          <w:p w14:paraId="1380F0EA">
            <w:pPr>
              <w:spacing w:line="276" w:lineRule="auto"/>
              <w:ind w:firstLine="402"/>
              <w:jc w:val="center"/>
              <w:rPr>
                <w:rFonts w:hint="eastAsia" w:ascii="宋体" w:hAnsi="宋体" w:cs="宋体"/>
                <w:b/>
                <w:color w:val="auto"/>
                <w:szCs w:val="21"/>
                <w:highlight w:val="none"/>
              </w:rPr>
            </w:pPr>
            <w:r>
              <w:rPr>
                <w:rFonts w:hint="eastAsia" w:ascii="宋体" w:hAnsi="宋体" w:cs="宋体"/>
                <w:b/>
                <w:bCs/>
                <w:color w:val="auto"/>
                <w:szCs w:val="21"/>
                <w:highlight w:val="none"/>
              </w:rPr>
              <w:t>技术参数要求</w:t>
            </w:r>
          </w:p>
        </w:tc>
      </w:tr>
      <w:tr w14:paraId="7DF5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0" w:type="dxa"/>
            <w:vAlign w:val="center"/>
          </w:tcPr>
          <w:p w14:paraId="42DA2A8E">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★基础硬件</w:t>
            </w:r>
          </w:p>
        </w:tc>
        <w:tc>
          <w:tcPr>
            <w:tcW w:w="7304" w:type="dxa"/>
            <w:vAlign w:val="center"/>
          </w:tcPr>
          <w:p w14:paraId="6D86B8FA">
            <w:pPr>
              <w:keepNext w:val="0"/>
              <w:keepLines w:val="0"/>
              <w:pageBreakBefore w:val="0"/>
              <w:widowControl/>
              <w:kinsoku/>
              <w:wordWrap/>
              <w:overflowPunct/>
              <w:topLinePunct w:val="0"/>
              <w:autoSpaceDE/>
              <w:autoSpaceDN/>
              <w:bidi w:val="0"/>
              <w:adjustRightInd/>
              <w:snapToGrid/>
              <w:spacing w:line="440" w:lineRule="exact"/>
              <w:ind w:left="105" w:hanging="105" w:hangingChars="5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数量</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5台</w:t>
            </w:r>
          </w:p>
          <w:p w14:paraId="50D88C4A">
            <w:pPr>
              <w:keepNext w:val="0"/>
              <w:keepLines w:val="0"/>
              <w:pageBreakBefore w:val="0"/>
              <w:widowControl/>
              <w:kinsoku/>
              <w:wordWrap/>
              <w:overflowPunct/>
              <w:topLinePunct w:val="0"/>
              <w:autoSpaceDE/>
              <w:autoSpaceDN/>
              <w:bidi w:val="0"/>
              <w:adjustRightInd/>
              <w:snapToGrid/>
              <w:spacing w:line="440" w:lineRule="exact"/>
              <w:ind w:left="105" w:hanging="105" w:hangingChars="50"/>
              <w:textAlignment w:val="auto"/>
              <w:rPr>
                <w:rFonts w:hint="eastAsia" w:ascii="宋体" w:hAnsi="宋体" w:cs="宋体"/>
                <w:color w:val="auto"/>
                <w:szCs w:val="21"/>
                <w:highlight w:val="none"/>
              </w:rPr>
            </w:pPr>
            <w:r>
              <w:rPr>
                <w:rFonts w:hint="eastAsia" w:ascii="宋体" w:hAnsi="宋体" w:cs="宋体"/>
                <w:color w:val="auto"/>
                <w:szCs w:val="21"/>
                <w:highlight w:val="none"/>
              </w:rPr>
              <w:t>交换容量≥2.56Tbps，包转发率≥240Mpps；</w:t>
            </w:r>
          </w:p>
        </w:tc>
      </w:tr>
      <w:tr w14:paraId="56B93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0" w:type="dxa"/>
            <w:tcBorders>
              <w:top w:val="single" w:color="auto" w:sz="4" w:space="0"/>
              <w:left w:val="single" w:color="auto" w:sz="4" w:space="0"/>
              <w:bottom w:val="single" w:color="auto" w:sz="4" w:space="0"/>
              <w:right w:val="single" w:color="auto" w:sz="4" w:space="0"/>
            </w:tcBorders>
            <w:vAlign w:val="center"/>
          </w:tcPr>
          <w:p w14:paraId="42BB4203">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★接口</w:t>
            </w:r>
          </w:p>
        </w:tc>
        <w:tc>
          <w:tcPr>
            <w:tcW w:w="7304" w:type="dxa"/>
            <w:tcBorders>
              <w:top w:val="single" w:color="auto" w:sz="4" w:space="0"/>
              <w:left w:val="single" w:color="auto" w:sz="4" w:space="0"/>
              <w:bottom w:val="single" w:color="auto" w:sz="4" w:space="0"/>
              <w:right w:val="single" w:color="auto" w:sz="4" w:space="0"/>
            </w:tcBorders>
            <w:vAlign w:val="center"/>
          </w:tcPr>
          <w:p w14:paraId="0B702CA4">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提供万兆以太网光口≥16， 1G/2.5/5G/10G Base-T Combo自适应以太网端口≥2个；</w:t>
            </w:r>
          </w:p>
        </w:tc>
      </w:tr>
      <w:tr w14:paraId="71CB3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0" w:type="dxa"/>
            <w:vMerge w:val="restart"/>
            <w:tcBorders>
              <w:top w:val="single" w:color="auto" w:sz="4" w:space="0"/>
              <w:left w:val="single" w:color="auto" w:sz="4" w:space="0"/>
              <w:right w:val="single" w:color="auto" w:sz="4" w:space="0"/>
            </w:tcBorders>
            <w:vAlign w:val="center"/>
          </w:tcPr>
          <w:p w14:paraId="37AAC1B7">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虚拟化</w:t>
            </w:r>
          </w:p>
        </w:tc>
        <w:tc>
          <w:tcPr>
            <w:tcW w:w="7304" w:type="dxa"/>
            <w:tcBorders>
              <w:top w:val="single" w:color="auto" w:sz="4" w:space="0"/>
              <w:left w:val="single" w:color="auto" w:sz="4" w:space="0"/>
              <w:bottom w:val="single" w:color="auto" w:sz="4" w:space="0"/>
              <w:right w:val="single" w:color="auto" w:sz="4" w:space="0"/>
            </w:tcBorders>
            <w:vAlign w:val="center"/>
          </w:tcPr>
          <w:p w14:paraId="64F2A6A1">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支持多虚一技术(N:1)，可将多台物理设备虚拟化为1台逻辑设备；</w:t>
            </w:r>
          </w:p>
        </w:tc>
      </w:tr>
      <w:tr w14:paraId="54A78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0" w:type="dxa"/>
            <w:vMerge w:val="continue"/>
            <w:tcBorders>
              <w:left w:val="single" w:color="auto" w:sz="4" w:space="0"/>
              <w:bottom w:val="single" w:color="auto" w:sz="4" w:space="0"/>
              <w:right w:val="single" w:color="auto" w:sz="4" w:space="0"/>
            </w:tcBorders>
            <w:vAlign w:val="center"/>
          </w:tcPr>
          <w:p w14:paraId="5A037F2B">
            <w:pPr>
              <w:spacing w:line="276" w:lineRule="auto"/>
              <w:rPr>
                <w:rFonts w:hint="eastAsia" w:ascii="宋体" w:hAnsi="宋体" w:cs="宋体"/>
                <w:color w:val="auto"/>
                <w:szCs w:val="21"/>
                <w:highlight w:val="none"/>
              </w:rPr>
            </w:pPr>
          </w:p>
        </w:tc>
        <w:tc>
          <w:tcPr>
            <w:tcW w:w="7304" w:type="dxa"/>
            <w:tcBorders>
              <w:top w:val="single" w:color="auto" w:sz="4" w:space="0"/>
              <w:left w:val="single" w:color="auto" w:sz="4" w:space="0"/>
              <w:bottom w:val="single" w:color="auto" w:sz="4" w:space="0"/>
              <w:right w:val="single" w:color="auto" w:sz="4" w:space="0"/>
            </w:tcBorders>
            <w:vAlign w:val="center"/>
          </w:tcPr>
          <w:p w14:paraId="096A5C93">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支持纵向虚拟化技术，实现核心和接入层设备的控制转发平面统一管理</w:t>
            </w:r>
            <w:r>
              <w:rPr>
                <w:rFonts w:hint="eastAsia" w:ascii="宋体" w:hAnsi="宋体" w:cs="宋体"/>
                <w:color w:val="auto"/>
                <w:kern w:val="0"/>
                <w:szCs w:val="21"/>
                <w:highlight w:val="none"/>
              </w:rPr>
              <w:t>；</w:t>
            </w:r>
          </w:p>
        </w:tc>
      </w:tr>
      <w:tr w14:paraId="3CD4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0" w:type="dxa"/>
            <w:tcBorders>
              <w:left w:val="single" w:color="auto" w:sz="4" w:space="0"/>
              <w:bottom w:val="single" w:color="auto" w:sz="4" w:space="0"/>
              <w:right w:val="single" w:color="auto" w:sz="4" w:space="0"/>
            </w:tcBorders>
            <w:vAlign w:val="center"/>
          </w:tcPr>
          <w:p w14:paraId="0DE57D15">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▲管理</w:t>
            </w:r>
          </w:p>
        </w:tc>
        <w:tc>
          <w:tcPr>
            <w:tcW w:w="7304" w:type="dxa"/>
            <w:tcBorders>
              <w:top w:val="single" w:color="auto" w:sz="4" w:space="0"/>
              <w:left w:val="single" w:color="auto" w:sz="4" w:space="0"/>
              <w:bottom w:val="single" w:color="auto" w:sz="4" w:space="0"/>
              <w:right w:val="single" w:color="auto" w:sz="4" w:space="0"/>
            </w:tcBorders>
            <w:vAlign w:val="center"/>
          </w:tcPr>
          <w:p w14:paraId="27A13931">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内置智能管理平台，组网拓扑可视及管理、设备列表可视，以图形化操作的方式，实现对网络的</w:t>
            </w:r>
            <w:r>
              <w:rPr>
                <w:rFonts w:hint="eastAsia" w:ascii="宋体" w:hAnsi="宋体" w:cs="宋体"/>
                <w:color w:val="auto"/>
                <w:kern w:val="0"/>
                <w:szCs w:val="21"/>
                <w:highlight w:val="none"/>
              </w:rPr>
              <w:t>统一运维及管理</w:t>
            </w:r>
            <w:r>
              <w:rPr>
                <w:rFonts w:hint="eastAsia" w:ascii="宋体" w:hAnsi="宋体" w:cs="宋体"/>
                <w:bCs/>
                <w:color w:val="auto"/>
                <w:kern w:val="0"/>
                <w:szCs w:val="21"/>
                <w:highlight w:val="none"/>
              </w:rPr>
              <w:t>（中标后签订合同前提供截图证明并加盖原厂公章）</w:t>
            </w:r>
            <w:r>
              <w:rPr>
                <w:rFonts w:hint="eastAsia" w:ascii="宋体" w:hAnsi="宋体" w:cs="宋体"/>
                <w:color w:val="auto"/>
                <w:kern w:val="0"/>
                <w:szCs w:val="21"/>
                <w:highlight w:val="none"/>
              </w:rPr>
              <w:t>；</w:t>
            </w:r>
          </w:p>
        </w:tc>
      </w:tr>
      <w:tr w14:paraId="1B9A7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0" w:type="dxa"/>
            <w:tcBorders>
              <w:top w:val="single" w:color="auto" w:sz="4" w:space="0"/>
              <w:left w:val="single" w:color="auto" w:sz="4" w:space="0"/>
              <w:bottom w:val="single" w:color="auto" w:sz="4" w:space="0"/>
              <w:right w:val="single" w:color="auto" w:sz="4" w:space="0"/>
            </w:tcBorders>
            <w:vAlign w:val="center"/>
          </w:tcPr>
          <w:p w14:paraId="5C5C37EC">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环网协议</w:t>
            </w:r>
          </w:p>
        </w:tc>
        <w:tc>
          <w:tcPr>
            <w:tcW w:w="7304" w:type="dxa"/>
            <w:tcBorders>
              <w:top w:val="single" w:color="auto" w:sz="4" w:space="0"/>
              <w:left w:val="single" w:color="auto" w:sz="4" w:space="0"/>
              <w:bottom w:val="single" w:color="auto" w:sz="4" w:space="0"/>
              <w:right w:val="single" w:color="auto" w:sz="4" w:space="0"/>
            </w:tcBorders>
            <w:vAlign w:val="center"/>
          </w:tcPr>
          <w:p w14:paraId="0E99C1B2">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支持ERPS功能，能够快速阻断环路；支持STP、RSTP、MSTP，环网故障恢复时间短；</w:t>
            </w:r>
          </w:p>
        </w:tc>
      </w:tr>
      <w:tr w14:paraId="20C07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0" w:type="dxa"/>
            <w:tcBorders>
              <w:top w:val="single" w:color="auto" w:sz="4" w:space="0"/>
              <w:left w:val="single" w:color="auto" w:sz="4" w:space="0"/>
              <w:bottom w:val="single" w:color="auto" w:sz="4" w:space="0"/>
              <w:right w:val="single" w:color="auto" w:sz="4" w:space="0"/>
            </w:tcBorders>
            <w:vAlign w:val="center"/>
          </w:tcPr>
          <w:p w14:paraId="41399D85">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★配置要求</w:t>
            </w:r>
          </w:p>
        </w:tc>
        <w:tc>
          <w:tcPr>
            <w:tcW w:w="7304" w:type="dxa"/>
            <w:tcBorders>
              <w:top w:val="single" w:color="auto" w:sz="4" w:space="0"/>
              <w:left w:val="single" w:color="auto" w:sz="4" w:space="0"/>
              <w:bottom w:val="single" w:color="auto" w:sz="4" w:space="0"/>
              <w:right w:val="single" w:color="auto" w:sz="4" w:space="0"/>
            </w:tcBorders>
            <w:vAlign w:val="center"/>
          </w:tcPr>
          <w:p w14:paraId="3566458D">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单台配置双电源，万兆虚拟化线缆≥1根，万兆多模光模块≥3个</w:t>
            </w:r>
          </w:p>
        </w:tc>
      </w:tr>
    </w:tbl>
    <w:p w14:paraId="03AA6E44">
      <w:pPr>
        <w:rPr>
          <w:rFonts w:hint="eastAsia" w:ascii="宋体" w:hAnsi="宋体" w:cs="宋体"/>
          <w:color w:val="auto"/>
          <w:szCs w:val="21"/>
          <w:highlight w:val="none"/>
        </w:rPr>
      </w:pPr>
    </w:p>
    <w:p w14:paraId="78D7CE89">
      <w:pPr>
        <w:pStyle w:val="3"/>
        <w:spacing w:before="0" w:after="0" w:line="360" w:lineRule="auto"/>
        <w:rPr>
          <w:rFonts w:hint="eastAsia" w:ascii="宋体" w:hAnsi="宋体" w:eastAsia="宋体"/>
          <w:bCs/>
          <w:color w:val="auto"/>
          <w:sz w:val="24"/>
          <w:highlight w:val="none"/>
        </w:rPr>
      </w:pPr>
      <w:r>
        <w:rPr>
          <w:rFonts w:hint="eastAsia" w:ascii="宋体" w:hAnsi="宋体" w:eastAsia="宋体"/>
          <w:bCs/>
          <w:color w:val="auto"/>
          <w:sz w:val="24"/>
          <w:highlight w:val="none"/>
          <w:lang w:val="en-US" w:eastAsia="zh-CN"/>
        </w:rPr>
        <w:t>1</w:t>
      </w:r>
      <w:r>
        <w:rPr>
          <w:rFonts w:hint="eastAsia" w:ascii="宋体" w:hAnsi="宋体" w:eastAsia="宋体"/>
          <w:bCs/>
          <w:color w:val="auto"/>
          <w:sz w:val="24"/>
          <w:highlight w:val="none"/>
        </w:rPr>
        <w:t>.4</w:t>
      </w:r>
      <w:r>
        <w:rPr>
          <w:rFonts w:hint="eastAsia" w:ascii="宋体" w:hAnsi="宋体" w:eastAsia="宋体"/>
          <w:bCs/>
          <w:color w:val="auto"/>
          <w:sz w:val="24"/>
          <w:highlight w:val="none"/>
          <w:lang w:eastAsia="zh-CN"/>
        </w:rPr>
        <w:t>分布式</w:t>
      </w:r>
      <w:r>
        <w:rPr>
          <w:rFonts w:hint="eastAsia" w:ascii="宋体" w:hAnsi="宋体" w:eastAsia="宋体"/>
          <w:bCs/>
          <w:color w:val="auto"/>
          <w:sz w:val="24"/>
          <w:highlight w:val="none"/>
        </w:rPr>
        <w:t>存储系统</w:t>
      </w:r>
    </w:p>
    <w:tbl>
      <w:tblPr>
        <w:tblStyle w:val="14"/>
        <w:tblW w:w="9000" w:type="dxa"/>
        <w:tblInd w:w="133" w:type="dxa"/>
        <w:tblLayout w:type="autofit"/>
        <w:tblCellMar>
          <w:top w:w="0" w:type="dxa"/>
          <w:left w:w="108" w:type="dxa"/>
          <w:bottom w:w="0" w:type="dxa"/>
          <w:right w:w="108" w:type="dxa"/>
        </w:tblCellMar>
      </w:tblPr>
      <w:tblGrid>
        <w:gridCol w:w="1768"/>
        <w:gridCol w:w="7232"/>
      </w:tblGrid>
      <w:tr w14:paraId="07F97F5F">
        <w:tblPrEx>
          <w:tblCellMar>
            <w:top w:w="0" w:type="dxa"/>
            <w:left w:w="108" w:type="dxa"/>
            <w:bottom w:w="0" w:type="dxa"/>
            <w:right w:w="108" w:type="dxa"/>
          </w:tblCellMar>
        </w:tblPrEx>
        <w:trPr>
          <w:trHeight w:val="482" w:hRule="atLeast"/>
        </w:trPr>
        <w:tc>
          <w:tcPr>
            <w:tcW w:w="1768" w:type="dxa"/>
            <w:tcBorders>
              <w:top w:val="single" w:color="auto" w:sz="4" w:space="0"/>
              <w:left w:val="single" w:color="auto" w:sz="4" w:space="0"/>
              <w:bottom w:val="single" w:color="auto" w:sz="4" w:space="0"/>
              <w:right w:val="single" w:color="auto" w:sz="4" w:space="0"/>
            </w:tcBorders>
            <w:vAlign w:val="center"/>
          </w:tcPr>
          <w:p w14:paraId="22FDD9EF">
            <w:pP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指标项</w:t>
            </w:r>
          </w:p>
        </w:tc>
        <w:tc>
          <w:tcPr>
            <w:tcW w:w="7232" w:type="dxa"/>
            <w:tcBorders>
              <w:top w:val="single" w:color="auto" w:sz="4" w:space="0"/>
              <w:left w:val="nil"/>
              <w:bottom w:val="single" w:color="auto" w:sz="4" w:space="0"/>
              <w:right w:val="single" w:color="auto" w:sz="4" w:space="0"/>
            </w:tcBorders>
            <w:vAlign w:val="center"/>
          </w:tcPr>
          <w:p w14:paraId="3F7B18E4">
            <w:pP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技术参数要求</w:t>
            </w:r>
          </w:p>
        </w:tc>
      </w:tr>
      <w:tr w14:paraId="3253EABF">
        <w:tblPrEx>
          <w:tblCellMar>
            <w:top w:w="0" w:type="dxa"/>
            <w:left w:w="108" w:type="dxa"/>
            <w:bottom w:w="0" w:type="dxa"/>
            <w:right w:w="108" w:type="dxa"/>
          </w:tblCellMar>
        </w:tblPrEx>
        <w:trPr>
          <w:trHeight w:val="482" w:hRule="atLeast"/>
        </w:trPr>
        <w:tc>
          <w:tcPr>
            <w:tcW w:w="1768" w:type="dxa"/>
            <w:tcBorders>
              <w:top w:val="single" w:color="auto" w:sz="4" w:space="0"/>
              <w:left w:val="single" w:color="auto" w:sz="4" w:space="0"/>
              <w:bottom w:val="single" w:color="auto" w:sz="4" w:space="0"/>
              <w:right w:val="single" w:color="auto" w:sz="4" w:space="0"/>
            </w:tcBorders>
            <w:vAlign w:val="center"/>
          </w:tcPr>
          <w:p w14:paraId="1A82EB24">
            <w:pP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★服务器硬件</w:t>
            </w:r>
          </w:p>
        </w:tc>
        <w:tc>
          <w:tcPr>
            <w:tcW w:w="7232" w:type="dxa"/>
            <w:tcBorders>
              <w:top w:val="single" w:color="auto" w:sz="4" w:space="0"/>
              <w:left w:val="nil"/>
              <w:bottom w:val="single" w:color="auto" w:sz="4" w:space="0"/>
              <w:right w:val="single" w:color="auto" w:sz="4" w:space="0"/>
            </w:tcBorders>
            <w:vAlign w:val="center"/>
          </w:tcPr>
          <w:p w14:paraId="374C9CB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数量</w:t>
            </w:r>
            <w:r>
              <w:rPr>
                <w:rFonts w:hint="eastAsia" w:ascii="宋体" w:hAnsi="宋体" w:cs="宋体"/>
                <w:bCs/>
                <w:color w:val="auto"/>
                <w:kern w:val="0"/>
                <w:szCs w:val="21"/>
                <w:highlight w:val="none"/>
                <w:lang w:val="en-US" w:eastAsia="zh-CN"/>
              </w:rPr>
              <w:t>=</w:t>
            </w:r>
            <w:r>
              <w:rPr>
                <w:rFonts w:hint="eastAsia" w:ascii="宋体" w:hAnsi="宋体" w:cs="宋体"/>
                <w:bCs/>
                <w:color w:val="auto"/>
                <w:kern w:val="0"/>
                <w:szCs w:val="21"/>
                <w:highlight w:val="none"/>
              </w:rPr>
              <w:t>3台</w:t>
            </w:r>
          </w:p>
          <w:p w14:paraId="772BDCD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每台配置不低于：</w:t>
            </w:r>
          </w:p>
          <w:p w14:paraId="6D766AD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bCs/>
                <w:color w:val="auto"/>
                <w:kern w:val="0"/>
                <w:szCs w:val="21"/>
                <w:highlight w:val="none"/>
              </w:rPr>
            </w:pPr>
            <w:r>
              <w:rPr>
                <w:rFonts w:ascii="宋体" w:hAnsi="宋体" w:cs="宋体"/>
                <w:bCs/>
                <w:color w:val="auto"/>
                <w:kern w:val="0"/>
                <w:szCs w:val="21"/>
                <w:highlight w:val="none"/>
              </w:rPr>
              <w:t>1</w:t>
            </w:r>
            <w:r>
              <w:rPr>
                <w:rFonts w:hint="eastAsia" w:ascii="宋体" w:hAnsi="宋体" w:cs="宋体"/>
                <w:bCs/>
                <w:color w:val="auto"/>
                <w:kern w:val="0"/>
                <w:szCs w:val="21"/>
                <w:highlight w:val="none"/>
              </w:rPr>
              <w:t xml:space="preserve">）CPU：2颗Intel Xeon </w:t>
            </w:r>
            <w:r>
              <w:rPr>
                <w:rFonts w:ascii="宋体" w:hAnsi="宋体" w:cs="宋体"/>
                <w:bCs/>
                <w:color w:val="auto"/>
                <w:kern w:val="0"/>
                <w:szCs w:val="21"/>
                <w:highlight w:val="none"/>
              </w:rPr>
              <w:t>Silver</w:t>
            </w:r>
            <w:r>
              <w:rPr>
                <w:rFonts w:hint="eastAsia" w:ascii="宋体" w:hAnsi="宋体" w:cs="宋体"/>
                <w:bCs/>
                <w:color w:val="auto"/>
                <w:kern w:val="0"/>
                <w:szCs w:val="21"/>
                <w:highlight w:val="none"/>
              </w:rPr>
              <w:t xml:space="preserve"> </w:t>
            </w:r>
            <w:r>
              <w:rPr>
                <w:rFonts w:ascii="宋体" w:hAnsi="宋体" w:cs="宋体"/>
                <w:bCs/>
                <w:color w:val="auto"/>
                <w:kern w:val="0"/>
                <w:szCs w:val="21"/>
                <w:highlight w:val="none"/>
              </w:rPr>
              <w:t>4310</w:t>
            </w:r>
            <w:r>
              <w:rPr>
                <w:rFonts w:hint="eastAsia" w:ascii="宋体" w:hAnsi="宋体" w:cs="宋体"/>
                <w:bCs/>
                <w:color w:val="auto"/>
                <w:kern w:val="0"/>
                <w:szCs w:val="21"/>
                <w:highlight w:val="none"/>
              </w:rPr>
              <w:t xml:space="preserve"> CPU</w:t>
            </w:r>
            <w:r>
              <w:rPr>
                <w:rFonts w:ascii="宋体" w:hAnsi="宋体" w:cs="宋体"/>
                <w:bCs/>
                <w:color w:val="auto"/>
                <w:kern w:val="0"/>
                <w:szCs w:val="21"/>
                <w:highlight w:val="none"/>
              </w:rPr>
              <w:t xml:space="preserve"> </w:t>
            </w:r>
            <w:r>
              <w:rPr>
                <w:rFonts w:hint="eastAsia" w:ascii="宋体" w:hAnsi="宋体" w:cs="宋体"/>
                <w:bCs/>
                <w:color w:val="auto"/>
                <w:kern w:val="0"/>
                <w:szCs w:val="21"/>
                <w:highlight w:val="none"/>
              </w:rPr>
              <w:t>2.</w:t>
            </w:r>
            <w:r>
              <w:rPr>
                <w:rFonts w:ascii="宋体" w:hAnsi="宋体" w:cs="宋体"/>
                <w:bCs/>
                <w:color w:val="auto"/>
                <w:kern w:val="0"/>
                <w:szCs w:val="21"/>
                <w:highlight w:val="none"/>
              </w:rPr>
              <w:t>1</w:t>
            </w:r>
            <w:r>
              <w:rPr>
                <w:rFonts w:hint="eastAsia" w:ascii="宋体" w:hAnsi="宋体" w:cs="宋体"/>
                <w:bCs/>
                <w:color w:val="auto"/>
                <w:kern w:val="0"/>
                <w:szCs w:val="21"/>
                <w:highlight w:val="none"/>
              </w:rPr>
              <w:t>0GHZ（1</w:t>
            </w:r>
            <w:r>
              <w:rPr>
                <w:rFonts w:ascii="宋体" w:hAnsi="宋体" w:cs="宋体"/>
                <w:bCs/>
                <w:color w:val="auto"/>
                <w:kern w:val="0"/>
                <w:szCs w:val="21"/>
                <w:highlight w:val="none"/>
              </w:rPr>
              <w:t>2</w:t>
            </w:r>
            <w:r>
              <w:rPr>
                <w:rFonts w:hint="eastAsia" w:ascii="宋体" w:hAnsi="宋体" w:cs="宋体"/>
                <w:bCs/>
                <w:color w:val="auto"/>
                <w:kern w:val="0"/>
                <w:szCs w:val="21"/>
                <w:highlight w:val="none"/>
              </w:rPr>
              <w:t>C）</w:t>
            </w:r>
          </w:p>
          <w:p w14:paraId="47261F4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2）内存：4*32GB DDR4</w:t>
            </w:r>
          </w:p>
          <w:p w14:paraId="0AFC88D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3）系统盘：2*</w:t>
            </w:r>
            <w:r>
              <w:rPr>
                <w:rFonts w:ascii="宋体" w:hAnsi="宋体" w:cs="宋体"/>
                <w:bCs/>
                <w:color w:val="auto"/>
                <w:kern w:val="0"/>
                <w:szCs w:val="21"/>
                <w:highlight w:val="none"/>
              </w:rPr>
              <w:t>48</w:t>
            </w:r>
            <w:r>
              <w:rPr>
                <w:rFonts w:hint="eastAsia" w:ascii="宋体" w:hAnsi="宋体" w:cs="宋体"/>
                <w:bCs/>
                <w:color w:val="auto"/>
                <w:kern w:val="0"/>
                <w:szCs w:val="21"/>
                <w:highlight w:val="none"/>
              </w:rPr>
              <w:t>0GB SATA SSD</w:t>
            </w:r>
          </w:p>
          <w:p w14:paraId="340E74F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4）数据盘：9</w:t>
            </w:r>
            <w:r>
              <w:rPr>
                <w:rFonts w:ascii="宋体" w:hAnsi="宋体" w:cs="宋体"/>
                <w:bCs/>
                <w:color w:val="auto"/>
                <w:kern w:val="0"/>
                <w:szCs w:val="21"/>
                <w:highlight w:val="none"/>
              </w:rPr>
              <w:t>*16</w:t>
            </w:r>
            <w:r>
              <w:rPr>
                <w:rFonts w:hint="eastAsia" w:ascii="宋体" w:hAnsi="宋体" w:cs="宋体"/>
                <w:bCs/>
                <w:color w:val="auto"/>
                <w:kern w:val="0"/>
                <w:szCs w:val="21"/>
                <w:highlight w:val="none"/>
              </w:rPr>
              <w:t>TB</w:t>
            </w:r>
            <w:r>
              <w:rPr>
                <w:rFonts w:ascii="宋体" w:hAnsi="宋体" w:cs="宋体"/>
                <w:bCs/>
                <w:color w:val="auto"/>
                <w:kern w:val="0"/>
                <w:szCs w:val="21"/>
                <w:highlight w:val="none"/>
              </w:rPr>
              <w:t xml:space="preserve"> SATA HDD 7200RPM</w:t>
            </w:r>
          </w:p>
          <w:p w14:paraId="58E7D16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5）缓存盘：</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bCs/>
                <w:color w:val="auto"/>
                <w:kern w:val="0"/>
                <w:szCs w:val="21"/>
                <w:highlight w:val="none"/>
              </w:rPr>
              <w:t>TB</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NVM</w:t>
            </w:r>
            <w:r>
              <w:rPr>
                <w:rFonts w:ascii="宋体" w:hAnsi="宋体" w:cs="宋体"/>
                <w:bCs/>
                <w:color w:val="auto"/>
                <w:kern w:val="0"/>
                <w:szCs w:val="21"/>
                <w:highlight w:val="none"/>
              </w:rPr>
              <w:t>e SSD</w:t>
            </w:r>
          </w:p>
          <w:p w14:paraId="6B601C9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6）网卡：2千兆电口+2万兆光口（含光模块）+2个25G光口(含光模块)</w:t>
            </w:r>
          </w:p>
          <w:p w14:paraId="7312E16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7）冗余电源</w:t>
            </w:r>
          </w:p>
          <w:p w14:paraId="4E63233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8）可用空间：大于190T容量</w:t>
            </w:r>
          </w:p>
        </w:tc>
      </w:tr>
      <w:tr w14:paraId="6CEDBC49">
        <w:tblPrEx>
          <w:tblCellMar>
            <w:top w:w="0" w:type="dxa"/>
            <w:left w:w="108" w:type="dxa"/>
            <w:bottom w:w="0" w:type="dxa"/>
            <w:right w:w="108" w:type="dxa"/>
          </w:tblCellMar>
        </w:tblPrEx>
        <w:trPr>
          <w:trHeight w:val="482" w:hRule="atLeast"/>
        </w:trPr>
        <w:tc>
          <w:tcPr>
            <w:tcW w:w="1768" w:type="dxa"/>
            <w:tcBorders>
              <w:top w:val="single" w:color="auto" w:sz="4" w:space="0"/>
              <w:left w:val="single" w:color="auto" w:sz="4" w:space="0"/>
              <w:bottom w:val="single" w:color="auto" w:sz="4" w:space="0"/>
              <w:right w:val="single" w:color="auto" w:sz="4" w:space="0"/>
            </w:tcBorders>
            <w:vAlign w:val="center"/>
          </w:tcPr>
          <w:p w14:paraId="59B0487B">
            <w:pPr>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功能</w:t>
            </w:r>
          </w:p>
        </w:tc>
        <w:tc>
          <w:tcPr>
            <w:tcW w:w="7232" w:type="dxa"/>
            <w:tcBorders>
              <w:top w:val="single" w:color="auto" w:sz="4" w:space="0"/>
              <w:left w:val="nil"/>
              <w:bottom w:val="single" w:color="auto" w:sz="4" w:space="0"/>
              <w:right w:val="single" w:color="auto" w:sz="4" w:space="0"/>
            </w:tcBorders>
            <w:vAlign w:val="center"/>
          </w:tcPr>
          <w:p w14:paraId="716F7EE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▲为保证业务连续性，针对不同的存储卷，需要支持集群内部的快照，克隆，回滚功能。</w:t>
            </w:r>
          </w:p>
        </w:tc>
      </w:tr>
      <w:tr w14:paraId="709005F5">
        <w:tblPrEx>
          <w:tblCellMar>
            <w:top w:w="0" w:type="dxa"/>
            <w:left w:w="108" w:type="dxa"/>
            <w:bottom w:w="0" w:type="dxa"/>
            <w:right w:w="108" w:type="dxa"/>
          </w:tblCellMar>
        </w:tblPrEx>
        <w:trPr>
          <w:trHeight w:val="482" w:hRule="atLeast"/>
        </w:trPr>
        <w:tc>
          <w:tcPr>
            <w:tcW w:w="1768" w:type="dxa"/>
            <w:vMerge w:val="restart"/>
            <w:tcBorders>
              <w:left w:val="single" w:color="auto" w:sz="4" w:space="0"/>
              <w:right w:val="single" w:color="auto" w:sz="4" w:space="0"/>
            </w:tcBorders>
            <w:vAlign w:val="center"/>
          </w:tcPr>
          <w:p w14:paraId="16378B66">
            <w:pPr>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高可用性</w:t>
            </w:r>
          </w:p>
        </w:tc>
        <w:tc>
          <w:tcPr>
            <w:tcW w:w="7232" w:type="dxa"/>
            <w:tcBorders>
              <w:top w:val="single" w:color="auto" w:sz="4" w:space="0"/>
              <w:left w:val="nil"/>
              <w:bottom w:val="single" w:color="auto" w:sz="4" w:space="0"/>
              <w:right w:val="single" w:color="auto" w:sz="4" w:space="0"/>
            </w:tcBorders>
            <w:vAlign w:val="center"/>
          </w:tcPr>
          <w:p w14:paraId="0314559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★系统可以容忍任意单点故障。</w:t>
            </w:r>
          </w:p>
        </w:tc>
      </w:tr>
      <w:tr w14:paraId="0E21915E">
        <w:tblPrEx>
          <w:tblCellMar>
            <w:top w:w="0" w:type="dxa"/>
            <w:left w:w="108" w:type="dxa"/>
            <w:bottom w:w="0" w:type="dxa"/>
            <w:right w:w="108" w:type="dxa"/>
          </w:tblCellMar>
        </w:tblPrEx>
        <w:trPr>
          <w:trHeight w:val="482" w:hRule="atLeast"/>
        </w:trPr>
        <w:tc>
          <w:tcPr>
            <w:tcW w:w="1768" w:type="dxa"/>
            <w:vMerge w:val="continue"/>
            <w:tcBorders>
              <w:left w:val="single" w:color="auto" w:sz="4" w:space="0"/>
              <w:right w:val="single" w:color="auto" w:sz="4" w:space="0"/>
            </w:tcBorders>
            <w:vAlign w:val="center"/>
          </w:tcPr>
          <w:p w14:paraId="744C76E8">
            <w:pPr>
              <w:jc w:val="center"/>
              <w:rPr>
                <w:rFonts w:hint="eastAsia" w:ascii="宋体" w:hAnsi="宋体" w:cs="宋体"/>
                <w:bCs/>
                <w:color w:val="auto"/>
                <w:kern w:val="0"/>
                <w:szCs w:val="21"/>
                <w:highlight w:val="none"/>
              </w:rPr>
            </w:pPr>
          </w:p>
        </w:tc>
        <w:tc>
          <w:tcPr>
            <w:tcW w:w="7232" w:type="dxa"/>
            <w:tcBorders>
              <w:top w:val="single" w:color="auto" w:sz="4" w:space="0"/>
              <w:left w:val="nil"/>
              <w:bottom w:val="single" w:color="auto" w:sz="4" w:space="0"/>
              <w:right w:val="single" w:color="auto" w:sz="4" w:space="0"/>
            </w:tcBorders>
            <w:vAlign w:val="center"/>
          </w:tcPr>
          <w:p w14:paraId="505CD15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★当出现单点故障时，系统需要具备自我修复能力。</w:t>
            </w:r>
          </w:p>
        </w:tc>
      </w:tr>
      <w:tr w14:paraId="6EDBB048">
        <w:tblPrEx>
          <w:tblCellMar>
            <w:top w:w="0" w:type="dxa"/>
            <w:left w:w="108" w:type="dxa"/>
            <w:bottom w:w="0" w:type="dxa"/>
            <w:right w:w="108" w:type="dxa"/>
          </w:tblCellMar>
        </w:tblPrEx>
        <w:trPr>
          <w:trHeight w:val="482" w:hRule="atLeast"/>
        </w:trPr>
        <w:tc>
          <w:tcPr>
            <w:tcW w:w="1768" w:type="dxa"/>
            <w:vMerge w:val="continue"/>
            <w:tcBorders>
              <w:left w:val="single" w:color="auto" w:sz="4" w:space="0"/>
              <w:bottom w:val="single" w:color="auto" w:sz="4" w:space="0"/>
              <w:right w:val="single" w:color="auto" w:sz="4" w:space="0"/>
            </w:tcBorders>
            <w:vAlign w:val="center"/>
          </w:tcPr>
          <w:p w14:paraId="61704080">
            <w:pPr>
              <w:jc w:val="center"/>
              <w:rPr>
                <w:rFonts w:hint="eastAsia" w:ascii="宋体" w:hAnsi="宋体" w:cs="宋体"/>
                <w:bCs/>
                <w:color w:val="auto"/>
                <w:kern w:val="0"/>
                <w:szCs w:val="21"/>
                <w:highlight w:val="none"/>
              </w:rPr>
            </w:pPr>
          </w:p>
        </w:tc>
        <w:tc>
          <w:tcPr>
            <w:tcW w:w="7232" w:type="dxa"/>
            <w:tcBorders>
              <w:top w:val="single" w:color="auto" w:sz="4" w:space="0"/>
              <w:left w:val="nil"/>
              <w:bottom w:val="single" w:color="auto" w:sz="4" w:space="0"/>
              <w:right w:val="single" w:color="auto" w:sz="4" w:space="0"/>
            </w:tcBorders>
            <w:vAlign w:val="center"/>
          </w:tcPr>
          <w:p w14:paraId="5020B16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▲支持多副本的数据冗余技术，副本个数可选。</w:t>
            </w:r>
          </w:p>
        </w:tc>
      </w:tr>
      <w:tr w14:paraId="27947239">
        <w:tblPrEx>
          <w:tblCellMar>
            <w:top w:w="0" w:type="dxa"/>
            <w:left w:w="108" w:type="dxa"/>
            <w:bottom w:w="0" w:type="dxa"/>
            <w:right w:w="108" w:type="dxa"/>
          </w:tblCellMar>
        </w:tblPrEx>
        <w:trPr>
          <w:trHeight w:val="482" w:hRule="atLeast"/>
        </w:trPr>
        <w:tc>
          <w:tcPr>
            <w:tcW w:w="1768" w:type="dxa"/>
            <w:tcBorders>
              <w:top w:val="single" w:color="auto" w:sz="4" w:space="0"/>
              <w:left w:val="single" w:color="auto" w:sz="4" w:space="0"/>
              <w:right w:val="single" w:color="auto" w:sz="4" w:space="0"/>
            </w:tcBorders>
            <w:vAlign w:val="center"/>
          </w:tcPr>
          <w:p w14:paraId="2CE93557">
            <w:pP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存储效率</w:t>
            </w:r>
          </w:p>
        </w:tc>
        <w:tc>
          <w:tcPr>
            <w:tcW w:w="7232" w:type="dxa"/>
            <w:tcBorders>
              <w:top w:val="single" w:color="auto" w:sz="4" w:space="0"/>
              <w:left w:val="nil"/>
              <w:bottom w:val="single" w:color="auto" w:sz="4" w:space="0"/>
              <w:right w:val="single" w:color="auto" w:sz="4" w:space="0"/>
            </w:tcBorders>
            <w:vAlign w:val="center"/>
          </w:tcPr>
          <w:p w14:paraId="200D028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★具备全局在线重删和压缩功能，提高存储系统的使用效率。</w:t>
            </w:r>
          </w:p>
        </w:tc>
      </w:tr>
      <w:tr w14:paraId="536F3B96">
        <w:tblPrEx>
          <w:tblCellMar>
            <w:top w:w="0" w:type="dxa"/>
            <w:left w:w="108" w:type="dxa"/>
            <w:bottom w:w="0" w:type="dxa"/>
            <w:right w:w="108" w:type="dxa"/>
          </w:tblCellMar>
        </w:tblPrEx>
        <w:trPr>
          <w:trHeight w:val="482" w:hRule="atLeast"/>
        </w:trPr>
        <w:tc>
          <w:tcPr>
            <w:tcW w:w="1768" w:type="dxa"/>
            <w:tcBorders>
              <w:top w:val="single" w:color="auto" w:sz="4" w:space="0"/>
              <w:left w:val="single" w:color="auto" w:sz="4" w:space="0"/>
              <w:bottom w:val="single" w:color="auto" w:sz="4" w:space="0"/>
              <w:right w:val="single" w:color="auto" w:sz="4" w:space="0"/>
            </w:tcBorders>
            <w:vAlign w:val="center"/>
          </w:tcPr>
          <w:p w14:paraId="61F48B5C">
            <w:pP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▲扩展性</w:t>
            </w:r>
          </w:p>
        </w:tc>
        <w:tc>
          <w:tcPr>
            <w:tcW w:w="7232" w:type="dxa"/>
            <w:tcBorders>
              <w:top w:val="single" w:color="auto" w:sz="4" w:space="0"/>
              <w:left w:val="nil"/>
              <w:bottom w:val="single" w:color="auto" w:sz="4" w:space="0"/>
              <w:right w:val="single" w:color="auto" w:sz="4" w:space="0"/>
            </w:tcBorders>
            <w:vAlign w:val="center"/>
          </w:tcPr>
          <w:p w14:paraId="0426354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支持在不影响业务的前提下在线扩容，包括增加数据盘和节点。</w:t>
            </w:r>
          </w:p>
        </w:tc>
      </w:tr>
      <w:tr w14:paraId="5389DE45">
        <w:tblPrEx>
          <w:tblCellMar>
            <w:top w:w="0" w:type="dxa"/>
            <w:left w:w="108" w:type="dxa"/>
            <w:bottom w:w="0" w:type="dxa"/>
            <w:right w:w="108" w:type="dxa"/>
          </w:tblCellMar>
        </w:tblPrEx>
        <w:trPr>
          <w:trHeight w:val="482" w:hRule="atLeast"/>
        </w:trPr>
        <w:tc>
          <w:tcPr>
            <w:tcW w:w="1768" w:type="dxa"/>
            <w:tcBorders>
              <w:top w:val="single" w:color="auto" w:sz="4" w:space="0"/>
              <w:left w:val="single" w:color="auto" w:sz="4" w:space="0"/>
              <w:bottom w:val="single" w:color="auto" w:sz="4" w:space="0"/>
              <w:right w:val="single" w:color="auto" w:sz="4" w:space="0"/>
            </w:tcBorders>
            <w:vAlign w:val="center"/>
          </w:tcPr>
          <w:p w14:paraId="1A1A5838">
            <w:pP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数据一致性</w:t>
            </w:r>
          </w:p>
        </w:tc>
        <w:tc>
          <w:tcPr>
            <w:tcW w:w="7232" w:type="dxa"/>
            <w:tcBorders>
              <w:top w:val="single" w:color="auto" w:sz="4" w:space="0"/>
              <w:left w:val="nil"/>
              <w:bottom w:val="single" w:color="auto" w:sz="4" w:space="0"/>
              <w:right w:val="single" w:color="auto" w:sz="4" w:space="0"/>
            </w:tcBorders>
            <w:vAlign w:val="center"/>
          </w:tcPr>
          <w:p w14:paraId="47B98A7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允许多个应用同时对一个4K数据块的相同或者不同的位置发起重叠的读写操作，应用读出的数据是最近一个完成的写。如果应用进行并发写，那么落盘的数据是应用最后发出的写。</w:t>
            </w:r>
          </w:p>
        </w:tc>
      </w:tr>
      <w:tr w14:paraId="2375C085">
        <w:tblPrEx>
          <w:tblCellMar>
            <w:top w:w="0" w:type="dxa"/>
            <w:left w:w="108" w:type="dxa"/>
            <w:bottom w:w="0" w:type="dxa"/>
            <w:right w:w="108" w:type="dxa"/>
          </w:tblCellMar>
        </w:tblPrEx>
        <w:trPr>
          <w:trHeight w:val="482" w:hRule="atLeast"/>
        </w:trPr>
        <w:tc>
          <w:tcPr>
            <w:tcW w:w="1768" w:type="dxa"/>
            <w:tcBorders>
              <w:top w:val="single" w:color="auto" w:sz="4" w:space="0"/>
              <w:left w:val="single" w:color="auto" w:sz="4" w:space="0"/>
              <w:bottom w:val="single" w:color="auto" w:sz="4" w:space="0"/>
              <w:right w:val="single" w:color="auto" w:sz="4" w:space="0"/>
            </w:tcBorders>
            <w:vAlign w:val="center"/>
          </w:tcPr>
          <w:p w14:paraId="41BFAD33">
            <w:pP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▲告警管理</w:t>
            </w:r>
          </w:p>
        </w:tc>
        <w:tc>
          <w:tcPr>
            <w:tcW w:w="7232" w:type="dxa"/>
            <w:tcBorders>
              <w:top w:val="single" w:color="auto" w:sz="4" w:space="0"/>
              <w:left w:val="nil"/>
              <w:bottom w:val="single" w:color="auto" w:sz="4" w:space="0"/>
              <w:right w:val="single" w:color="auto" w:sz="4" w:space="0"/>
            </w:tcBorders>
            <w:vAlign w:val="center"/>
          </w:tcPr>
          <w:p w14:paraId="5601660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系统在发生异常或者故障（如磁盘故障，节点掉电或者网路断开等）能够及时告警，并且根据异常和故障的严重程度提供不同等级的警告，从而提醒系统管理员及时采取相关措施。</w:t>
            </w:r>
          </w:p>
        </w:tc>
      </w:tr>
      <w:tr w14:paraId="68226AFD">
        <w:tblPrEx>
          <w:tblCellMar>
            <w:top w:w="0" w:type="dxa"/>
            <w:left w:w="108" w:type="dxa"/>
            <w:bottom w:w="0" w:type="dxa"/>
            <w:right w:w="108" w:type="dxa"/>
          </w:tblCellMar>
        </w:tblPrEx>
        <w:trPr>
          <w:trHeight w:val="482" w:hRule="atLeast"/>
        </w:trPr>
        <w:tc>
          <w:tcPr>
            <w:tcW w:w="1768" w:type="dxa"/>
            <w:vMerge w:val="restart"/>
            <w:tcBorders>
              <w:top w:val="single" w:color="auto" w:sz="4" w:space="0"/>
              <w:left w:val="single" w:color="auto" w:sz="4" w:space="0"/>
              <w:right w:val="single" w:color="auto" w:sz="4" w:space="0"/>
            </w:tcBorders>
            <w:vAlign w:val="center"/>
          </w:tcPr>
          <w:p w14:paraId="3005EA84">
            <w:pP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性能</w:t>
            </w:r>
          </w:p>
        </w:tc>
        <w:tc>
          <w:tcPr>
            <w:tcW w:w="7232" w:type="dxa"/>
            <w:tcBorders>
              <w:top w:val="single" w:color="auto" w:sz="4" w:space="0"/>
              <w:left w:val="nil"/>
              <w:bottom w:val="single" w:color="auto" w:sz="4" w:space="0"/>
              <w:right w:val="single" w:color="auto" w:sz="4" w:space="0"/>
            </w:tcBorders>
            <w:vAlign w:val="center"/>
          </w:tcPr>
          <w:p w14:paraId="35BB734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系统IOPS性能数值≥1</w:t>
            </w:r>
            <w:r>
              <w:rPr>
                <w:rFonts w:ascii="宋体" w:hAnsi="宋体" w:cs="宋体"/>
                <w:bCs/>
                <w:color w:val="auto"/>
                <w:kern w:val="0"/>
                <w:szCs w:val="21"/>
                <w:highlight w:val="none"/>
              </w:rPr>
              <w:t>50</w:t>
            </w:r>
            <w:r>
              <w:rPr>
                <w:rFonts w:hint="eastAsia" w:ascii="宋体" w:hAnsi="宋体" w:cs="宋体"/>
                <w:bCs/>
                <w:color w:val="auto"/>
                <w:kern w:val="0"/>
                <w:szCs w:val="21"/>
                <w:highlight w:val="none"/>
              </w:rPr>
              <w:t>000 IOPS。</w:t>
            </w:r>
          </w:p>
        </w:tc>
      </w:tr>
      <w:tr w14:paraId="50D3C06E">
        <w:tblPrEx>
          <w:tblCellMar>
            <w:top w:w="0" w:type="dxa"/>
            <w:left w:w="108" w:type="dxa"/>
            <w:bottom w:w="0" w:type="dxa"/>
            <w:right w:w="108" w:type="dxa"/>
          </w:tblCellMar>
        </w:tblPrEx>
        <w:trPr>
          <w:trHeight w:val="482" w:hRule="atLeast"/>
        </w:trPr>
        <w:tc>
          <w:tcPr>
            <w:tcW w:w="1768" w:type="dxa"/>
            <w:vMerge w:val="continue"/>
            <w:tcBorders>
              <w:left w:val="single" w:color="auto" w:sz="4" w:space="0"/>
              <w:bottom w:val="single" w:color="auto" w:sz="4" w:space="0"/>
              <w:right w:val="single" w:color="auto" w:sz="4" w:space="0"/>
            </w:tcBorders>
            <w:vAlign w:val="center"/>
          </w:tcPr>
          <w:p w14:paraId="62B5FDDF">
            <w:pPr>
              <w:jc w:val="center"/>
              <w:rPr>
                <w:rFonts w:hint="eastAsia" w:ascii="宋体" w:hAnsi="宋体" w:cs="宋体"/>
                <w:bCs/>
                <w:color w:val="auto"/>
                <w:kern w:val="0"/>
                <w:szCs w:val="21"/>
                <w:highlight w:val="none"/>
              </w:rPr>
            </w:pPr>
          </w:p>
        </w:tc>
        <w:tc>
          <w:tcPr>
            <w:tcW w:w="7232" w:type="dxa"/>
            <w:tcBorders>
              <w:top w:val="single" w:color="auto" w:sz="4" w:space="0"/>
              <w:left w:val="nil"/>
              <w:bottom w:val="single" w:color="auto" w:sz="4" w:space="0"/>
              <w:right w:val="single" w:color="auto" w:sz="4" w:space="0"/>
            </w:tcBorders>
            <w:vAlign w:val="center"/>
          </w:tcPr>
          <w:p w14:paraId="52AB201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支持ROW快照，打快照时，存储系统性能不受影响。</w:t>
            </w:r>
          </w:p>
        </w:tc>
      </w:tr>
    </w:tbl>
    <w:p w14:paraId="2FA0E1CB">
      <w:p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备注：</w:t>
      </w:r>
    </w:p>
    <w:p w14:paraId="2D8F9502">
      <w:pPr>
        <w:spacing w:line="360" w:lineRule="auto"/>
        <w:ind w:firstLine="482" w:firstLineChars="200"/>
        <w:rPr>
          <w:rFonts w:hint="eastAsia" w:ascii="宋体" w:hAnsi="宋体" w:eastAsia="宋体"/>
          <w:b/>
          <w:bCs/>
          <w:color w:val="auto"/>
          <w:sz w:val="24"/>
          <w:highlight w:val="none"/>
          <w:lang w:eastAsia="zh-CN"/>
        </w:rPr>
      </w:pPr>
      <w:r>
        <w:rPr>
          <w:rFonts w:hint="eastAsia" w:ascii="宋体" w:hAnsi="宋体"/>
          <w:b/>
          <w:bCs/>
          <w:color w:val="auto"/>
          <w:sz w:val="24"/>
          <w:highlight w:val="none"/>
          <w:lang w:val="en-US" w:eastAsia="zh-CN"/>
        </w:rPr>
        <w:t>1、</w:t>
      </w:r>
      <w:r>
        <w:rPr>
          <w:rFonts w:hint="eastAsia" w:ascii="宋体" w:hAnsi="宋体"/>
          <w:b/>
          <w:bCs/>
          <w:color w:val="auto"/>
          <w:sz w:val="24"/>
          <w:highlight w:val="none"/>
        </w:rPr>
        <w:t>针对以上主要设备技术参数要求，投标人在应标时应提供加盖公章的</w:t>
      </w:r>
      <w:r>
        <w:rPr>
          <w:rFonts w:hint="eastAsia" w:ascii="宋体" w:hAnsi="宋体"/>
          <w:b/>
          <w:bCs/>
          <w:color w:val="auto"/>
          <w:sz w:val="24"/>
          <w:highlight w:val="none"/>
          <w:lang w:eastAsia="zh-CN"/>
        </w:rPr>
        <w:t>《</w:t>
      </w:r>
      <w:r>
        <w:rPr>
          <w:rFonts w:hint="eastAsia" w:ascii="宋体" w:hAnsi="宋体"/>
          <w:b/>
          <w:bCs/>
          <w:color w:val="auto"/>
          <w:sz w:val="24"/>
          <w:highlight w:val="none"/>
        </w:rPr>
        <w:t>技术部分正负偏离表</w:t>
      </w:r>
      <w:r>
        <w:rPr>
          <w:rFonts w:hint="eastAsia" w:ascii="宋体" w:hAnsi="宋体"/>
          <w:b/>
          <w:bCs/>
          <w:color w:val="auto"/>
          <w:sz w:val="24"/>
          <w:highlight w:val="none"/>
          <w:lang w:eastAsia="zh-CN"/>
        </w:rPr>
        <w:t>》。</w:t>
      </w:r>
    </w:p>
    <w:p w14:paraId="72852867">
      <w:p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lang w:val="en-US" w:eastAsia="zh-CN"/>
        </w:rPr>
        <w:t>2、上表“技术参数要求”中要求提供的加盖原厂公章的</w:t>
      </w:r>
      <w:r>
        <w:rPr>
          <w:rFonts w:hint="eastAsia" w:ascii="宋体" w:hAnsi="宋体"/>
          <w:b/>
          <w:bCs/>
          <w:color w:val="auto"/>
          <w:sz w:val="24"/>
          <w:highlight w:val="none"/>
        </w:rPr>
        <w:t>截图、检测报告</w:t>
      </w:r>
      <w:r>
        <w:rPr>
          <w:rFonts w:hint="eastAsia" w:ascii="宋体" w:hAnsi="宋体"/>
          <w:b/>
          <w:bCs/>
          <w:color w:val="auto"/>
          <w:sz w:val="24"/>
          <w:highlight w:val="none"/>
          <w:lang w:val="en-US" w:eastAsia="zh-CN"/>
        </w:rPr>
        <w:t>等相关证明材料，在响应文件中无须提供，在成交结果公告发布之日起至</w:t>
      </w:r>
      <w:r>
        <w:rPr>
          <w:rFonts w:hint="eastAsia" w:ascii="宋体" w:hAnsi="宋体"/>
          <w:b/>
          <w:bCs/>
          <w:color w:val="auto"/>
          <w:sz w:val="24"/>
          <w:highlight w:val="none"/>
          <w:lang w:val="en-US" w:eastAsia="zh-CN"/>
        </w:rPr>
        <w:t>签订合同前</w:t>
      </w:r>
      <w:r>
        <w:rPr>
          <w:rFonts w:hint="eastAsia" w:ascii="宋体" w:hAnsi="宋体"/>
          <w:b/>
          <w:bCs/>
          <w:color w:val="auto"/>
          <w:sz w:val="24"/>
          <w:highlight w:val="none"/>
          <w:lang w:val="en-US" w:eastAsia="zh-CN"/>
        </w:rPr>
        <w:t>按照采购人要求提供</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并由采购人进行对拟投入</w:t>
      </w:r>
      <w:r>
        <w:rPr>
          <w:rFonts w:hint="eastAsia" w:ascii="宋体" w:hAnsi="宋体"/>
          <w:b/>
          <w:bCs/>
          <w:color w:val="auto"/>
          <w:sz w:val="24"/>
          <w:highlight w:val="none"/>
        </w:rPr>
        <w:t>设备</w:t>
      </w:r>
      <w:r>
        <w:rPr>
          <w:rFonts w:hint="eastAsia" w:ascii="宋体" w:hAnsi="宋体"/>
          <w:b/>
          <w:bCs/>
          <w:color w:val="auto"/>
          <w:sz w:val="24"/>
          <w:highlight w:val="none"/>
          <w:lang w:val="en-US" w:eastAsia="zh-CN"/>
        </w:rPr>
        <w:t>进行</w:t>
      </w:r>
      <w:r>
        <w:rPr>
          <w:rFonts w:hint="eastAsia" w:ascii="宋体" w:hAnsi="宋体"/>
          <w:b/>
          <w:bCs/>
          <w:color w:val="auto"/>
          <w:sz w:val="24"/>
          <w:highlight w:val="none"/>
        </w:rPr>
        <w:t>功能测试，对于设备不能满足招标参数要求的，</w:t>
      </w:r>
      <w:r>
        <w:rPr>
          <w:rFonts w:hint="eastAsia" w:ascii="宋体" w:hAnsi="宋体"/>
          <w:b/>
          <w:bCs/>
          <w:color w:val="auto"/>
          <w:sz w:val="24"/>
          <w:highlight w:val="none"/>
          <w:lang w:val="en-US" w:eastAsia="zh-CN"/>
        </w:rPr>
        <w:t>采购人</w:t>
      </w:r>
      <w:r>
        <w:rPr>
          <w:rFonts w:hint="eastAsia" w:ascii="宋体" w:hAnsi="宋体"/>
          <w:b/>
          <w:bCs/>
          <w:color w:val="auto"/>
          <w:sz w:val="24"/>
          <w:highlight w:val="none"/>
        </w:rPr>
        <w:t>有权拒签合同并追究其法律责任，</w:t>
      </w:r>
      <w:r>
        <w:rPr>
          <w:rFonts w:hint="eastAsia" w:ascii="宋体" w:hAnsi="宋体"/>
          <w:b/>
          <w:bCs/>
          <w:color w:val="auto"/>
          <w:sz w:val="24"/>
          <w:highlight w:val="none"/>
          <w:lang w:val="en-US" w:eastAsia="zh-CN"/>
        </w:rPr>
        <w:t>并且投标人</w:t>
      </w:r>
      <w:r>
        <w:rPr>
          <w:rFonts w:hint="eastAsia" w:ascii="宋体" w:hAnsi="宋体"/>
          <w:b/>
          <w:bCs/>
          <w:color w:val="auto"/>
          <w:sz w:val="24"/>
          <w:highlight w:val="none"/>
        </w:rPr>
        <w:t>承担虚假应标的相应责任，由此造成的一切后果及费用由投标人承担。</w:t>
      </w:r>
    </w:p>
    <w:p w14:paraId="7775E2E6">
      <w:pPr>
        <w:spacing w:line="360" w:lineRule="auto"/>
        <w:ind w:firstLine="508" w:firstLineChars="200"/>
        <w:rPr>
          <w:rFonts w:hint="default" w:ascii="宋体" w:hAnsi="宋体" w:eastAsia="宋体"/>
          <w:color w:val="auto"/>
          <w:spacing w:val="7"/>
          <w:kern w:val="0"/>
          <w:sz w:val="24"/>
          <w:highlight w:val="none"/>
          <w:u w:val="thick"/>
          <w:shd w:val="clear" w:color="auto" w:fill="FFFFFF"/>
          <w:lang w:val="en-US" w:eastAsia="zh-CN"/>
        </w:rPr>
      </w:pPr>
      <w:r>
        <w:rPr>
          <w:rFonts w:hint="eastAsia" w:ascii="宋体" w:hAnsi="宋体"/>
          <w:color w:val="auto"/>
          <w:spacing w:val="7"/>
          <w:kern w:val="0"/>
          <w:sz w:val="24"/>
          <w:highlight w:val="none"/>
          <w:shd w:val="clear" w:color="auto" w:fill="FFFFFF"/>
        </w:rPr>
        <w:t>2、采购合同期限时间</w:t>
      </w:r>
      <w:r>
        <w:rPr>
          <w:rFonts w:hint="eastAsia" w:ascii="宋体" w:hAnsi="宋体"/>
          <w:color w:val="auto"/>
          <w:spacing w:val="7"/>
          <w:kern w:val="0"/>
          <w:sz w:val="24"/>
          <w:highlight w:val="none"/>
          <w:shd w:val="clear" w:color="auto" w:fill="FFFFFF"/>
        </w:rPr>
        <w:t>：</w:t>
      </w:r>
      <w:r>
        <w:rPr>
          <w:rFonts w:hint="eastAsia" w:ascii="宋体" w:hAnsi="宋体"/>
          <w:color w:val="auto"/>
          <w:spacing w:val="7"/>
          <w:kern w:val="0"/>
          <w:sz w:val="24"/>
          <w:highlight w:val="none"/>
          <w:u w:val="thick"/>
          <w:shd w:val="clear" w:color="auto" w:fill="FFFFFF"/>
        </w:rPr>
        <w:t xml:space="preserve"> 存储资源服务、数据保护和备份服务、数据分析服务</w:t>
      </w:r>
      <w:r>
        <w:rPr>
          <w:rFonts w:hint="eastAsia" w:ascii="宋体" w:hAnsi="宋体"/>
          <w:color w:val="auto"/>
          <w:spacing w:val="7"/>
          <w:kern w:val="0"/>
          <w:sz w:val="24"/>
          <w:highlight w:val="none"/>
          <w:u w:val="thick"/>
          <w:shd w:val="clear" w:color="auto" w:fill="FFFFFF"/>
          <w:lang w:val="en-US" w:eastAsia="zh-CN"/>
        </w:rPr>
        <w:t>三项服务在60日历天内全部上线。</w:t>
      </w:r>
    </w:p>
    <w:p w14:paraId="023DD676">
      <w:pPr>
        <w:keepNext w:val="0"/>
        <w:keepLines w:val="0"/>
        <w:pageBreakBefore w:val="0"/>
        <w:widowControl/>
        <w:kinsoku/>
        <w:wordWrap/>
        <w:overflowPunct/>
        <w:topLinePunct w:val="0"/>
        <w:autoSpaceDE/>
        <w:autoSpaceDN/>
        <w:bidi w:val="0"/>
        <w:snapToGrid/>
        <w:spacing w:line="480" w:lineRule="exact"/>
        <w:ind w:firstLine="508" w:firstLineChars="200"/>
        <w:jc w:val="left"/>
        <w:textAlignment w:val="auto"/>
        <w:rPr>
          <w:rFonts w:ascii="宋体" w:hAnsi="宋体"/>
          <w:color w:val="auto"/>
          <w:kern w:val="0"/>
          <w:sz w:val="24"/>
          <w:highlight w:val="none"/>
        </w:rPr>
      </w:pPr>
      <w:r>
        <w:rPr>
          <w:rFonts w:hint="eastAsia" w:ascii="宋体" w:hAnsi="宋体"/>
          <w:color w:val="auto"/>
          <w:spacing w:val="7"/>
          <w:kern w:val="0"/>
          <w:sz w:val="24"/>
          <w:highlight w:val="none"/>
          <w:shd w:val="clear" w:color="auto" w:fill="FFFFFF"/>
        </w:rPr>
        <w:t>3、采购项目交付地点：</w:t>
      </w:r>
      <w:r>
        <w:rPr>
          <w:rFonts w:hint="eastAsia" w:ascii="宋体" w:hAnsi="宋体"/>
          <w:color w:val="auto"/>
          <w:spacing w:val="7"/>
          <w:kern w:val="0"/>
          <w:sz w:val="24"/>
          <w:highlight w:val="none"/>
          <w:u w:val="single"/>
          <w:shd w:val="clear" w:color="auto" w:fill="FFFFFF"/>
          <w:lang w:val="en-US" w:eastAsia="zh-CN"/>
        </w:rPr>
        <w:t>采购人指定位置</w:t>
      </w:r>
      <w:r>
        <w:rPr>
          <w:rFonts w:hint="eastAsia" w:ascii="宋体" w:hAnsi="宋体"/>
          <w:color w:val="auto"/>
          <w:spacing w:val="7"/>
          <w:kern w:val="0"/>
          <w:sz w:val="24"/>
          <w:highlight w:val="none"/>
          <w:shd w:val="clear" w:color="auto" w:fill="FFFFFF"/>
        </w:rPr>
        <w:t>。</w:t>
      </w:r>
    </w:p>
    <w:p w14:paraId="4FB2A829">
      <w:pPr>
        <w:keepNext w:val="0"/>
        <w:keepLines w:val="0"/>
        <w:pageBreakBefore w:val="0"/>
        <w:tabs>
          <w:tab w:val="left" w:pos="0"/>
        </w:tabs>
        <w:kinsoku/>
        <w:wordWrap/>
        <w:overflowPunct/>
        <w:topLinePunct w:val="0"/>
        <w:autoSpaceDE/>
        <w:autoSpaceDN/>
        <w:bidi w:val="0"/>
        <w:snapToGrid/>
        <w:spacing w:line="480" w:lineRule="exact"/>
        <w:ind w:left="142"/>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（五）采购标的需满足的服务标准、期限、效率等要求</w:t>
      </w:r>
    </w:p>
    <w:p w14:paraId="0F8268E1">
      <w:pPr>
        <w:keepNext w:val="0"/>
        <w:keepLines w:val="0"/>
        <w:pageBreakBefore w:val="0"/>
        <w:tabs>
          <w:tab w:val="left" w:pos="0"/>
        </w:tabs>
        <w:kinsoku/>
        <w:wordWrap/>
        <w:overflowPunct/>
        <w:topLinePunct w:val="0"/>
        <w:autoSpaceDE/>
        <w:autoSpaceDN/>
        <w:bidi w:val="0"/>
        <w:snapToGrid/>
        <w:spacing w:line="480" w:lineRule="exact"/>
        <w:ind w:left="142"/>
        <w:textAlignment w:val="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（1）服务期内售后服务要求：</w:t>
      </w:r>
    </w:p>
    <w:p w14:paraId="7E69525B">
      <w:pPr>
        <w:keepNext w:val="0"/>
        <w:keepLines w:val="0"/>
        <w:pageBreakBefore w:val="0"/>
        <w:widowControl/>
        <w:kinsoku/>
        <w:wordWrap/>
        <w:overflowPunct/>
        <w:topLinePunct w:val="0"/>
        <w:autoSpaceDE/>
        <w:autoSpaceDN/>
        <w:bidi w:val="0"/>
        <w:snapToGrid/>
        <w:spacing w:line="480" w:lineRule="exact"/>
        <w:ind w:firstLine="508" w:firstLineChars="200"/>
        <w:jc w:val="left"/>
        <w:textAlignment w:val="auto"/>
        <w:rPr>
          <w:rFonts w:hint="eastAsia" w:ascii="宋体" w:hAnsi="宋体"/>
          <w:color w:val="auto"/>
          <w:spacing w:val="7"/>
          <w:kern w:val="0"/>
          <w:sz w:val="24"/>
          <w:highlight w:val="none"/>
          <w:shd w:val="clear" w:color="auto" w:fill="FFFFFF"/>
        </w:rPr>
      </w:pPr>
      <w:r>
        <w:rPr>
          <w:rFonts w:hint="eastAsia" w:ascii="宋体" w:hAnsi="宋体"/>
          <w:color w:val="auto"/>
          <w:spacing w:val="7"/>
          <w:kern w:val="0"/>
          <w:sz w:val="24"/>
          <w:highlight w:val="none"/>
          <w:shd w:val="clear" w:color="auto" w:fill="FFFFFF"/>
          <w:lang w:val="en-US" w:eastAsia="zh-CN"/>
        </w:rPr>
        <w:t>1、</w:t>
      </w:r>
      <w:r>
        <w:rPr>
          <w:rFonts w:hint="eastAsia" w:ascii="宋体" w:hAnsi="宋体"/>
          <w:color w:val="auto"/>
          <w:spacing w:val="7"/>
          <w:kern w:val="0"/>
          <w:sz w:val="24"/>
          <w:highlight w:val="none"/>
          <w:shd w:val="clear" w:color="auto" w:fill="FFFFFF"/>
        </w:rPr>
        <w:t>疑难问题（不危及运行）在24小时内答复用户。</w:t>
      </w:r>
    </w:p>
    <w:p w14:paraId="6AB6B5CF">
      <w:pPr>
        <w:keepNext w:val="0"/>
        <w:keepLines w:val="0"/>
        <w:pageBreakBefore w:val="0"/>
        <w:widowControl/>
        <w:kinsoku/>
        <w:wordWrap/>
        <w:overflowPunct/>
        <w:topLinePunct w:val="0"/>
        <w:autoSpaceDE/>
        <w:autoSpaceDN/>
        <w:bidi w:val="0"/>
        <w:snapToGrid/>
        <w:spacing w:line="480" w:lineRule="exact"/>
        <w:ind w:firstLine="508" w:firstLineChars="200"/>
        <w:jc w:val="left"/>
        <w:textAlignment w:val="auto"/>
        <w:rPr>
          <w:rFonts w:hint="eastAsia" w:ascii="宋体" w:hAnsi="宋体"/>
          <w:color w:val="auto"/>
          <w:spacing w:val="7"/>
          <w:kern w:val="0"/>
          <w:sz w:val="24"/>
          <w:highlight w:val="none"/>
          <w:shd w:val="clear" w:color="auto" w:fill="FFFFFF"/>
        </w:rPr>
      </w:pPr>
      <w:r>
        <w:rPr>
          <w:rFonts w:hint="eastAsia" w:ascii="宋体" w:hAnsi="宋体"/>
          <w:color w:val="auto"/>
          <w:spacing w:val="7"/>
          <w:kern w:val="0"/>
          <w:sz w:val="24"/>
          <w:highlight w:val="none"/>
          <w:shd w:val="clear" w:color="auto" w:fill="FFFFFF"/>
          <w:lang w:val="en-US" w:eastAsia="zh-CN"/>
        </w:rPr>
        <w:t>2、</w:t>
      </w:r>
      <w:r>
        <w:rPr>
          <w:rFonts w:hint="eastAsia" w:ascii="宋体" w:hAnsi="宋体"/>
          <w:color w:val="auto"/>
          <w:spacing w:val="7"/>
          <w:kern w:val="0"/>
          <w:sz w:val="24"/>
          <w:highlight w:val="none"/>
          <w:shd w:val="clear" w:color="auto" w:fill="FFFFFF"/>
        </w:rPr>
        <w:t>重大问题（危及运行）在2小时内到现场处理或通过网络远程处理。</w:t>
      </w:r>
    </w:p>
    <w:p w14:paraId="245BC1E4">
      <w:pPr>
        <w:keepNext w:val="0"/>
        <w:keepLines w:val="0"/>
        <w:pageBreakBefore w:val="0"/>
        <w:widowControl/>
        <w:kinsoku/>
        <w:wordWrap/>
        <w:overflowPunct/>
        <w:topLinePunct w:val="0"/>
        <w:autoSpaceDE/>
        <w:autoSpaceDN/>
        <w:bidi w:val="0"/>
        <w:snapToGrid/>
        <w:spacing w:line="480" w:lineRule="exact"/>
        <w:ind w:firstLine="508" w:firstLineChars="200"/>
        <w:jc w:val="left"/>
        <w:textAlignment w:val="auto"/>
        <w:rPr>
          <w:rFonts w:hint="eastAsia" w:ascii="宋体" w:hAnsi="宋体"/>
          <w:color w:val="auto"/>
          <w:spacing w:val="7"/>
          <w:kern w:val="0"/>
          <w:sz w:val="24"/>
          <w:highlight w:val="none"/>
          <w:shd w:val="clear" w:color="auto" w:fill="FFFFFF"/>
        </w:rPr>
      </w:pPr>
      <w:r>
        <w:rPr>
          <w:rFonts w:hint="eastAsia" w:ascii="宋体" w:hAnsi="宋体"/>
          <w:color w:val="auto"/>
          <w:spacing w:val="7"/>
          <w:kern w:val="0"/>
          <w:sz w:val="24"/>
          <w:highlight w:val="none"/>
          <w:shd w:val="clear" w:color="auto" w:fill="FFFFFF"/>
          <w:lang w:val="en-US" w:eastAsia="zh-CN"/>
        </w:rPr>
        <w:t>3、</w:t>
      </w:r>
      <w:r>
        <w:rPr>
          <w:rFonts w:hint="eastAsia" w:ascii="宋体" w:hAnsi="宋体"/>
          <w:color w:val="auto"/>
          <w:spacing w:val="7"/>
          <w:kern w:val="0"/>
          <w:sz w:val="24"/>
          <w:highlight w:val="none"/>
          <w:shd w:val="clear" w:color="auto" w:fill="FFFFFF"/>
        </w:rPr>
        <w:t>本项目服务期内额外产生的人员、备品备件、安装调试等费用均由供应商承担。</w:t>
      </w:r>
    </w:p>
    <w:p w14:paraId="3C7FEEF3">
      <w:pPr>
        <w:keepNext w:val="0"/>
        <w:keepLines w:val="0"/>
        <w:pageBreakBefore w:val="0"/>
        <w:tabs>
          <w:tab w:val="left" w:pos="0"/>
        </w:tabs>
        <w:kinsoku/>
        <w:wordWrap/>
        <w:overflowPunct/>
        <w:topLinePunct w:val="0"/>
        <w:autoSpaceDE/>
        <w:autoSpaceDN/>
        <w:bidi w:val="0"/>
        <w:snapToGrid/>
        <w:spacing w:line="480" w:lineRule="exact"/>
        <w:ind w:left="142"/>
        <w:textAlignment w:val="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（2）项目服务期限：</w:t>
      </w:r>
    </w:p>
    <w:p w14:paraId="4265F5C8">
      <w:pPr>
        <w:keepNext w:val="0"/>
        <w:keepLines w:val="0"/>
        <w:pageBreakBefore w:val="0"/>
        <w:widowControl/>
        <w:kinsoku/>
        <w:wordWrap/>
        <w:overflowPunct/>
        <w:topLinePunct w:val="0"/>
        <w:autoSpaceDE/>
        <w:autoSpaceDN/>
        <w:bidi w:val="0"/>
        <w:snapToGrid/>
        <w:spacing w:line="480" w:lineRule="exact"/>
        <w:ind w:firstLine="508" w:firstLineChars="200"/>
        <w:jc w:val="left"/>
        <w:textAlignment w:val="auto"/>
        <w:rPr>
          <w:rFonts w:hint="default" w:ascii="宋体" w:hAnsi="宋体" w:cs="Times New Roman"/>
          <w:color w:val="auto"/>
          <w:sz w:val="24"/>
          <w:highlight w:val="none"/>
          <w:lang w:val="en-US" w:eastAsia="zh-CN"/>
        </w:rPr>
      </w:pPr>
      <w:r>
        <w:rPr>
          <w:rFonts w:hint="eastAsia" w:ascii="宋体" w:hAnsi="宋体"/>
          <w:color w:val="auto"/>
          <w:spacing w:val="7"/>
          <w:kern w:val="0"/>
          <w:sz w:val="24"/>
          <w:highlight w:val="none"/>
          <w:shd w:val="clear" w:color="auto" w:fill="FFFFFF"/>
          <w:lang w:val="en-US" w:eastAsia="zh-CN"/>
        </w:rPr>
        <w:t>本项目服务期限为3年，自全部系统功能上线并正常投入运营后，从采购人验收合格之日起计算。服务期内设备产权归成交人所有。服务期满后产权归采购人所有。</w:t>
      </w:r>
    </w:p>
    <w:p w14:paraId="79316148">
      <w:pPr>
        <w:keepNext w:val="0"/>
        <w:keepLines w:val="0"/>
        <w:pageBreakBefore w:val="0"/>
        <w:tabs>
          <w:tab w:val="left" w:pos="0"/>
        </w:tabs>
        <w:kinsoku/>
        <w:wordWrap/>
        <w:overflowPunct/>
        <w:topLinePunct w:val="0"/>
        <w:autoSpaceDE/>
        <w:autoSpaceDN/>
        <w:bidi w:val="0"/>
        <w:snapToGrid/>
        <w:spacing w:line="480" w:lineRule="exact"/>
        <w:ind w:left="142"/>
        <w:textAlignment w:val="auto"/>
        <w:rPr>
          <w:rFonts w:ascii="宋体" w:hAnsi="宋体" w:cs="宋体"/>
          <w:b/>
          <w:bCs/>
          <w:color w:val="auto"/>
          <w:sz w:val="24"/>
          <w:highlight w:val="none"/>
        </w:rPr>
      </w:pPr>
      <w:r>
        <w:rPr>
          <w:rFonts w:hint="eastAsia" w:ascii="宋体" w:hAnsi="宋体" w:cs="宋体"/>
          <w:b/>
          <w:bCs/>
          <w:color w:val="auto"/>
          <w:sz w:val="24"/>
          <w:highlight w:val="none"/>
        </w:rPr>
        <w:t>（六）采购标的验收标准</w:t>
      </w:r>
    </w:p>
    <w:p w14:paraId="39A125A2">
      <w:pPr>
        <w:keepNext w:val="0"/>
        <w:keepLines w:val="0"/>
        <w:pageBreakBefore w:val="0"/>
        <w:widowControl/>
        <w:kinsoku/>
        <w:wordWrap/>
        <w:overflowPunct/>
        <w:topLinePunct w:val="0"/>
        <w:autoSpaceDE/>
        <w:autoSpaceDN/>
        <w:bidi w:val="0"/>
        <w:snapToGrid/>
        <w:spacing w:line="480" w:lineRule="exact"/>
        <w:ind w:firstLine="508" w:firstLineChars="200"/>
        <w:jc w:val="left"/>
        <w:textAlignment w:val="auto"/>
        <w:rPr>
          <w:rFonts w:hint="eastAsia" w:ascii="宋体" w:hAnsi="宋体"/>
          <w:color w:val="auto"/>
          <w:spacing w:val="7"/>
          <w:kern w:val="0"/>
          <w:sz w:val="24"/>
          <w:highlight w:val="none"/>
          <w:shd w:val="clear" w:color="auto" w:fill="FFFFFF"/>
          <w:lang w:val="en-US" w:eastAsia="zh-CN"/>
        </w:rPr>
      </w:pPr>
      <w:r>
        <w:rPr>
          <w:rFonts w:hint="eastAsia" w:ascii="宋体" w:hAnsi="宋体"/>
          <w:color w:val="auto"/>
          <w:spacing w:val="7"/>
          <w:kern w:val="0"/>
          <w:sz w:val="24"/>
          <w:highlight w:val="none"/>
          <w:shd w:val="clear" w:color="auto" w:fill="FFFFFF"/>
          <w:lang w:val="en-US" w:eastAsia="zh-CN"/>
        </w:rPr>
        <w:t>1、符合国家及行业相关验收标准。</w:t>
      </w:r>
    </w:p>
    <w:p w14:paraId="13FCECA6">
      <w:pPr>
        <w:keepNext w:val="0"/>
        <w:keepLines w:val="0"/>
        <w:pageBreakBefore w:val="0"/>
        <w:widowControl/>
        <w:kinsoku/>
        <w:wordWrap/>
        <w:overflowPunct/>
        <w:topLinePunct w:val="0"/>
        <w:autoSpaceDE/>
        <w:autoSpaceDN/>
        <w:bidi w:val="0"/>
        <w:snapToGrid/>
        <w:spacing w:line="480" w:lineRule="exact"/>
        <w:ind w:firstLine="508" w:firstLineChars="200"/>
        <w:jc w:val="left"/>
        <w:textAlignment w:val="auto"/>
        <w:rPr>
          <w:rFonts w:hint="default" w:ascii="宋体" w:hAnsi="宋体"/>
          <w:color w:val="auto"/>
          <w:spacing w:val="7"/>
          <w:kern w:val="0"/>
          <w:sz w:val="24"/>
          <w:highlight w:val="none"/>
          <w:shd w:val="clear" w:color="auto" w:fill="FFFFFF"/>
          <w:lang w:val="en-US" w:eastAsia="zh-CN"/>
        </w:rPr>
      </w:pPr>
      <w:r>
        <w:rPr>
          <w:rFonts w:hint="eastAsia" w:ascii="宋体" w:hAnsi="宋体"/>
          <w:color w:val="auto"/>
          <w:spacing w:val="7"/>
          <w:kern w:val="0"/>
          <w:sz w:val="24"/>
          <w:highlight w:val="none"/>
          <w:shd w:val="clear" w:color="auto" w:fill="FFFFFF"/>
          <w:lang w:val="en-US" w:eastAsia="zh-CN"/>
        </w:rPr>
        <w:t>2、供应商在系统正常投入运营一周后，</w:t>
      </w:r>
      <w:r>
        <w:rPr>
          <w:rFonts w:hint="default" w:ascii="宋体" w:hAnsi="宋体"/>
          <w:color w:val="auto"/>
          <w:spacing w:val="7"/>
          <w:kern w:val="0"/>
          <w:sz w:val="24"/>
          <w:highlight w:val="none"/>
          <w:shd w:val="clear" w:color="auto" w:fill="FFFFFF"/>
          <w:lang w:val="en-US" w:eastAsia="zh-CN"/>
        </w:rPr>
        <w:t>供应商以书面形式向采购人提出验收申请，采购人及时组织相关部门和专业技术人员共同参与验收。</w:t>
      </w:r>
    </w:p>
    <w:p w14:paraId="24D8F736">
      <w:pPr>
        <w:pStyle w:val="10"/>
        <w:tabs>
          <w:tab w:val="left" w:pos="0"/>
        </w:tabs>
        <w:snapToGrid w:val="0"/>
        <w:spacing w:before="120" w:after="120" w:line="480" w:lineRule="exact"/>
        <w:ind w:left="142"/>
        <w:rPr>
          <w:rFonts w:ascii="Times New Roman" w:hAnsi="Times New Roman"/>
          <w:b/>
          <w:bCs/>
          <w:color w:val="auto"/>
          <w:kern w:val="2"/>
          <w:sz w:val="24"/>
          <w:szCs w:val="24"/>
          <w:highlight w:val="none"/>
        </w:rPr>
      </w:pPr>
      <w:r>
        <w:rPr>
          <w:rFonts w:hint="eastAsia" w:ascii="Times New Roman" w:hAnsi="Times New Roman" w:eastAsia="宋体" w:cs="宋体"/>
          <w:b/>
          <w:bCs/>
          <w:color w:val="auto"/>
          <w:kern w:val="2"/>
          <w:sz w:val="24"/>
          <w:szCs w:val="24"/>
          <w:highlight w:val="none"/>
        </w:rPr>
        <w:t>（</w:t>
      </w:r>
      <w:r>
        <w:rPr>
          <w:rFonts w:hint="eastAsia" w:cs="宋体"/>
          <w:b/>
          <w:bCs/>
          <w:color w:val="auto"/>
          <w:kern w:val="2"/>
          <w:sz w:val="24"/>
          <w:szCs w:val="24"/>
          <w:highlight w:val="none"/>
          <w:lang w:val="en-US" w:eastAsia="zh-CN"/>
        </w:rPr>
        <w:t>七</w:t>
      </w:r>
      <w:r>
        <w:rPr>
          <w:rFonts w:hint="eastAsia" w:ascii="Times New Roman" w:hAnsi="Times New Roman" w:eastAsia="宋体" w:cs="宋体"/>
          <w:b/>
          <w:bCs/>
          <w:color w:val="auto"/>
          <w:kern w:val="2"/>
          <w:sz w:val="24"/>
          <w:szCs w:val="24"/>
          <w:highlight w:val="none"/>
        </w:rPr>
        <w:t>）</w:t>
      </w:r>
      <w:r>
        <w:rPr>
          <w:rFonts w:ascii="Times New Roman" w:hAnsi="Times New Roman"/>
          <w:b/>
          <w:bCs/>
          <w:color w:val="auto"/>
          <w:kern w:val="2"/>
          <w:sz w:val="24"/>
          <w:szCs w:val="24"/>
          <w:highlight w:val="none"/>
        </w:rPr>
        <w:t>非单一产品采购项目，采购标的中的核心产品</w:t>
      </w:r>
    </w:p>
    <w:p w14:paraId="35A49A9D">
      <w:pPr>
        <w:keepNext w:val="0"/>
        <w:keepLines w:val="0"/>
        <w:pageBreakBefore w:val="0"/>
        <w:widowControl/>
        <w:kinsoku/>
        <w:wordWrap/>
        <w:overflowPunct/>
        <w:topLinePunct w:val="0"/>
        <w:autoSpaceDE/>
        <w:autoSpaceDN/>
        <w:bidi w:val="0"/>
        <w:snapToGrid/>
        <w:spacing w:line="480" w:lineRule="exact"/>
        <w:ind w:firstLine="508" w:firstLineChars="200"/>
        <w:jc w:val="left"/>
        <w:textAlignment w:val="auto"/>
        <w:rPr>
          <w:rFonts w:hint="default" w:ascii="宋体" w:hAnsi="宋体"/>
          <w:color w:val="auto"/>
          <w:spacing w:val="7"/>
          <w:kern w:val="0"/>
          <w:sz w:val="24"/>
          <w:highlight w:val="none"/>
          <w:shd w:val="clear" w:color="auto" w:fill="FFFFFF"/>
          <w:lang w:val="en-US" w:eastAsia="zh-CN"/>
        </w:rPr>
      </w:pPr>
      <w:r>
        <w:rPr>
          <w:rFonts w:hint="eastAsia" w:ascii="宋体" w:hAnsi="宋体"/>
          <w:color w:val="auto"/>
          <w:spacing w:val="7"/>
          <w:kern w:val="0"/>
          <w:sz w:val="24"/>
          <w:highlight w:val="none"/>
          <w:shd w:val="clear" w:color="auto" w:fill="FFFFFF"/>
          <w:lang w:val="en-US" w:eastAsia="zh-CN"/>
        </w:rPr>
        <w:t>不涉及</w:t>
      </w:r>
    </w:p>
    <w:p w14:paraId="6C39B499">
      <w:pPr>
        <w:keepNext w:val="0"/>
        <w:keepLines w:val="0"/>
        <w:pageBreakBefore w:val="0"/>
        <w:widowControl/>
        <w:shd w:val="clear" w:color="auto" w:fill="FFFFFF"/>
        <w:kinsoku/>
        <w:wordWrap/>
        <w:overflowPunct/>
        <w:topLinePunct w:val="0"/>
        <w:autoSpaceDE/>
        <w:autoSpaceDN/>
        <w:bidi w:val="0"/>
        <w:snapToGrid/>
        <w:spacing w:line="480" w:lineRule="exact"/>
        <w:ind w:firstLine="118" w:firstLineChars="49"/>
        <w:textAlignment w:val="auto"/>
        <w:rPr>
          <w:rFonts w:ascii="宋体" w:hAnsi="宋体" w:cs="楷体_GB2312"/>
          <w:color w:val="auto"/>
          <w:kern w:val="0"/>
          <w:sz w:val="24"/>
          <w:highlight w:val="none"/>
        </w:rPr>
      </w:pPr>
      <w:r>
        <w:rPr>
          <w:rFonts w:hint="eastAsia" w:cs="宋体"/>
          <w:b/>
          <w:bCs/>
          <w:color w:val="auto"/>
          <w:sz w:val="24"/>
          <w:highlight w:val="none"/>
          <w:lang w:eastAsia="zh-CN"/>
        </w:rPr>
        <w:t>（</w:t>
      </w:r>
      <w:r>
        <w:rPr>
          <w:rFonts w:hint="eastAsia" w:cs="宋体"/>
          <w:b/>
          <w:bCs/>
          <w:color w:val="auto"/>
          <w:sz w:val="24"/>
          <w:highlight w:val="none"/>
          <w:lang w:val="en-US" w:eastAsia="zh-CN"/>
        </w:rPr>
        <w:t>八</w:t>
      </w:r>
      <w:r>
        <w:rPr>
          <w:rFonts w:hint="eastAsia" w:cs="宋体"/>
          <w:b/>
          <w:bCs/>
          <w:color w:val="auto"/>
          <w:sz w:val="24"/>
          <w:highlight w:val="none"/>
          <w:lang w:eastAsia="zh-CN"/>
        </w:rPr>
        <w:t>）</w:t>
      </w:r>
      <w:r>
        <w:rPr>
          <w:rFonts w:hint="eastAsia" w:ascii="Times New Roman" w:hAnsi="Times New Roman" w:eastAsia="宋体" w:cs="宋体"/>
          <w:b/>
          <w:bCs/>
          <w:color w:val="auto"/>
          <w:sz w:val="24"/>
          <w:highlight w:val="none"/>
        </w:rPr>
        <w:t>采购</w:t>
      </w:r>
      <w:r>
        <w:rPr>
          <w:rFonts w:hint="eastAsia" w:cs="宋体"/>
          <w:b/>
          <w:bCs/>
          <w:color w:val="auto"/>
          <w:sz w:val="24"/>
          <w:highlight w:val="none"/>
        </w:rPr>
        <w:t>标的付款方式</w:t>
      </w:r>
    </w:p>
    <w:p w14:paraId="50143A5C">
      <w:pPr>
        <w:keepNext w:val="0"/>
        <w:keepLines w:val="0"/>
        <w:pageBreakBefore w:val="0"/>
        <w:widowControl w:val="0"/>
        <w:kinsoku/>
        <w:wordWrap/>
        <w:topLinePunct w:val="0"/>
        <w:bidi w:val="0"/>
        <w:adjustRightInd w:val="0"/>
        <w:snapToGrid w:val="0"/>
        <w:spacing w:line="480" w:lineRule="exact"/>
        <w:ind w:firstLine="482" w:firstLineChars="200"/>
        <w:textAlignment w:val="auto"/>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1、存储资源服务、数据保护和备份服务、数据分析服务三项服务在60日历天内全部上线，全部系统功能上线并正常投入运营一周后，由采购人组织验收，验收合格后10日内，采购人向成交供应商支付合同价款的50%；</w:t>
      </w:r>
    </w:p>
    <w:p w14:paraId="522DAE32">
      <w:pPr>
        <w:keepNext w:val="0"/>
        <w:keepLines w:val="0"/>
        <w:pageBreakBefore w:val="0"/>
        <w:widowControl w:val="0"/>
        <w:kinsoku/>
        <w:wordWrap/>
        <w:topLinePunct w:val="0"/>
        <w:bidi w:val="0"/>
        <w:adjustRightInd w:val="0"/>
        <w:snapToGrid w:val="0"/>
        <w:spacing w:line="480" w:lineRule="exact"/>
        <w:ind w:firstLine="482" w:firstLineChars="200"/>
        <w:textAlignment w:val="auto"/>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2、服务期第二年开始10日内，采购人向成交供应商支付合同价款的40%；</w:t>
      </w:r>
    </w:p>
    <w:p w14:paraId="6D3748B6">
      <w:pPr>
        <w:keepNext w:val="0"/>
        <w:keepLines w:val="0"/>
        <w:pageBreakBefore w:val="0"/>
        <w:widowControl w:val="0"/>
        <w:kinsoku/>
        <w:wordWrap/>
        <w:topLinePunct w:val="0"/>
        <w:bidi w:val="0"/>
        <w:adjustRightInd w:val="0"/>
        <w:snapToGrid w:val="0"/>
        <w:spacing w:line="480" w:lineRule="exact"/>
        <w:ind w:firstLine="482" w:firstLineChars="200"/>
        <w:textAlignment w:val="auto"/>
        <w:rPr>
          <w:rFonts w:hint="eastAsia" w:ascii="仿宋_GB2312" w:eastAsia="仿宋_GB2312"/>
          <w:b/>
          <w:bCs/>
          <w:color w:val="auto"/>
          <w:sz w:val="36"/>
          <w:szCs w:val="36"/>
          <w:highlight w:val="none"/>
          <w:lang w:val="en-US" w:eastAsia="zh-CN"/>
        </w:rPr>
      </w:pPr>
      <w:r>
        <w:rPr>
          <w:rFonts w:hint="eastAsia" w:ascii="宋体" w:hAnsi="宋体"/>
          <w:b/>
          <w:bCs/>
          <w:color w:val="auto"/>
          <w:sz w:val="24"/>
          <w:highlight w:val="none"/>
          <w:lang w:val="en-US" w:eastAsia="zh-CN"/>
        </w:rPr>
        <w:t>3、三年服务期结束，成交供应商向采购人开具残值发票后，并将所有设备产权转移至采购人后，采购人向成交供应商支付合同剩余款项。</w:t>
      </w:r>
      <w:r>
        <w:rPr>
          <w:rFonts w:hint="eastAsia" w:ascii="宋体" w:hAnsi="宋体" w:eastAsia="宋体" w:cs="宋体"/>
          <w:bCs/>
          <w:color w:val="auto"/>
          <w:spacing w:val="0"/>
          <w:w w:val="100"/>
          <w:sz w:val="24"/>
          <w:szCs w:val="24"/>
          <w:highlight w:val="none"/>
        </w:rPr>
        <w:t xml:space="preserve"> </w:t>
      </w:r>
      <w:r>
        <w:rPr>
          <w:rFonts w:hint="eastAsia" w:ascii="仿宋_GB2312" w:eastAsia="仿宋_GB2312"/>
          <w:b/>
          <w:bCs/>
          <w:color w:val="auto"/>
          <w:sz w:val="36"/>
          <w:szCs w:val="36"/>
          <w:highlight w:val="none"/>
          <w:lang w:val="en-US" w:eastAsia="zh-CN"/>
        </w:rPr>
        <w:t xml:space="preserve"> </w:t>
      </w:r>
    </w:p>
    <w:p w14:paraId="726D85AA">
      <w:pPr>
        <w:pStyle w:val="10"/>
        <w:tabs>
          <w:tab w:val="left" w:pos="0"/>
        </w:tabs>
        <w:snapToGrid w:val="0"/>
        <w:spacing w:before="120" w:after="120" w:line="480" w:lineRule="exact"/>
        <w:ind w:left="142"/>
        <w:rPr>
          <w:rFonts w:hint="default" w:ascii="Times New Roman" w:hAnsi="Times New Roman" w:eastAsia="宋体" w:cs="宋体"/>
          <w:b/>
          <w:bCs/>
          <w:color w:val="auto"/>
          <w:kern w:val="2"/>
          <w:sz w:val="24"/>
          <w:szCs w:val="24"/>
          <w:highlight w:val="none"/>
          <w:lang w:val="en-US" w:eastAsia="zh-CN"/>
        </w:rPr>
      </w:pPr>
      <w:r>
        <w:rPr>
          <w:rFonts w:hint="eastAsia" w:ascii="Times New Roman" w:hAnsi="Times New Roman" w:eastAsia="宋体" w:cs="宋体"/>
          <w:b/>
          <w:bCs/>
          <w:color w:val="auto"/>
          <w:kern w:val="2"/>
          <w:sz w:val="24"/>
          <w:szCs w:val="24"/>
          <w:highlight w:val="none"/>
          <w:lang w:val="en-US" w:eastAsia="zh-CN"/>
        </w:rPr>
        <w:t>（九）本项目需求未明确的内容，详见合同文件。</w:t>
      </w:r>
    </w:p>
    <w:p w14:paraId="41BBE7C0">
      <w:pPr>
        <w:numPr>
          <w:ilvl w:val="0"/>
          <w:numId w:val="0"/>
        </w:numPr>
        <w:autoSpaceDE w:val="0"/>
        <w:autoSpaceDN w:val="0"/>
        <w:adjustRightInd w:val="0"/>
        <w:snapToGrid w:val="0"/>
        <w:spacing w:line="300" w:lineRule="auto"/>
        <w:ind w:left="142" w:leftChars="0"/>
        <w:jc w:val="center"/>
        <w:rPr>
          <w:rFonts w:asciiTheme="minorEastAsia" w:hAnsiTheme="minorEastAsia" w:eastAsiaTheme="minorEastAsia"/>
          <w:b/>
          <w:bCs/>
          <w:color w:val="auto"/>
          <w:sz w:val="36"/>
          <w:szCs w:val="36"/>
          <w:highlight w:val="none"/>
          <w:lang w:val="zh-CN"/>
        </w:rPr>
      </w:pPr>
      <w:r>
        <w:rPr>
          <w:rFonts w:ascii="仿宋_GB2312" w:eastAsia="仿宋_GB2312"/>
          <w:b/>
          <w:bCs/>
          <w:color w:val="auto"/>
          <w:sz w:val="36"/>
          <w:szCs w:val="36"/>
          <w:highlight w:val="none"/>
          <w:lang w:val="zh-CN"/>
        </w:rPr>
        <w:br w:type="page"/>
      </w:r>
      <w:r>
        <w:rPr>
          <w:rFonts w:hint="eastAsia" w:asciiTheme="minorEastAsia" w:hAnsiTheme="minorEastAsia" w:eastAsiaTheme="minorEastAsia"/>
          <w:b/>
          <w:bCs/>
          <w:color w:val="auto"/>
          <w:sz w:val="36"/>
          <w:szCs w:val="36"/>
          <w:highlight w:val="none"/>
          <w:lang w:val="zh-CN"/>
        </w:rPr>
        <w:t>第四部分  评审程序和内容</w:t>
      </w:r>
    </w:p>
    <w:p w14:paraId="693A6D7A">
      <w:pPr>
        <w:autoSpaceDE w:val="0"/>
        <w:autoSpaceDN w:val="0"/>
        <w:adjustRightInd w:val="0"/>
        <w:snapToGrid w:val="0"/>
        <w:spacing w:line="300" w:lineRule="auto"/>
        <w:ind w:right="210"/>
        <w:jc w:val="center"/>
        <w:outlineLvl w:val="0"/>
        <w:rPr>
          <w:rFonts w:eastAsia="仿宋_GB2312"/>
          <w:b/>
          <w:bCs/>
          <w:color w:val="auto"/>
          <w:sz w:val="36"/>
          <w:szCs w:val="36"/>
          <w:highlight w:val="none"/>
        </w:rPr>
      </w:pPr>
    </w:p>
    <w:p w14:paraId="0C0092C5">
      <w:pPr>
        <w:autoSpaceDE w:val="0"/>
        <w:autoSpaceDN w:val="0"/>
        <w:adjustRightInd w:val="0"/>
        <w:snapToGrid w:val="0"/>
        <w:spacing w:line="480" w:lineRule="exact"/>
        <w:ind w:right="210" w:firstLine="472" w:firstLineChars="196"/>
        <w:rPr>
          <w:b/>
          <w:color w:val="auto"/>
          <w:sz w:val="24"/>
          <w:highlight w:val="none"/>
          <w:lang w:val="zh-CN"/>
        </w:rPr>
      </w:pPr>
      <w:r>
        <w:rPr>
          <w:b/>
          <w:color w:val="auto"/>
          <w:sz w:val="24"/>
          <w:highlight w:val="none"/>
          <w:lang w:val="zh-CN"/>
        </w:rPr>
        <w:t>一、</w:t>
      </w:r>
      <w:r>
        <w:rPr>
          <w:rFonts w:hint="eastAsia"/>
          <w:b/>
          <w:color w:val="auto"/>
          <w:sz w:val="24"/>
          <w:highlight w:val="none"/>
          <w:lang w:val="zh-CN"/>
        </w:rPr>
        <w:t>采购人委托</w:t>
      </w:r>
      <w:r>
        <w:rPr>
          <w:b/>
          <w:color w:val="auto"/>
          <w:sz w:val="24"/>
          <w:highlight w:val="none"/>
          <w:lang w:val="zh-CN"/>
        </w:rPr>
        <w:t>采购代理机构组织磋商活动</w:t>
      </w:r>
    </w:p>
    <w:p w14:paraId="280B89B2">
      <w:pPr>
        <w:snapToGrid w:val="0"/>
        <w:spacing w:line="480" w:lineRule="exact"/>
        <w:ind w:firstLine="482" w:firstLineChars="200"/>
        <w:rPr>
          <w:color w:val="auto"/>
          <w:kern w:val="0"/>
          <w:sz w:val="24"/>
          <w:highlight w:val="none"/>
          <w:lang w:val="zh-CN"/>
        </w:rPr>
      </w:pPr>
      <w:r>
        <w:rPr>
          <w:b/>
          <w:color w:val="auto"/>
          <w:kern w:val="0"/>
          <w:sz w:val="24"/>
          <w:highlight w:val="none"/>
          <w:lang w:val="zh-CN"/>
        </w:rPr>
        <w:t>1、成立竞争性磋商小组。</w:t>
      </w:r>
      <w:r>
        <w:rPr>
          <w:color w:val="auto"/>
          <w:kern w:val="0"/>
          <w:sz w:val="24"/>
          <w:highlight w:val="none"/>
          <w:lang w:val="zh-CN"/>
        </w:rPr>
        <w:t>竞争性磋商小组由</w:t>
      </w:r>
      <w:r>
        <w:rPr>
          <w:rFonts w:hint="eastAsia"/>
          <w:color w:val="auto"/>
          <w:kern w:val="0"/>
          <w:sz w:val="24"/>
          <w:highlight w:val="none"/>
          <w:lang w:val="zh-CN"/>
        </w:rPr>
        <w:t>采购人代表和评审专家共计</w:t>
      </w:r>
      <w:r>
        <w:rPr>
          <w:rFonts w:hint="eastAsia"/>
          <w:color w:val="auto"/>
          <w:kern w:val="0"/>
          <w:sz w:val="24"/>
          <w:highlight w:val="none"/>
        </w:rPr>
        <w:t>3</w:t>
      </w:r>
      <w:r>
        <w:rPr>
          <w:rFonts w:hint="eastAsia"/>
          <w:color w:val="auto"/>
          <w:kern w:val="0"/>
          <w:sz w:val="24"/>
          <w:highlight w:val="none"/>
          <w:lang w:val="zh-CN"/>
        </w:rPr>
        <w:t>人组成，其中评审专家</w:t>
      </w:r>
      <w:r>
        <w:rPr>
          <w:rFonts w:hint="eastAsia"/>
          <w:color w:val="auto"/>
          <w:kern w:val="0"/>
          <w:sz w:val="24"/>
          <w:highlight w:val="none"/>
        </w:rPr>
        <w:t>2</w:t>
      </w:r>
      <w:r>
        <w:rPr>
          <w:rFonts w:hint="eastAsia"/>
          <w:color w:val="auto"/>
          <w:kern w:val="0"/>
          <w:sz w:val="24"/>
          <w:highlight w:val="none"/>
          <w:lang w:val="zh-CN"/>
        </w:rPr>
        <w:t>人，采购人代表1人</w:t>
      </w:r>
      <w:r>
        <w:rPr>
          <w:color w:val="auto"/>
          <w:kern w:val="0"/>
          <w:sz w:val="24"/>
          <w:highlight w:val="none"/>
          <w:lang w:val="zh-CN"/>
        </w:rPr>
        <w:t>。</w:t>
      </w:r>
    </w:p>
    <w:p w14:paraId="482A10CD">
      <w:pPr>
        <w:pStyle w:val="16"/>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超过公开限额标准的项目，竞争性磋商小组应当由5人以上单数组成。</w:t>
      </w:r>
    </w:p>
    <w:p w14:paraId="521A982F">
      <w:pPr>
        <w:spacing w:line="480" w:lineRule="exact"/>
        <w:ind w:firstLine="482" w:firstLineChars="200"/>
        <w:rPr>
          <w:b/>
          <w:color w:val="auto"/>
          <w:kern w:val="0"/>
          <w:sz w:val="24"/>
          <w:highlight w:val="none"/>
          <w:lang w:val="zh-CN"/>
        </w:rPr>
      </w:pPr>
      <w:r>
        <w:rPr>
          <w:b/>
          <w:color w:val="auto"/>
          <w:kern w:val="0"/>
          <w:sz w:val="24"/>
          <w:highlight w:val="none"/>
          <w:lang w:val="zh-CN"/>
        </w:rPr>
        <w:t>2、竞争性磋商小组的职责：</w:t>
      </w:r>
    </w:p>
    <w:p w14:paraId="4E8E9EE5">
      <w:pPr>
        <w:pStyle w:val="16"/>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评审专家应当遵守评审工作纪律，不得泄露评审情况和评审中获悉的商业秘密。</w:t>
      </w:r>
    </w:p>
    <w:p w14:paraId="1A3BA8CC">
      <w:pPr>
        <w:pStyle w:val="16"/>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磋商小组在评审过程中发现供应商有行贿、提供虚假材料或者串通等违法行为的，应当及时向</w:t>
      </w:r>
      <w:r>
        <w:rPr>
          <w:rFonts w:hint="eastAsia" w:ascii="Times New Roman" w:hAnsi="Times New Roman" w:eastAsia="宋体"/>
          <w:color w:val="auto"/>
          <w:kern w:val="0"/>
          <w:sz w:val="24"/>
          <w:szCs w:val="24"/>
          <w:highlight w:val="none"/>
          <w:lang w:val="zh-CN"/>
        </w:rPr>
        <w:t>有关</w:t>
      </w:r>
      <w:r>
        <w:rPr>
          <w:rFonts w:ascii="Times New Roman" w:hAnsi="Times New Roman" w:eastAsia="宋体"/>
          <w:color w:val="auto"/>
          <w:kern w:val="0"/>
          <w:sz w:val="24"/>
          <w:szCs w:val="24"/>
          <w:highlight w:val="none"/>
          <w:lang w:val="zh-CN"/>
        </w:rPr>
        <w:t>部门报告。</w:t>
      </w:r>
    </w:p>
    <w:p w14:paraId="71F12139">
      <w:pPr>
        <w:pStyle w:val="16"/>
        <w:snapToGrid w:val="0"/>
        <w:spacing w:line="480" w:lineRule="exact"/>
        <w:ind w:firstLine="480" w:firstLineChars="200"/>
        <w:contextualSpacing/>
        <w:rPr>
          <w:rFonts w:ascii="Times New Roman" w:hAnsi="Times New Roman" w:eastAsia="宋体"/>
          <w:color w:val="auto"/>
          <w:kern w:val="0"/>
          <w:sz w:val="24"/>
          <w:szCs w:val="24"/>
          <w:highlight w:val="none"/>
        </w:rPr>
      </w:pPr>
      <w:r>
        <w:rPr>
          <w:rFonts w:ascii="Times New Roman" w:hAnsi="Times New Roman" w:eastAsia="宋体"/>
          <w:color w:val="auto"/>
          <w:kern w:val="0"/>
          <w:sz w:val="24"/>
          <w:szCs w:val="24"/>
          <w:highlight w:val="none"/>
          <w:lang w:val="zh-CN"/>
        </w:rPr>
        <w:t>评审专家在评审过程中受到非法干涉的，应当及时向监察等部门举报。</w:t>
      </w:r>
    </w:p>
    <w:p w14:paraId="3591A339">
      <w:pPr>
        <w:pStyle w:val="16"/>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1D111240">
      <w:pPr>
        <w:pStyle w:val="16"/>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磋商文件内容违反国家有关强制性规定的，磋商小组应当停止评审并向采购人或者采购代理机构说明情况。</w:t>
      </w:r>
    </w:p>
    <w:p w14:paraId="1A3CD5EA">
      <w:pPr>
        <w:pStyle w:val="16"/>
        <w:snapToGrid w:val="0"/>
        <w:spacing w:line="480" w:lineRule="exact"/>
        <w:ind w:firstLine="482" w:firstLineChars="200"/>
        <w:contextualSpacing/>
        <w:rPr>
          <w:rFonts w:ascii="Times New Roman" w:hAnsi="Times New Roman" w:eastAsia="宋体"/>
          <w:b/>
          <w:color w:val="auto"/>
          <w:kern w:val="0"/>
          <w:sz w:val="24"/>
          <w:szCs w:val="24"/>
          <w:highlight w:val="none"/>
          <w:lang w:val="zh-CN"/>
        </w:rPr>
      </w:pPr>
      <w:r>
        <w:rPr>
          <w:rFonts w:ascii="Times New Roman" w:hAnsi="Times New Roman" w:eastAsia="宋体"/>
          <w:b/>
          <w:color w:val="auto"/>
          <w:kern w:val="0"/>
          <w:sz w:val="24"/>
          <w:szCs w:val="24"/>
          <w:highlight w:val="none"/>
          <w:lang w:val="zh-CN"/>
        </w:rPr>
        <w:t>3、竞争性磋商小组成员的义务：</w:t>
      </w:r>
    </w:p>
    <w:p w14:paraId="3C76C670">
      <w:pPr>
        <w:pStyle w:val="16"/>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遵纪守法，客观、公正、廉洁地履行职责；根据采购文件的规定独立进行评审，对个人的评审意见承担法律责任；参与</w:t>
      </w:r>
      <w:r>
        <w:rPr>
          <w:rFonts w:hint="eastAsia" w:ascii="Times New Roman" w:hAnsi="Times New Roman" w:eastAsia="宋体"/>
          <w:color w:val="auto"/>
          <w:kern w:val="0"/>
          <w:sz w:val="24"/>
          <w:szCs w:val="24"/>
          <w:highlight w:val="none"/>
          <w:lang w:val="zh-CN"/>
        </w:rPr>
        <w:t>完成</w:t>
      </w:r>
      <w:r>
        <w:rPr>
          <w:rFonts w:ascii="Times New Roman" w:hAnsi="Times New Roman" w:eastAsia="宋体"/>
          <w:color w:val="auto"/>
          <w:kern w:val="0"/>
          <w:sz w:val="24"/>
          <w:szCs w:val="24"/>
          <w:highlight w:val="none"/>
          <w:lang w:val="zh-CN"/>
        </w:rPr>
        <w:t>评审报告；配合采购人、</w:t>
      </w:r>
      <w:r>
        <w:rPr>
          <w:rFonts w:hint="eastAsia" w:ascii="Times New Roman" w:hAnsi="Times New Roman" w:eastAsia="宋体"/>
          <w:color w:val="auto"/>
          <w:kern w:val="0"/>
          <w:sz w:val="24"/>
          <w:szCs w:val="24"/>
          <w:highlight w:val="none"/>
          <w:lang w:val="zh-CN"/>
        </w:rPr>
        <w:t>采购代理机构</w:t>
      </w:r>
      <w:r>
        <w:rPr>
          <w:rFonts w:ascii="Times New Roman" w:hAnsi="Times New Roman" w:eastAsia="宋体"/>
          <w:color w:val="auto"/>
          <w:kern w:val="0"/>
          <w:sz w:val="24"/>
          <w:szCs w:val="24"/>
          <w:highlight w:val="none"/>
          <w:lang w:val="zh-CN"/>
        </w:rPr>
        <w:t>答复供应商提出的质疑；配合</w:t>
      </w:r>
      <w:r>
        <w:rPr>
          <w:rFonts w:hint="eastAsia" w:ascii="Times New Roman" w:hAnsi="Times New Roman" w:eastAsia="宋体"/>
          <w:color w:val="auto"/>
          <w:kern w:val="0"/>
          <w:sz w:val="24"/>
          <w:szCs w:val="24"/>
          <w:highlight w:val="none"/>
          <w:lang w:val="zh-CN"/>
        </w:rPr>
        <w:t>有</w:t>
      </w:r>
      <w:r>
        <w:rPr>
          <w:rFonts w:ascii="Times New Roman" w:hAnsi="Times New Roman" w:eastAsia="宋体"/>
          <w:color w:val="auto"/>
          <w:kern w:val="0"/>
          <w:sz w:val="24"/>
          <w:szCs w:val="24"/>
          <w:highlight w:val="none"/>
          <w:lang w:val="zh-CN"/>
        </w:rPr>
        <w:t>关部门的投诉处理和监督检查工作。</w:t>
      </w:r>
    </w:p>
    <w:p w14:paraId="4CDE1B45">
      <w:pPr>
        <w:pStyle w:val="16"/>
        <w:snapToGrid w:val="0"/>
        <w:spacing w:line="480" w:lineRule="exact"/>
        <w:ind w:firstLine="482" w:firstLineChars="200"/>
        <w:contextualSpacing/>
        <w:rPr>
          <w:rFonts w:ascii="Times New Roman" w:hAnsi="Times New Roman" w:eastAsia="宋体"/>
          <w:b/>
          <w:color w:val="auto"/>
          <w:kern w:val="0"/>
          <w:sz w:val="24"/>
          <w:szCs w:val="24"/>
          <w:highlight w:val="none"/>
          <w:lang w:val="zh-CN"/>
        </w:rPr>
      </w:pPr>
      <w:r>
        <w:rPr>
          <w:rFonts w:ascii="Times New Roman" w:hAnsi="Times New Roman" w:eastAsia="宋体"/>
          <w:b/>
          <w:color w:val="auto"/>
          <w:kern w:val="0"/>
          <w:sz w:val="24"/>
          <w:szCs w:val="24"/>
          <w:highlight w:val="none"/>
          <w:lang w:val="zh-CN"/>
        </w:rPr>
        <w:t>二、供应商参加磋商活动。</w:t>
      </w:r>
    </w:p>
    <w:p w14:paraId="2D055808">
      <w:pPr>
        <w:tabs>
          <w:tab w:val="left" w:pos="3585"/>
        </w:tabs>
        <w:snapToGrid w:val="0"/>
        <w:spacing w:line="480" w:lineRule="exact"/>
        <w:ind w:firstLine="460" w:firstLineChars="192"/>
        <w:rPr>
          <w:color w:val="auto"/>
          <w:kern w:val="0"/>
          <w:sz w:val="24"/>
          <w:highlight w:val="none"/>
          <w:lang w:val="zh-CN"/>
        </w:rPr>
      </w:pPr>
      <w:r>
        <w:rPr>
          <w:color w:val="auto"/>
          <w:kern w:val="0"/>
          <w:sz w:val="24"/>
          <w:highlight w:val="none"/>
          <w:lang w:val="zh-CN"/>
        </w:rPr>
        <w:t>响应供应商在采购文件指定地点参加磋商会。</w:t>
      </w:r>
    </w:p>
    <w:p w14:paraId="7725F089">
      <w:pPr>
        <w:autoSpaceDE w:val="0"/>
        <w:autoSpaceDN w:val="0"/>
        <w:adjustRightInd w:val="0"/>
        <w:snapToGrid w:val="0"/>
        <w:spacing w:line="480" w:lineRule="exact"/>
        <w:ind w:right="210" w:firstLine="482" w:firstLineChars="200"/>
        <w:rPr>
          <w:b/>
          <w:color w:val="auto"/>
          <w:sz w:val="24"/>
          <w:highlight w:val="none"/>
        </w:rPr>
      </w:pPr>
      <w:r>
        <w:rPr>
          <w:b/>
          <w:color w:val="auto"/>
          <w:sz w:val="24"/>
          <w:highlight w:val="none"/>
        </w:rPr>
        <w:t>三、评审程序、内容</w:t>
      </w:r>
    </w:p>
    <w:p w14:paraId="469D1E93">
      <w:pPr>
        <w:pStyle w:val="16"/>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1、磋商小组应当对响应文件进行评审，并根据磋商文件规定的程序、评定成交的标准等事项与实质性响应磋商文件要求的供应商进行磋商。未实质性响应磋商文件的响应文件按无效处理，磋商小组应当告知有关供应商。 </w:t>
      </w:r>
    </w:p>
    <w:p w14:paraId="1F8E2BF7">
      <w:pPr>
        <w:pStyle w:val="16"/>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B36E3E7">
      <w:pPr>
        <w:pStyle w:val="16"/>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AAB6EBD">
      <w:pPr>
        <w:pStyle w:val="16"/>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2、磋商小组所有成员应当集中与单一供应商分别进行磋商，并给予所有参加磋商的供应商平等的磋商机会。</w:t>
      </w:r>
    </w:p>
    <w:p w14:paraId="29F3FAF8">
      <w:pPr>
        <w:pStyle w:val="16"/>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3、在磋商过程中，磋商小组可以根据磋商文件和磋商情况实质性变动采购需求中的技术、服务要求以及合同草案条款，但不得变动磋商文件中的其他内容。实质性变动的内容，须经采购人代表确认。</w:t>
      </w:r>
    </w:p>
    <w:p w14:paraId="30D194D4">
      <w:pPr>
        <w:pStyle w:val="16"/>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对磋商文件作出的实质性变动是磋商文件的有效组成部分，磋商小组应当及时以书面形式同时通知所有参加磋商的供应商。</w:t>
      </w:r>
    </w:p>
    <w:p w14:paraId="76D98D48">
      <w:pPr>
        <w:pStyle w:val="16"/>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供应商应当按照磋商文件的变动情况和磋商小组的要求重新提交响应文件，并由其法定代表人或</w:t>
      </w:r>
      <w:r>
        <w:rPr>
          <w:rFonts w:hint="eastAsia" w:ascii="Times New Roman" w:hAnsi="Times New Roman" w:eastAsia="宋体"/>
          <w:color w:val="auto"/>
          <w:kern w:val="0"/>
          <w:sz w:val="24"/>
          <w:szCs w:val="24"/>
          <w:highlight w:val="none"/>
          <w:lang w:val="zh-CN"/>
        </w:rPr>
        <w:t>其</w:t>
      </w:r>
      <w:r>
        <w:rPr>
          <w:rFonts w:ascii="Times New Roman" w:hAnsi="Times New Roman" w:eastAsia="宋体"/>
          <w:color w:val="auto"/>
          <w:kern w:val="0"/>
          <w:sz w:val="24"/>
          <w:szCs w:val="24"/>
          <w:highlight w:val="none"/>
          <w:lang w:val="zh-CN"/>
        </w:rPr>
        <w:t>授权代表签字或者加盖公章。由授权代表签字的，应当附法定代表人授权书。供应商为自然人的，应当由本人签字并附身份证明。</w:t>
      </w:r>
    </w:p>
    <w:p w14:paraId="47218DCC">
      <w:pPr>
        <w:pStyle w:val="16"/>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4、磋商文件能够详细列明采购标的的技术、服务要求的，磋商结束后，磋商小组应当要求所有实质性响应的供应商在规定时间内提交最后报价，提交最后报价的供应商不得少于3家。</w:t>
      </w:r>
    </w:p>
    <w:p w14:paraId="1A572B35">
      <w:pPr>
        <w:pStyle w:val="16"/>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1E8384E">
      <w:pPr>
        <w:pStyle w:val="16"/>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市场竞争不充分的科研项目，以及需要扶持的科技成果转化项目，提交最后报价的供应商可以是2家。</w:t>
      </w:r>
    </w:p>
    <w:p w14:paraId="1F2EB113">
      <w:pPr>
        <w:pStyle w:val="16"/>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5、最后报价是供应商响应文件的有效组成部分。</w:t>
      </w:r>
    </w:p>
    <w:p w14:paraId="7BACFF39">
      <w:pPr>
        <w:pStyle w:val="16"/>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6、已提交响应文件的供应商，在提交最后报价之前，可以根据磋商情况退出磋商。</w:t>
      </w:r>
    </w:p>
    <w:p w14:paraId="63B87B17">
      <w:pPr>
        <w:pStyle w:val="16"/>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hint="eastAsia" w:ascii="Times New Roman" w:hAnsi="Times New Roman" w:eastAsia="宋体"/>
          <w:color w:val="auto"/>
          <w:kern w:val="0"/>
          <w:sz w:val="24"/>
          <w:szCs w:val="24"/>
          <w:highlight w:val="none"/>
          <w:lang w:val="en-US" w:eastAsia="zh-CN"/>
        </w:rPr>
        <w:t>7、</w:t>
      </w:r>
      <w:r>
        <w:rPr>
          <w:rFonts w:ascii="Times New Roman" w:hAnsi="Times New Roman" w:eastAsia="宋体"/>
          <w:color w:val="auto"/>
          <w:kern w:val="0"/>
          <w:sz w:val="24"/>
          <w:szCs w:val="24"/>
          <w:highlight w:val="none"/>
          <w:lang w:val="zh-CN"/>
        </w:rPr>
        <w:t>磋商时间由磋商小组掌握。</w:t>
      </w:r>
    </w:p>
    <w:p w14:paraId="7660BE76">
      <w:pPr>
        <w:pStyle w:val="16"/>
        <w:snapToGrid w:val="0"/>
        <w:spacing w:line="480" w:lineRule="exact"/>
        <w:ind w:firstLine="496"/>
        <w:contextualSpacing/>
        <w:rPr>
          <w:rFonts w:ascii="Times New Roman" w:hAnsi="Times New Roman" w:eastAsia="宋体"/>
          <w:b/>
          <w:color w:val="auto"/>
          <w:sz w:val="24"/>
          <w:szCs w:val="24"/>
          <w:highlight w:val="none"/>
        </w:rPr>
      </w:pPr>
      <w:r>
        <w:rPr>
          <w:rFonts w:ascii="Times New Roman" w:hAnsi="Times New Roman" w:eastAsia="宋体"/>
          <w:b/>
          <w:color w:val="auto"/>
          <w:sz w:val="24"/>
          <w:szCs w:val="24"/>
          <w:highlight w:val="none"/>
        </w:rPr>
        <w:t>四、评审方法</w:t>
      </w:r>
      <w:r>
        <w:rPr>
          <w:rFonts w:hint="eastAsia" w:ascii="Times New Roman" w:hAnsi="Times New Roman" w:eastAsia="宋体"/>
          <w:b/>
          <w:color w:val="auto"/>
          <w:sz w:val="24"/>
          <w:szCs w:val="24"/>
          <w:highlight w:val="none"/>
          <w:lang w:eastAsia="zh-CN"/>
        </w:rPr>
        <w:t>－</w:t>
      </w:r>
      <w:r>
        <w:rPr>
          <w:rFonts w:ascii="Times New Roman" w:hAnsi="Times New Roman" w:eastAsia="宋体"/>
          <w:b/>
          <w:color w:val="auto"/>
          <w:sz w:val="24"/>
          <w:szCs w:val="24"/>
          <w:highlight w:val="none"/>
        </w:rPr>
        <w:t>综合评分法</w:t>
      </w:r>
    </w:p>
    <w:p w14:paraId="7393DE6C">
      <w:pPr>
        <w:pStyle w:val="16"/>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经磋商确定最终采购需求和提交最后报价的供应商后，由磋商小组采用综合评分法对提交最后报价的供应商的响应文件和最后报价进行综合评分。</w:t>
      </w:r>
    </w:p>
    <w:p w14:paraId="2A0DF825">
      <w:pPr>
        <w:pStyle w:val="16"/>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综合评分法，是指响应文件满足磋商文件全部实质性要求且按评审因素的量化指标评审得分最高的供应商为成交候选供应商的评审方法。</w:t>
      </w:r>
    </w:p>
    <w:p w14:paraId="0D0E87A6">
      <w:pPr>
        <w:pStyle w:val="16"/>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评审时，磋商小组各成员应当独立对每个有效响应的文件进行评价、打分，然后汇总每个供应商每项评分因素的得分。</w:t>
      </w:r>
    </w:p>
    <w:p w14:paraId="5ABF333A">
      <w:pPr>
        <w:snapToGrid w:val="0"/>
        <w:spacing w:line="480" w:lineRule="exact"/>
        <w:ind w:firstLine="482" w:firstLineChars="200"/>
        <w:rPr>
          <w:b/>
          <w:color w:val="auto"/>
          <w:sz w:val="24"/>
          <w:highlight w:val="none"/>
        </w:rPr>
      </w:pPr>
      <w:r>
        <w:rPr>
          <w:b/>
          <w:color w:val="auto"/>
          <w:sz w:val="24"/>
          <w:highlight w:val="none"/>
        </w:rPr>
        <w:t>（一）审查响应文件的有效性、完整性、响应程度</w:t>
      </w:r>
    </w:p>
    <w:p w14:paraId="7D0DD83A">
      <w:pPr>
        <w:snapToGrid w:val="0"/>
        <w:spacing w:line="480" w:lineRule="exact"/>
        <w:ind w:firstLine="480" w:firstLineChars="200"/>
        <w:rPr>
          <w:b w:val="0"/>
          <w:bCs/>
          <w:color w:val="auto"/>
          <w:sz w:val="24"/>
          <w:highlight w:val="none"/>
        </w:rPr>
      </w:pPr>
      <w:r>
        <w:rPr>
          <w:b w:val="0"/>
          <w:bCs/>
          <w:color w:val="auto"/>
          <w:sz w:val="24"/>
          <w:highlight w:val="none"/>
        </w:rPr>
        <w:t>1、供应商资格是否符合</w:t>
      </w:r>
      <w:r>
        <w:rPr>
          <w:rFonts w:hint="eastAsia"/>
          <w:b w:val="0"/>
          <w:bCs/>
          <w:color w:val="auto"/>
          <w:sz w:val="24"/>
          <w:highlight w:val="none"/>
          <w:lang w:eastAsia="zh-CN"/>
        </w:rPr>
        <w:t>；</w:t>
      </w:r>
    </w:p>
    <w:p w14:paraId="1D05D205">
      <w:pPr>
        <w:snapToGrid w:val="0"/>
        <w:spacing w:line="480" w:lineRule="exact"/>
        <w:ind w:firstLine="480" w:firstLineChars="200"/>
        <w:rPr>
          <w:color w:val="auto"/>
          <w:sz w:val="24"/>
          <w:highlight w:val="none"/>
        </w:rPr>
      </w:pPr>
      <w:r>
        <w:rPr>
          <w:color w:val="auto"/>
          <w:sz w:val="24"/>
          <w:highlight w:val="none"/>
        </w:rPr>
        <w:t>2、响应文件是否完整；</w:t>
      </w:r>
    </w:p>
    <w:p w14:paraId="553AE4E2">
      <w:pPr>
        <w:snapToGrid w:val="0"/>
        <w:spacing w:line="480" w:lineRule="exact"/>
        <w:ind w:firstLine="480" w:firstLineChars="200"/>
        <w:rPr>
          <w:color w:val="auto"/>
          <w:sz w:val="24"/>
          <w:highlight w:val="none"/>
        </w:rPr>
      </w:pPr>
      <w:r>
        <w:rPr>
          <w:color w:val="auto"/>
          <w:sz w:val="24"/>
          <w:highlight w:val="none"/>
        </w:rPr>
        <w:t>3、响应文件是否恰当地签署；</w:t>
      </w:r>
    </w:p>
    <w:p w14:paraId="2571764F">
      <w:pPr>
        <w:snapToGrid w:val="0"/>
        <w:spacing w:line="480" w:lineRule="exact"/>
        <w:ind w:firstLine="480" w:firstLineChars="200"/>
        <w:rPr>
          <w:rFonts w:hint="eastAsia" w:eastAsia="宋体"/>
          <w:b/>
          <w:bCs/>
          <w:color w:val="auto"/>
          <w:sz w:val="24"/>
          <w:highlight w:val="none"/>
          <w:lang w:eastAsia="zh-CN"/>
        </w:rPr>
      </w:pPr>
      <w:r>
        <w:rPr>
          <w:color w:val="auto"/>
          <w:sz w:val="24"/>
          <w:highlight w:val="none"/>
        </w:rPr>
        <w:t>4、是否作出实质性响应</w:t>
      </w:r>
      <w:r>
        <w:rPr>
          <w:b/>
          <w:bCs/>
          <w:color w:val="auto"/>
          <w:sz w:val="24"/>
          <w:highlight w:val="none"/>
        </w:rPr>
        <w:t>（是否有实质性响应，只根据响应文件本身，而不寻求外部证据）</w:t>
      </w:r>
      <w:r>
        <w:rPr>
          <w:rFonts w:hint="eastAsia"/>
          <w:b w:val="0"/>
          <w:bCs w:val="0"/>
          <w:color w:val="auto"/>
          <w:sz w:val="24"/>
          <w:highlight w:val="none"/>
          <w:lang w:eastAsia="zh-CN"/>
        </w:rPr>
        <w:t>；</w:t>
      </w:r>
    </w:p>
    <w:p w14:paraId="0DB05944">
      <w:pPr>
        <w:snapToGrid w:val="0"/>
        <w:spacing w:line="480" w:lineRule="exact"/>
        <w:ind w:firstLine="480" w:firstLineChars="200"/>
        <w:rPr>
          <w:color w:val="auto"/>
          <w:sz w:val="24"/>
          <w:highlight w:val="none"/>
        </w:rPr>
      </w:pPr>
      <w:r>
        <w:rPr>
          <w:color w:val="auto"/>
          <w:sz w:val="24"/>
          <w:highlight w:val="none"/>
        </w:rPr>
        <w:t>5、是否有计算错误。</w:t>
      </w:r>
    </w:p>
    <w:p w14:paraId="4AE7ADB9">
      <w:pPr>
        <w:snapToGrid w:val="0"/>
        <w:spacing w:line="480" w:lineRule="exact"/>
        <w:ind w:firstLine="482" w:firstLineChars="200"/>
        <w:rPr>
          <w:b/>
          <w:bCs/>
          <w:color w:val="auto"/>
          <w:sz w:val="24"/>
          <w:highlight w:val="none"/>
        </w:rPr>
      </w:pPr>
      <w:r>
        <w:rPr>
          <w:b/>
          <w:bCs/>
          <w:color w:val="auto"/>
          <w:sz w:val="24"/>
          <w:highlight w:val="none"/>
        </w:rPr>
        <w:t>（二）误差纠正</w:t>
      </w:r>
    </w:p>
    <w:p w14:paraId="513E072B">
      <w:pPr>
        <w:snapToGrid w:val="0"/>
        <w:spacing w:line="480" w:lineRule="exact"/>
        <w:ind w:firstLine="480" w:firstLineChars="200"/>
        <w:rPr>
          <w:rFonts w:ascii="宋体" w:hAnsi="宋体"/>
          <w:color w:val="auto"/>
          <w:sz w:val="24"/>
          <w:highlight w:val="none"/>
        </w:rPr>
      </w:pPr>
      <w:r>
        <w:rPr>
          <w:rFonts w:hint="eastAsia" w:ascii="宋体" w:hAnsi="宋体"/>
          <w:color w:val="auto"/>
          <w:sz w:val="24"/>
          <w:highlight w:val="none"/>
        </w:rPr>
        <w:t>1、响应文件中报价表内容与响应文件中相应内容不一致的，以报价表为准；</w:t>
      </w:r>
    </w:p>
    <w:p w14:paraId="0ECCF083">
      <w:pPr>
        <w:snapToGrid w:val="0"/>
        <w:spacing w:line="480" w:lineRule="exact"/>
        <w:ind w:firstLine="480" w:firstLineChars="200"/>
        <w:rPr>
          <w:rFonts w:ascii="宋体" w:hAnsi="宋体"/>
          <w:color w:val="auto"/>
          <w:sz w:val="24"/>
          <w:highlight w:val="none"/>
        </w:rPr>
      </w:pPr>
      <w:r>
        <w:rPr>
          <w:rFonts w:hint="eastAsia" w:ascii="宋体" w:hAnsi="宋体"/>
          <w:color w:val="auto"/>
          <w:sz w:val="24"/>
          <w:highlight w:val="none"/>
        </w:rPr>
        <w:t>2、大写金额和小写金额不一致的，以大写金额为准；</w:t>
      </w:r>
    </w:p>
    <w:p w14:paraId="5AFF84CC">
      <w:pPr>
        <w:snapToGrid w:val="0"/>
        <w:spacing w:line="480" w:lineRule="exact"/>
        <w:ind w:firstLine="480" w:firstLineChars="200"/>
        <w:rPr>
          <w:rFonts w:ascii="宋体" w:hAnsi="宋体"/>
          <w:color w:val="auto"/>
          <w:sz w:val="24"/>
          <w:highlight w:val="none"/>
        </w:rPr>
      </w:pPr>
      <w:r>
        <w:rPr>
          <w:rFonts w:hint="eastAsia" w:ascii="宋体" w:hAnsi="宋体"/>
          <w:color w:val="auto"/>
          <w:sz w:val="24"/>
          <w:highlight w:val="none"/>
        </w:rPr>
        <w:t>3、单价金额小数点或者百分比有明显错位的，以总价为准，并修改单价；</w:t>
      </w:r>
    </w:p>
    <w:p w14:paraId="105C1C1A">
      <w:pPr>
        <w:snapToGrid w:val="0"/>
        <w:spacing w:line="480" w:lineRule="exact"/>
        <w:ind w:firstLine="480" w:firstLineChars="200"/>
        <w:rPr>
          <w:rFonts w:ascii="宋体" w:hAnsi="宋体"/>
          <w:color w:val="auto"/>
          <w:sz w:val="24"/>
          <w:highlight w:val="none"/>
        </w:rPr>
      </w:pPr>
      <w:r>
        <w:rPr>
          <w:rFonts w:hint="eastAsia" w:ascii="宋体" w:hAnsi="宋体"/>
          <w:color w:val="auto"/>
          <w:sz w:val="24"/>
          <w:highlight w:val="none"/>
        </w:rPr>
        <w:t>4、总价金额与按单价汇总金额不一致的，以单价金额计算结果为准。</w:t>
      </w:r>
    </w:p>
    <w:p w14:paraId="1C9240DA">
      <w:pPr>
        <w:snapToGrid w:val="0"/>
        <w:spacing w:line="480" w:lineRule="exact"/>
        <w:ind w:firstLine="480" w:firstLineChars="200"/>
        <w:rPr>
          <w:color w:val="auto"/>
          <w:sz w:val="24"/>
          <w:highlight w:val="none"/>
        </w:rPr>
      </w:pPr>
      <w:r>
        <w:rPr>
          <w:rFonts w:hint="eastAsia" w:ascii="宋体" w:hAnsi="宋体"/>
          <w:color w:val="auto"/>
          <w:sz w:val="24"/>
          <w:highlight w:val="none"/>
        </w:rPr>
        <w:t>同时出现两种以上不一致的，按照前款规定的顺序修正。修正后的报价经供应商确认后产生约束力，供应商不确认的，其响应无效。</w:t>
      </w:r>
    </w:p>
    <w:p w14:paraId="047CE711">
      <w:pPr>
        <w:tabs>
          <w:tab w:val="left" w:pos="6555"/>
          <w:tab w:val="right" w:pos="8306"/>
        </w:tabs>
        <w:snapToGrid w:val="0"/>
        <w:spacing w:line="480" w:lineRule="exact"/>
        <w:ind w:firstLine="482" w:firstLineChars="200"/>
        <w:rPr>
          <w:b/>
          <w:color w:val="auto"/>
          <w:sz w:val="24"/>
          <w:highlight w:val="none"/>
        </w:rPr>
      </w:pPr>
      <w:r>
        <w:rPr>
          <w:b/>
          <w:color w:val="auto"/>
          <w:sz w:val="24"/>
          <w:highlight w:val="none"/>
        </w:rPr>
        <w:t>（三）出现下列情形之一的，作无效响应处理</w:t>
      </w:r>
      <w:r>
        <w:rPr>
          <w:rFonts w:hint="eastAsia"/>
          <w:b/>
          <w:color w:val="auto"/>
          <w:sz w:val="24"/>
          <w:highlight w:val="none"/>
          <w:lang w:eastAsia="zh-CN"/>
        </w:rPr>
        <w:t>；</w:t>
      </w:r>
    </w:p>
    <w:p w14:paraId="1F151C4A">
      <w:pPr>
        <w:snapToGrid w:val="0"/>
        <w:spacing w:line="480" w:lineRule="exact"/>
        <w:ind w:firstLine="570"/>
        <w:rPr>
          <w:b/>
          <w:bCs/>
          <w:color w:val="auto"/>
          <w:sz w:val="24"/>
          <w:highlight w:val="none"/>
        </w:rPr>
      </w:pPr>
      <w:r>
        <w:rPr>
          <w:b/>
          <w:bCs/>
          <w:color w:val="auto"/>
          <w:sz w:val="24"/>
          <w:highlight w:val="none"/>
        </w:rPr>
        <w:t>1、未按照磋商文件规定要求</w:t>
      </w:r>
      <w:r>
        <w:rPr>
          <w:rFonts w:hint="eastAsia"/>
          <w:b/>
          <w:bCs/>
          <w:color w:val="auto"/>
          <w:sz w:val="24"/>
          <w:highlight w:val="none"/>
        </w:rPr>
        <w:t>密封、</w:t>
      </w:r>
      <w:r>
        <w:rPr>
          <w:b/>
          <w:bCs/>
          <w:color w:val="auto"/>
          <w:sz w:val="24"/>
          <w:highlight w:val="none"/>
        </w:rPr>
        <w:t>签署、盖章</w:t>
      </w:r>
      <w:r>
        <w:rPr>
          <w:rFonts w:hint="eastAsia"/>
          <w:b/>
          <w:bCs/>
          <w:color w:val="auto"/>
          <w:sz w:val="24"/>
          <w:highlight w:val="none"/>
          <w:lang w:val="en-US" w:eastAsia="zh-CN"/>
        </w:rPr>
        <w:t>及主要资料不齐全</w:t>
      </w:r>
      <w:r>
        <w:rPr>
          <w:b/>
          <w:bCs/>
          <w:color w:val="auto"/>
          <w:sz w:val="24"/>
          <w:highlight w:val="none"/>
        </w:rPr>
        <w:t>的；</w:t>
      </w:r>
    </w:p>
    <w:p w14:paraId="47F3448B">
      <w:pPr>
        <w:snapToGrid w:val="0"/>
        <w:spacing w:line="480" w:lineRule="exact"/>
        <w:ind w:firstLine="570"/>
        <w:rPr>
          <w:b/>
          <w:bCs/>
          <w:color w:val="auto"/>
          <w:sz w:val="24"/>
          <w:highlight w:val="none"/>
        </w:rPr>
      </w:pPr>
      <w:r>
        <w:rPr>
          <w:b/>
          <w:bCs/>
          <w:color w:val="auto"/>
          <w:sz w:val="24"/>
          <w:highlight w:val="none"/>
        </w:rPr>
        <w:t>2、不具备磋商文件中规定的资格要求的；</w:t>
      </w:r>
    </w:p>
    <w:p w14:paraId="3AA0C678">
      <w:pPr>
        <w:snapToGrid w:val="0"/>
        <w:spacing w:line="480" w:lineRule="exact"/>
        <w:ind w:firstLine="570"/>
        <w:rPr>
          <w:b/>
          <w:bCs/>
          <w:color w:val="auto"/>
          <w:sz w:val="24"/>
          <w:highlight w:val="none"/>
        </w:rPr>
      </w:pPr>
      <w:r>
        <w:rPr>
          <w:b/>
          <w:bCs/>
          <w:color w:val="auto"/>
          <w:sz w:val="24"/>
          <w:highlight w:val="none"/>
        </w:rPr>
        <w:t>3、响应报价超出预算的；</w:t>
      </w:r>
    </w:p>
    <w:p w14:paraId="18125524">
      <w:pPr>
        <w:snapToGrid w:val="0"/>
        <w:spacing w:line="480" w:lineRule="exact"/>
        <w:ind w:firstLine="570"/>
        <w:rPr>
          <w:rFonts w:ascii="宋体" w:hAnsi="宋体" w:cs="宋体"/>
          <w:b/>
          <w:bCs/>
          <w:color w:val="auto"/>
          <w:sz w:val="24"/>
          <w:highlight w:val="none"/>
        </w:rPr>
      </w:pPr>
      <w:r>
        <w:rPr>
          <w:rFonts w:hint="eastAsia" w:ascii="宋体" w:hAnsi="宋体" w:cs="宋体"/>
          <w:b/>
          <w:bCs/>
          <w:color w:val="auto"/>
          <w:sz w:val="24"/>
          <w:highlight w:val="none"/>
        </w:rPr>
        <w:t>4、响应文件含有采购人不能接受的附加条件的；</w:t>
      </w:r>
    </w:p>
    <w:p w14:paraId="7D2AAE2B">
      <w:pPr>
        <w:snapToGrid w:val="0"/>
        <w:spacing w:line="480" w:lineRule="exact"/>
        <w:ind w:firstLine="570"/>
        <w:rPr>
          <w:rFonts w:hint="eastAsia" w:ascii="宋体" w:hAnsi="宋体" w:eastAsia="宋体" w:cs="宋体"/>
          <w:b/>
          <w:bCs/>
          <w:color w:val="auto"/>
          <w:sz w:val="24"/>
          <w:highlight w:val="none"/>
        </w:rPr>
      </w:pPr>
      <w:r>
        <w:rPr>
          <w:rFonts w:hint="eastAsia" w:ascii="宋体" w:hAnsi="宋体" w:cs="宋体"/>
          <w:b/>
          <w:bCs/>
          <w:color w:val="auto"/>
          <w:sz w:val="24"/>
          <w:highlight w:val="none"/>
        </w:rPr>
        <w:t>5、</w:t>
      </w:r>
      <w:r>
        <w:rPr>
          <w:rFonts w:hint="eastAsia" w:ascii="宋体" w:hAnsi="宋体" w:eastAsia="宋体" w:cs="宋体"/>
          <w:b/>
          <w:bCs/>
          <w:color w:val="auto"/>
          <w:sz w:val="24"/>
          <w:highlight w:val="none"/>
        </w:rPr>
        <w:t>同一供应商的不同</w:t>
      </w:r>
      <w:r>
        <w:rPr>
          <w:rFonts w:hint="eastAsia" w:ascii="宋体" w:hAnsi="宋体" w:cs="宋体"/>
          <w:b/>
          <w:bCs/>
          <w:color w:val="auto"/>
          <w:sz w:val="24"/>
          <w:highlight w:val="none"/>
          <w:lang w:val="en-US" w:eastAsia="zh-CN"/>
        </w:rPr>
        <w:t>响应</w:t>
      </w:r>
      <w:r>
        <w:rPr>
          <w:rFonts w:hint="eastAsia" w:ascii="宋体" w:hAnsi="宋体" w:eastAsia="宋体" w:cs="宋体"/>
          <w:b/>
          <w:bCs/>
          <w:color w:val="auto"/>
          <w:sz w:val="24"/>
          <w:highlight w:val="none"/>
        </w:rPr>
        <w:t>文件（资格审查文件、商务技术文件、报价文件）相互混装的。</w:t>
      </w:r>
    </w:p>
    <w:p w14:paraId="490035DA">
      <w:pPr>
        <w:snapToGrid w:val="0"/>
        <w:spacing w:line="480" w:lineRule="exact"/>
        <w:ind w:firstLine="57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6</w:t>
      </w:r>
      <w:r>
        <w:rPr>
          <w:rFonts w:hint="eastAsia" w:ascii="宋体" w:hAnsi="宋体" w:eastAsia="宋体" w:cs="宋体"/>
          <w:b/>
          <w:bCs/>
          <w:color w:val="auto"/>
          <w:sz w:val="24"/>
          <w:highlight w:val="none"/>
          <w:lang w:val="en-US" w:eastAsia="zh-CN"/>
        </w:rPr>
        <w:t>、含税总报价超过采购文件中规定的预算金额或者最高限价的。</w:t>
      </w:r>
    </w:p>
    <w:p w14:paraId="2C840B76">
      <w:pPr>
        <w:snapToGrid w:val="0"/>
        <w:spacing w:line="480" w:lineRule="exact"/>
        <w:ind w:firstLine="57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7、</w:t>
      </w:r>
      <w:r>
        <w:rPr>
          <w:rFonts w:hint="eastAsia" w:ascii="宋体" w:hAnsi="宋体" w:eastAsia="宋体" w:cs="宋体"/>
          <w:b/>
          <w:bCs/>
          <w:color w:val="auto"/>
          <w:sz w:val="24"/>
          <w:highlight w:val="none"/>
          <w:lang w:val="en-US" w:eastAsia="zh-CN"/>
        </w:rPr>
        <w:t>最后报价中的税率与首次报价中的税率</w:t>
      </w:r>
      <w:r>
        <w:rPr>
          <w:rFonts w:hint="eastAsia" w:ascii="宋体" w:hAnsi="宋体" w:cs="宋体"/>
          <w:b/>
          <w:bCs/>
          <w:color w:val="auto"/>
          <w:sz w:val="24"/>
          <w:highlight w:val="none"/>
          <w:lang w:val="en-US" w:eastAsia="zh-CN"/>
        </w:rPr>
        <w:t>不</w:t>
      </w:r>
      <w:r>
        <w:rPr>
          <w:rFonts w:hint="eastAsia" w:ascii="宋体" w:hAnsi="宋体" w:eastAsia="宋体" w:cs="宋体"/>
          <w:b/>
          <w:bCs/>
          <w:color w:val="auto"/>
          <w:sz w:val="24"/>
          <w:highlight w:val="none"/>
          <w:lang w:val="en-US" w:eastAsia="zh-CN"/>
        </w:rPr>
        <w:t>相同</w:t>
      </w:r>
      <w:r>
        <w:rPr>
          <w:rFonts w:hint="eastAsia" w:ascii="宋体" w:hAnsi="宋体" w:cs="宋体"/>
          <w:b/>
          <w:bCs/>
          <w:color w:val="auto"/>
          <w:sz w:val="24"/>
          <w:highlight w:val="none"/>
          <w:lang w:val="en-US" w:eastAsia="zh-CN"/>
        </w:rPr>
        <w:t>的</w:t>
      </w:r>
      <w:r>
        <w:rPr>
          <w:rFonts w:hint="eastAsia" w:ascii="宋体" w:hAnsi="宋体" w:eastAsia="宋体" w:cs="宋体"/>
          <w:b/>
          <w:bCs/>
          <w:color w:val="auto"/>
          <w:sz w:val="24"/>
          <w:highlight w:val="none"/>
          <w:lang w:val="en-US" w:eastAsia="zh-CN"/>
        </w:rPr>
        <w:t>。</w:t>
      </w:r>
    </w:p>
    <w:p w14:paraId="306C9B0F">
      <w:pPr>
        <w:snapToGrid w:val="0"/>
        <w:spacing w:line="480" w:lineRule="exact"/>
        <w:ind w:firstLine="570"/>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8、最后报价</w:t>
      </w:r>
      <w:r>
        <w:rPr>
          <w:rFonts w:hint="eastAsia" w:ascii="宋体" w:hAnsi="宋体" w:eastAsia="宋体" w:cs="宋体"/>
          <w:b/>
          <w:bCs/>
          <w:color w:val="auto"/>
          <w:sz w:val="24"/>
          <w:highlight w:val="none"/>
          <w:lang w:val="en-US" w:eastAsia="zh-CN"/>
        </w:rPr>
        <w:t>高于</w:t>
      </w:r>
      <w:r>
        <w:rPr>
          <w:rFonts w:hint="eastAsia" w:ascii="宋体" w:hAnsi="宋体" w:cs="宋体"/>
          <w:b/>
          <w:bCs/>
          <w:color w:val="auto"/>
          <w:sz w:val="24"/>
          <w:highlight w:val="none"/>
          <w:lang w:val="en-US" w:eastAsia="zh-CN"/>
        </w:rPr>
        <w:t>自身单位</w:t>
      </w:r>
      <w:r>
        <w:rPr>
          <w:rFonts w:hint="eastAsia" w:ascii="宋体" w:hAnsi="宋体" w:eastAsia="宋体" w:cs="宋体"/>
          <w:b/>
          <w:bCs/>
          <w:color w:val="auto"/>
          <w:sz w:val="24"/>
          <w:highlight w:val="none"/>
          <w:lang w:val="en-US" w:eastAsia="zh-CN"/>
        </w:rPr>
        <w:t>首次报价</w:t>
      </w:r>
      <w:r>
        <w:rPr>
          <w:rFonts w:hint="eastAsia" w:ascii="宋体" w:hAnsi="宋体" w:cs="宋体"/>
          <w:b/>
          <w:bCs/>
          <w:color w:val="auto"/>
          <w:sz w:val="24"/>
          <w:highlight w:val="none"/>
          <w:lang w:val="en-US" w:eastAsia="zh-CN"/>
        </w:rPr>
        <w:t>的</w:t>
      </w:r>
      <w:r>
        <w:rPr>
          <w:rFonts w:hint="eastAsia" w:ascii="宋体" w:hAnsi="宋体" w:eastAsia="宋体" w:cs="宋体"/>
          <w:b/>
          <w:bCs/>
          <w:color w:val="auto"/>
          <w:sz w:val="24"/>
          <w:highlight w:val="none"/>
          <w:lang w:val="en-US" w:eastAsia="zh-CN"/>
        </w:rPr>
        <w:t>。</w:t>
      </w:r>
    </w:p>
    <w:p w14:paraId="195EC794">
      <w:pPr>
        <w:snapToGrid w:val="0"/>
        <w:spacing w:line="480" w:lineRule="exact"/>
        <w:ind w:firstLine="57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9、</w:t>
      </w:r>
      <w:r>
        <w:rPr>
          <w:b/>
          <w:bCs/>
          <w:color w:val="auto"/>
          <w:sz w:val="24"/>
          <w:highlight w:val="none"/>
        </w:rPr>
        <w:t>不符合法律、法规和磋商文件中规定的其他实质性要求的。</w:t>
      </w:r>
    </w:p>
    <w:p w14:paraId="48E7E367">
      <w:pPr>
        <w:snapToGrid w:val="0"/>
        <w:spacing w:line="480" w:lineRule="exact"/>
        <w:ind w:firstLine="570"/>
        <w:rPr>
          <w:b/>
          <w:color w:val="auto"/>
          <w:sz w:val="24"/>
          <w:highlight w:val="none"/>
        </w:rPr>
      </w:pPr>
      <w:r>
        <w:rPr>
          <w:b/>
          <w:color w:val="auto"/>
          <w:sz w:val="24"/>
          <w:highlight w:val="none"/>
        </w:rPr>
        <w:t>（四）出现下列情形之一的，</w:t>
      </w:r>
      <w:r>
        <w:rPr>
          <w:rFonts w:hint="eastAsia"/>
          <w:b/>
          <w:color w:val="auto"/>
          <w:sz w:val="24"/>
          <w:highlight w:val="none"/>
        </w:rPr>
        <w:t>作</w:t>
      </w:r>
      <w:r>
        <w:rPr>
          <w:b/>
          <w:color w:val="auto"/>
          <w:sz w:val="24"/>
          <w:highlight w:val="none"/>
        </w:rPr>
        <w:t>磋商失败</w:t>
      </w:r>
      <w:r>
        <w:rPr>
          <w:rFonts w:hint="eastAsia"/>
          <w:b/>
          <w:color w:val="auto"/>
          <w:sz w:val="24"/>
          <w:highlight w:val="none"/>
        </w:rPr>
        <w:t>处理；</w:t>
      </w:r>
    </w:p>
    <w:p w14:paraId="405F189D">
      <w:pPr>
        <w:snapToGrid w:val="0"/>
        <w:spacing w:line="480" w:lineRule="exact"/>
        <w:ind w:firstLine="570"/>
        <w:rPr>
          <w:color w:val="auto"/>
          <w:sz w:val="24"/>
          <w:highlight w:val="none"/>
        </w:rPr>
      </w:pPr>
      <w:r>
        <w:rPr>
          <w:color w:val="auto"/>
          <w:sz w:val="24"/>
          <w:highlight w:val="none"/>
        </w:rPr>
        <w:t>1、符合条件的供应商或者对磋商文件作实质响应的供应商不足3家的（市场竞争不充分的科研项目，以及需要扶持的科技成果转化项目可以是2家）；</w:t>
      </w:r>
    </w:p>
    <w:p w14:paraId="52ABD491">
      <w:pPr>
        <w:snapToGrid w:val="0"/>
        <w:spacing w:line="480" w:lineRule="exact"/>
        <w:ind w:firstLine="555"/>
        <w:rPr>
          <w:color w:val="auto"/>
          <w:sz w:val="24"/>
          <w:highlight w:val="none"/>
        </w:rPr>
      </w:pPr>
      <w:r>
        <w:rPr>
          <w:color w:val="auto"/>
          <w:sz w:val="24"/>
          <w:highlight w:val="none"/>
        </w:rPr>
        <w:t>2、出现影响采购公正的违法违规行为的；</w:t>
      </w:r>
    </w:p>
    <w:p w14:paraId="50394F08">
      <w:pPr>
        <w:snapToGrid w:val="0"/>
        <w:spacing w:line="480" w:lineRule="exact"/>
        <w:ind w:firstLine="555"/>
        <w:rPr>
          <w:color w:val="auto"/>
          <w:sz w:val="24"/>
          <w:highlight w:val="none"/>
        </w:rPr>
      </w:pPr>
      <w:r>
        <w:rPr>
          <w:color w:val="auto"/>
          <w:sz w:val="24"/>
          <w:highlight w:val="none"/>
        </w:rPr>
        <w:t>3、供应商的最后报价均超过了采购预算，采购人不能支付的；</w:t>
      </w:r>
    </w:p>
    <w:p w14:paraId="280F16AC">
      <w:pPr>
        <w:snapToGrid w:val="0"/>
        <w:spacing w:line="480" w:lineRule="exact"/>
        <w:ind w:firstLine="555"/>
        <w:rPr>
          <w:color w:val="auto"/>
          <w:sz w:val="24"/>
          <w:highlight w:val="none"/>
        </w:rPr>
      </w:pPr>
      <w:r>
        <w:rPr>
          <w:color w:val="auto"/>
          <w:sz w:val="24"/>
          <w:highlight w:val="none"/>
        </w:rPr>
        <w:t>4、因重大变故，采购任务取消的。</w:t>
      </w:r>
    </w:p>
    <w:p w14:paraId="0060D60E">
      <w:pPr>
        <w:keepNext w:val="0"/>
        <w:keepLines w:val="0"/>
        <w:pageBreakBefore w:val="0"/>
        <w:widowControl w:val="0"/>
        <w:kinsoku/>
        <w:wordWrap/>
        <w:overflowPunct/>
        <w:topLinePunct w:val="0"/>
        <w:autoSpaceDE/>
        <w:autoSpaceDN/>
        <w:bidi w:val="0"/>
        <w:adjustRightInd/>
        <w:snapToGrid/>
        <w:spacing w:line="480" w:lineRule="exact"/>
        <w:ind w:firstLine="555"/>
        <w:textAlignment w:val="auto"/>
        <w:rPr>
          <w:color w:val="auto"/>
          <w:sz w:val="24"/>
          <w:highlight w:val="none"/>
        </w:rPr>
      </w:pPr>
      <w:r>
        <w:rPr>
          <w:color w:val="auto"/>
          <w:sz w:val="24"/>
          <w:highlight w:val="none"/>
        </w:rPr>
        <w:t>除资格性检查认定错误、分值汇总计算错误、分项评分超出评分标准范围、客观分评分不一致、经磋商小组一致认定评分畸高、畸低的情形外，采购人、采购代理机构不以任何理由组织重新评审。采购人、采购代理机构发现磋商小组未按照磋商文件规定的评审标准进行评审的，重新开展采购活动，并同时书面报告</w:t>
      </w:r>
      <w:r>
        <w:rPr>
          <w:rFonts w:hint="eastAsia"/>
          <w:color w:val="auto"/>
          <w:sz w:val="24"/>
          <w:highlight w:val="none"/>
        </w:rPr>
        <w:t>有关</w:t>
      </w:r>
      <w:r>
        <w:rPr>
          <w:color w:val="auto"/>
          <w:sz w:val="24"/>
          <w:highlight w:val="none"/>
        </w:rPr>
        <w:t>部门。</w:t>
      </w:r>
    </w:p>
    <w:p w14:paraId="29AC1584">
      <w:pPr>
        <w:pStyle w:val="16"/>
        <w:keepNext w:val="0"/>
        <w:keepLines w:val="0"/>
        <w:pageBreakBefore w:val="0"/>
        <w:widowControl w:val="0"/>
        <w:kinsoku/>
        <w:wordWrap/>
        <w:overflowPunct/>
        <w:topLinePunct w:val="0"/>
        <w:autoSpaceDE/>
        <w:autoSpaceDN/>
        <w:bidi w:val="0"/>
        <w:adjustRightInd/>
        <w:snapToGrid/>
        <w:spacing w:line="480" w:lineRule="exact"/>
        <w:ind w:firstLine="472" w:firstLineChars="196"/>
        <w:contextualSpacing/>
        <w:textAlignment w:val="auto"/>
        <w:rPr>
          <w:rFonts w:ascii="Times New Roman" w:hAnsi="Times New Roman" w:eastAsia="宋体"/>
          <w:b/>
          <w:color w:val="auto"/>
          <w:sz w:val="24"/>
          <w:szCs w:val="24"/>
          <w:highlight w:val="none"/>
        </w:rPr>
      </w:pPr>
      <w:r>
        <w:rPr>
          <w:rFonts w:ascii="Times New Roman" w:hAnsi="Times New Roman" w:eastAsia="宋体"/>
          <w:b/>
          <w:color w:val="auto"/>
          <w:sz w:val="24"/>
          <w:szCs w:val="24"/>
          <w:highlight w:val="none"/>
        </w:rPr>
        <w:t>五</w:t>
      </w:r>
      <w:r>
        <w:rPr>
          <w:rFonts w:ascii="Times New Roman" w:hAnsi="Times New Roman" w:eastAsia="宋体"/>
          <w:b/>
          <w:color w:val="auto"/>
          <w:sz w:val="24"/>
          <w:szCs w:val="24"/>
          <w:highlight w:val="none"/>
        </w:rPr>
        <w:t>、评审标准</w:t>
      </w:r>
    </w:p>
    <w:p w14:paraId="0F92F2A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sz w:val="24"/>
          <w:highlight w:val="none"/>
        </w:rPr>
      </w:pPr>
      <w:r>
        <w:rPr>
          <w:color w:val="auto"/>
          <w:sz w:val="24"/>
          <w:highlight w:val="none"/>
        </w:rPr>
        <w:t>商务技术部分评审结束后，再开启最后报价计算分值。总分值为100分，加分和减分因素除外。</w:t>
      </w:r>
      <w:r>
        <w:rPr>
          <w:rFonts w:hint="eastAsia" w:ascii="宋体" w:hAnsi="宋体" w:cs="宋体"/>
          <w:color w:val="auto"/>
          <w:sz w:val="24"/>
          <w:highlight w:val="none"/>
        </w:rPr>
        <w:t>两部分评审因素比重如下（计算结果均四舍五入保留两位小数）：</w:t>
      </w:r>
    </w:p>
    <w:p w14:paraId="546CD69D">
      <w:pPr>
        <w:keepNext w:val="0"/>
        <w:keepLines w:val="0"/>
        <w:pageBreakBefore w:val="0"/>
        <w:widowControl w:val="0"/>
        <w:kinsoku/>
        <w:wordWrap/>
        <w:overflowPunct/>
        <w:topLinePunct w:val="0"/>
        <w:autoSpaceDE/>
        <w:autoSpaceDN/>
        <w:bidi w:val="0"/>
        <w:adjustRightInd/>
        <w:snapToGrid/>
        <w:spacing w:line="480" w:lineRule="exact"/>
        <w:ind w:firstLine="484" w:firstLineChars="202"/>
        <w:textAlignment w:val="auto"/>
        <w:rPr>
          <w:rFonts w:ascii="宋体" w:hAnsi="宋体" w:cs="宋体"/>
          <w:color w:val="auto"/>
          <w:sz w:val="24"/>
          <w:highlight w:val="none"/>
          <w:u w:val="single"/>
        </w:rPr>
      </w:pPr>
      <w:r>
        <w:rPr>
          <w:rFonts w:hint="eastAsia" w:ascii="宋体" w:hAnsi="宋体" w:cs="宋体"/>
          <w:color w:val="auto"/>
          <w:sz w:val="24"/>
          <w:highlight w:val="none"/>
        </w:rPr>
        <w:t>商务技术</w:t>
      </w:r>
      <w:r>
        <w:rPr>
          <w:rFonts w:hint="eastAsia" w:ascii="宋体" w:hAnsi="宋体" w:cs="宋体"/>
          <w:color w:val="auto"/>
          <w:sz w:val="24"/>
          <w:highlight w:val="none"/>
          <w:lang w:val="en-US" w:eastAsia="zh-CN"/>
        </w:rPr>
        <w:t>文件</w:t>
      </w:r>
      <w:r>
        <w:rPr>
          <w:rFonts w:hint="eastAsia" w:ascii="宋体" w:hAnsi="宋体" w:cs="宋体"/>
          <w:color w:val="auto"/>
          <w:sz w:val="24"/>
          <w:highlight w:val="none"/>
        </w:rPr>
        <w:t>分值占总分值的比重为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70</w:t>
      </w:r>
      <w:r>
        <w:rPr>
          <w:rFonts w:hint="eastAsia" w:ascii="宋体" w:hAnsi="宋体" w:cs="宋体"/>
          <w:color w:val="auto"/>
          <w:sz w:val="24"/>
          <w:highlight w:val="none"/>
          <w:u w:val="single"/>
        </w:rPr>
        <w:t>%（权重）</w:t>
      </w:r>
      <w:r>
        <w:rPr>
          <w:rFonts w:hint="eastAsia" w:ascii="宋体" w:hAnsi="宋体" w:cs="宋体"/>
          <w:color w:val="auto"/>
          <w:sz w:val="24"/>
          <w:highlight w:val="none"/>
        </w:rPr>
        <w:t>；</w:t>
      </w:r>
    </w:p>
    <w:p w14:paraId="27946A7A">
      <w:pPr>
        <w:keepNext w:val="0"/>
        <w:keepLines w:val="0"/>
        <w:pageBreakBefore w:val="0"/>
        <w:widowControl w:val="0"/>
        <w:kinsoku/>
        <w:wordWrap/>
        <w:overflowPunct/>
        <w:topLinePunct w:val="0"/>
        <w:autoSpaceDE/>
        <w:autoSpaceDN/>
        <w:bidi w:val="0"/>
        <w:adjustRightInd/>
        <w:snapToGrid/>
        <w:spacing w:line="480" w:lineRule="exact"/>
        <w:ind w:firstLine="484" w:firstLineChars="202"/>
        <w:textAlignment w:val="auto"/>
        <w:rPr>
          <w:color w:val="auto"/>
          <w:sz w:val="24"/>
          <w:highlight w:val="none"/>
        </w:rPr>
      </w:pPr>
      <w:r>
        <w:rPr>
          <w:rFonts w:hint="eastAsia" w:ascii="宋体" w:hAnsi="宋体" w:cs="宋体"/>
          <w:color w:val="auto"/>
          <w:sz w:val="24"/>
          <w:highlight w:val="none"/>
          <w:lang w:val="en-US" w:eastAsia="zh-CN"/>
        </w:rPr>
        <w:t>报价文件</w:t>
      </w:r>
      <w:r>
        <w:rPr>
          <w:rFonts w:hint="eastAsia" w:ascii="宋体" w:hAnsi="宋体" w:cs="宋体"/>
          <w:color w:val="auto"/>
          <w:sz w:val="24"/>
          <w:highlight w:val="none"/>
        </w:rPr>
        <w:t>分值占总分值的比重为</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%（权重）</w:t>
      </w:r>
      <w:r>
        <w:rPr>
          <w:rFonts w:hint="eastAsia"/>
          <w:color w:val="auto"/>
          <w:sz w:val="24"/>
          <w:highlight w:val="none"/>
        </w:rPr>
        <w:t>。</w:t>
      </w:r>
    </w:p>
    <w:p w14:paraId="516A2EBA">
      <w:pPr>
        <w:snapToGrid w:val="0"/>
        <w:spacing w:line="480" w:lineRule="exact"/>
        <w:ind w:firstLine="472" w:firstLineChars="196"/>
        <w:rPr>
          <w:rFonts w:ascii="宋体" w:hAnsi="宋体"/>
          <w:b/>
          <w:color w:val="auto"/>
          <w:sz w:val="24"/>
          <w:highlight w:val="none"/>
        </w:rPr>
      </w:pPr>
      <w:r>
        <w:rPr>
          <w:rFonts w:hint="eastAsia" w:ascii="宋体" w:hAnsi="宋体"/>
          <w:b/>
          <w:color w:val="auto"/>
          <w:sz w:val="24"/>
          <w:highlight w:val="none"/>
        </w:rPr>
        <w:t>（一）</w:t>
      </w:r>
      <w:r>
        <w:rPr>
          <w:rFonts w:hint="eastAsia" w:ascii="宋体" w:hAnsi="宋体"/>
          <w:b/>
          <w:color w:val="auto"/>
          <w:sz w:val="24"/>
          <w:highlight w:val="none"/>
          <w:lang w:val="zh-CN"/>
        </w:rPr>
        <w:t>商务技术分</w:t>
      </w:r>
      <w:r>
        <w:rPr>
          <w:rFonts w:hint="eastAsia" w:ascii="宋体" w:hAnsi="宋体"/>
          <w:color w:val="auto"/>
          <w:sz w:val="24"/>
          <w:highlight w:val="none"/>
          <w:lang w:val="zh-CN"/>
        </w:rPr>
        <w:t>：</w:t>
      </w:r>
      <w:r>
        <w:rPr>
          <w:rFonts w:hint="eastAsia" w:ascii="宋体" w:hAnsi="宋体"/>
          <w:color w:val="auto"/>
          <w:sz w:val="24"/>
          <w:highlight w:val="none"/>
          <w:u w:val="single"/>
          <w:lang w:val="en-US" w:eastAsia="zh-CN"/>
        </w:rPr>
        <w:t>70</w:t>
      </w:r>
      <w:r>
        <w:rPr>
          <w:rFonts w:hint="eastAsia" w:ascii="宋体" w:hAnsi="宋体"/>
          <w:color w:val="auto"/>
          <w:sz w:val="24"/>
          <w:highlight w:val="none"/>
          <w:u w:val="single"/>
          <w:lang w:val="zh-CN"/>
        </w:rPr>
        <w:t>分</w:t>
      </w:r>
    </w:p>
    <w:p w14:paraId="22F7F170">
      <w:pPr>
        <w:autoSpaceDE w:val="0"/>
        <w:autoSpaceDN w:val="0"/>
        <w:adjustRightInd w:val="0"/>
        <w:snapToGrid w:val="0"/>
        <w:spacing w:line="480" w:lineRule="exact"/>
        <w:ind w:firstLine="560" w:firstLineChars="0"/>
        <w:rPr>
          <w:rFonts w:ascii="宋体" w:hAnsi="宋体" w:cs="宋体"/>
          <w:color w:val="auto"/>
          <w:sz w:val="24"/>
          <w:highlight w:val="none"/>
        </w:rPr>
      </w:pPr>
      <w:r>
        <w:rPr>
          <w:rFonts w:hint="eastAsia" w:ascii="宋体" w:hAnsi="宋体"/>
          <w:color w:val="auto"/>
          <w:sz w:val="24"/>
          <w:highlight w:val="none"/>
        </w:rPr>
        <w:t>供应商得分为磋商小组成员评分的算术平均分,分值第三位四舍五入后保留小数点两位。</w:t>
      </w:r>
    </w:p>
    <w:tbl>
      <w:tblPr>
        <w:tblStyle w:val="14"/>
        <w:tblW w:w="50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257"/>
        <w:gridCol w:w="7154"/>
      </w:tblGrid>
      <w:tr w14:paraId="0E1D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62" w:type="pct"/>
            <w:noWrap w:val="0"/>
            <w:vAlign w:val="center"/>
          </w:tcPr>
          <w:p w14:paraId="0857E0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序号 </w:t>
            </w:r>
          </w:p>
        </w:tc>
        <w:tc>
          <w:tcPr>
            <w:tcW w:w="693" w:type="pct"/>
            <w:noWrap w:val="0"/>
            <w:vAlign w:val="center"/>
          </w:tcPr>
          <w:p w14:paraId="50A640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评分点名称</w:t>
            </w:r>
            <w:r>
              <w:rPr>
                <w:rFonts w:hint="eastAsia" w:ascii="宋体" w:hAnsi="宋体" w:eastAsia="宋体" w:cs="宋体"/>
                <w:color w:val="auto"/>
                <w:kern w:val="0"/>
                <w:sz w:val="21"/>
                <w:szCs w:val="21"/>
                <w:highlight w:val="none"/>
                <w:lang w:val="en-US" w:eastAsia="zh-CN"/>
              </w:rPr>
              <w:t>及分值</w:t>
            </w:r>
            <w:r>
              <w:rPr>
                <w:rFonts w:hint="eastAsia" w:ascii="宋体" w:hAnsi="宋体" w:eastAsia="宋体" w:cs="宋体"/>
                <w:color w:val="auto"/>
                <w:kern w:val="0"/>
                <w:sz w:val="21"/>
                <w:szCs w:val="21"/>
                <w:highlight w:val="none"/>
              </w:rPr>
              <w:t xml:space="preserve"> </w:t>
            </w:r>
          </w:p>
        </w:tc>
        <w:tc>
          <w:tcPr>
            <w:tcW w:w="3944" w:type="pct"/>
            <w:noWrap w:val="0"/>
            <w:vAlign w:val="center"/>
          </w:tcPr>
          <w:p w14:paraId="6701E5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评审标准</w:t>
            </w:r>
          </w:p>
        </w:tc>
      </w:tr>
      <w:tr w14:paraId="05B1F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362" w:type="pct"/>
            <w:noWrap w:val="0"/>
            <w:vAlign w:val="center"/>
          </w:tcPr>
          <w:p w14:paraId="515B604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693" w:type="pct"/>
            <w:noWrap w:val="0"/>
            <w:vAlign w:val="center"/>
          </w:tcPr>
          <w:p w14:paraId="4019D567">
            <w:pPr>
              <w:pStyle w:val="2"/>
              <w:pageBreakBefore w:val="0"/>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kern w:val="0"/>
                <w:sz w:val="21"/>
                <w:szCs w:val="21"/>
                <w:highlight w:val="none"/>
                <w:lang w:bidi="ar"/>
              </w:rPr>
              <w:t>技术参数</w:t>
            </w:r>
            <w:r>
              <w:rPr>
                <w:rFonts w:hint="eastAsia" w:ascii="宋体" w:hAnsi="宋体" w:eastAsia="宋体" w:cs="宋体"/>
                <w:b w:val="0"/>
                <w:bCs w:val="0"/>
                <w:color w:val="auto"/>
                <w:kern w:val="0"/>
                <w:sz w:val="21"/>
                <w:szCs w:val="21"/>
                <w:highlight w:val="none"/>
                <w:lang w:val="en-US" w:eastAsia="zh-CN"/>
              </w:rPr>
              <w:t>（28分）</w:t>
            </w:r>
          </w:p>
        </w:tc>
        <w:tc>
          <w:tcPr>
            <w:tcW w:w="3944" w:type="pct"/>
            <w:noWrap w:val="0"/>
            <w:vAlign w:val="center"/>
          </w:tcPr>
          <w:p w14:paraId="42DC6FA8">
            <w:pPr>
              <w:keepNext w:val="0"/>
              <w:keepLines w:val="0"/>
              <w:pageBreakBefore w:val="0"/>
              <w:widowControl/>
              <w:tabs>
                <w:tab w:val="left" w:pos="0"/>
              </w:tabs>
              <w:kinsoku/>
              <w:wordWrap/>
              <w:overflowPunct/>
              <w:topLinePunct w:val="0"/>
              <w:autoSpaceDE/>
              <w:autoSpaceDN/>
              <w:bidi w:val="0"/>
              <w:adjustRightInd/>
              <w:snapToGrid/>
              <w:spacing w:line="440" w:lineRule="exact"/>
              <w:ind w:firstLine="420" w:firstLineChars="200"/>
              <w:textAlignment w:val="auto"/>
              <w:rPr>
                <w:rFonts w:hint="default" w:ascii="宋体" w:hAnsi="宋体" w:cs="宋体"/>
                <w:strike w:val="0"/>
                <w:dstrike w:val="0"/>
                <w:color w:val="auto"/>
                <w:kern w:val="0"/>
                <w:sz w:val="21"/>
                <w:szCs w:val="21"/>
                <w:highlight w:val="none"/>
                <w:lang w:val="en-US" w:eastAsia="zh-CN"/>
              </w:rPr>
            </w:pPr>
            <w:r>
              <w:rPr>
                <w:rFonts w:hint="eastAsia" w:ascii="宋体" w:hAnsi="宋体" w:cs="宋体"/>
                <w:strike w:val="0"/>
                <w:dstrike w:val="0"/>
                <w:color w:val="auto"/>
                <w:kern w:val="0"/>
                <w:sz w:val="21"/>
                <w:szCs w:val="21"/>
                <w:highlight w:val="none"/>
                <w:lang w:val="en-US" w:eastAsia="zh-CN"/>
              </w:rPr>
              <w:t>根据</w:t>
            </w:r>
            <w:r>
              <w:rPr>
                <w:rFonts w:hint="eastAsia" w:ascii="宋体" w:hAnsi="宋体" w:cs="宋体"/>
                <w:b/>
                <w:bCs/>
                <w:strike w:val="0"/>
                <w:dstrike w:val="0"/>
                <w:color w:val="auto"/>
                <w:kern w:val="0"/>
                <w:sz w:val="21"/>
                <w:szCs w:val="21"/>
                <w:highlight w:val="none"/>
                <w:lang w:val="en-US" w:eastAsia="zh-CN"/>
              </w:rPr>
              <w:t>第三部分 项目需求-</w:t>
            </w:r>
            <w:r>
              <w:rPr>
                <w:rFonts w:hint="eastAsia" w:ascii="宋体" w:hAnsi="宋体" w:cs="宋体"/>
                <w:b/>
                <w:bCs/>
                <w:strike w:val="0"/>
                <w:dstrike w:val="0"/>
                <w:color w:val="auto"/>
                <w:kern w:val="0"/>
                <w:sz w:val="21"/>
                <w:szCs w:val="21"/>
                <w:highlight w:val="none"/>
                <w:lang w:val="en-US" w:eastAsia="zh-CN"/>
              </w:rPr>
              <w:t>（四）为满足本服务项目所须的设备数量、参数、交付及其他相关规定-为满足本服务项目所须的设备数量、参数</w:t>
            </w:r>
            <w:r>
              <w:rPr>
                <w:rFonts w:hint="eastAsia" w:ascii="宋体" w:hAnsi="宋体" w:cs="宋体"/>
                <w:strike w:val="0"/>
                <w:dstrike w:val="0"/>
                <w:color w:val="auto"/>
                <w:kern w:val="0"/>
                <w:sz w:val="21"/>
                <w:szCs w:val="21"/>
                <w:highlight w:val="none"/>
                <w:lang w:val="en-US" w:eastAsia="zh-CN"/>
              </w:rPr>
              <w:t>进行评分：</w:t>
            </w:r>
          </w:p>
          <w:p w14:paraId="327E3471">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firstLine="420" w:firstLineChars="200"/>
              <w:jc w:val="left"/>
              <w:textAlignment w:val="auto"/>
              <w:outlineLvl w:val="9"/>
              <w:rPr>
                <w:rFonts w:hint="eastAsia" w:ascii="宋体" w:hAnsi="宋体" w:cs="宋体"/>
                <w:strike w:val="0"/>
                <w:dstrike w:val="0"/>
                <w:color w:val="auto"/>
                <w:kern w:val="0"/>
                <w:sz w:val="21"/>
                <w:szCs w:val="21"/>
                <w:highlight w:val="none"/>
                <w:lang w:val="en-US" w:eastAsia="zh-CN"/>
              </w:rPr>
            </w:pPr>
            <w:r>
              <w:rPr>
                <w:rFonts w:hint="eastAsia" w:ascii="宋体" w:hAnsi="宋体" w:cs="宋体"/>
                <w:strike w:val="0"/>
                <w:dstrike w:val="0"/>
                <w:color w:val="auto"/>
                <w:kern w:val="0"/>
                <w:sz w:val="21"/>
                <w:szCs w:val="21"/>
                <w:highlight w:val="none"/>
                <w:lang w:val="en-US" w:eastAsia="zh-CN"/>
              </w:rPr>
              <w:t>①供应商</w:t>
            </w:r>
            <w:r>
              <w:rPr>
                <w:rFonts w:hint="eastAsia" w:ascii="宋体" w:hAnsi="宋体" w:eastAsia="宋体" w:cs="宋体"/>
                <w:strike w:val="0"/>
                <w:dstrike w:val="0"/>
                <w:color w:val="auto"/>
                <w:kern w:val="0"/>
                <w:sz w:val="21"/>
                <w:szCs w:val="21"/>
                <w:highlight w:val="none"/>
              </w:rPr>
              <w:t>提供《技术部分正负偏离表》，</w:t>
            </w:r>
            <w:r>
              <w:rPr>
                <w:rFonts w:hint="eastAsia" w:ascii="宋体" w:hAnsi="宋体" w:cs="宋体"/>
                <w:strike w:val="0"/>
                <w:dstrike w:val="0"/>
                <w:color w:val="auto"/>
                <w:kern w:val="0"/>
                <w:sz w:val="21"/>
                <w:szCs w:val="21"/>
                <w:highlight w:val="none"/>
                <w:lang w:val="en-US" w:eastAsia="zh-CN"/>
              </w:rPr>
              <w:t>完全满足（正偏离或无偏离）的得满分；</w:t>
            </w:r>
          </w:p>
          <w:p w14:paraId="713C3117">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firstLine="420" w:firstLineChars="20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cs="宋体"/>
                <w:strike w:val="0"/>
                <w:dstrike w:val="0"/>
                <w:color w:val="auto"/>
                <w:kern w:val="0"/>
                <w:sz w:val="21"/>
                <w:szCs w:val="21"/>
                <w:highlight w:val="none"/>
                <w:lang w:val="en-US" w:eastAsia="zh-CN"/>
              </w:rPr>
              <w:t>②</w:t>
            </w:r>
            <w:r>
              <w:rPr>
                <w:rFonts w:hint="eastAsia" w:ascii="宋体" w:hAnsi="宋体" w:eastAsia="宋体" w:cs="宋体"/>
                <w:b w:val="0"/>
                <w:bCs w:val="0"/>
                <w:color w:val="auto"/>
                <w:sz w:val="21"/>
                <w:szCs w:val="21"/>
                <w:highlight w:val="none"/>
                <w:lang w:val="en-US" w:eastAsia="zh-CN"/>
              </w:rPr>
              <w:t>技术指标中加★项（详</w:t>
            </w:r>
            <w:r>
              <w:rPr>
                <w:rFonts w:hint="eastAsia" w:ascii="宋体" w:hAnsi="宋体" w:eastAsia="宋体" w:cs="宋体"/>
                <w:b w:val="0"/>
                <w:bCs w:val="0"/>
                <w:color w:val="auto"/>
                <w:sz w:val="21"/>
                <w:szCs w:val="21"/>
                <w:highlight w:val="none"/>
                <w:lang w:val="en-US" w:eastAsia="zh-CN"/>
              </w:rPr>
              <w:t>见“</w:t>
            </w:r>
            <w:r>
              <w:rPr>
                <w:rFonts w:hint="eastAsia" w:ascii="宋体" w:hAnsi="宋体" w:cs="宋体"/>
                <w:b/>
                <w:bCs/>
                <w:color w:val="auto"/>
                <w:kern w:val="0"/>
                <w:szCs w:val="21"/>
                <w:highlight w:val="none"/>
              </w:rPr>
              <w:t>技术参数要求</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）为基本技术参数，不接受负偏离（有负偏离的视为无效标）；</w:t>
            </w:r>
          </w:p>
          <w:p w14:paraId="216D9356">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firstLine="420" w:firstLineChars="20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③加▲项为重要功能参数，每出现一条负偏离扣2分，扣完为止；</w:t>
            </w:r>
          </w:p>
          <w:p w14:paraId="391ED4A0">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firstLine="420" w:firstLineChars="20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④其它技术参数低于采购文件技术要求的或未响应的，每出现一条负偏离扣1分，扣完为止。</w:t>
            </w:r>
          </w:p>
          <w:p w14:paraId="46C0C68C">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firstLine="422"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提供《技术部分正负偏离表》并加盖投标供应商单位公章。</w:t>
            </w:r>
          </w:p>
        </w:tc>
      </w:tr>
      <w:tr w14:paraId="0CBB4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62" w:type="pct"/>
            <w:noWrap w:val="0"/>
            <w:vAlign w:val="center"/>
          </w:tcPr>
          <w:p w14:paraId="2935C91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693" w:type="pct"/>
            <w:noWrap w:val="0"/>
            <w:vAlign w:val="center"/>
          </w:tcPr>
          <w:p w14:paraId="5F1E67A9">
            <w:pPr>
              <w:pStyle w:val="2"/>
              <w:pageBreakBefore w:val="0"/>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kern w:val="0"/>
                <w:sz w:val="21"/>
                <w:szCs w:val="21"/>
                <w:highlight w:val="none"/>
                <w:lang w:bidi="ar"/>
              </w:rPr>
              <w:t>综合能力</w:t>
            </w:r>
            <w:r>
              <w:rPr>
                <w:rFonts w:hint="eastAsia" w:ascii="宋体" w:hAnsi="宋体" w:eastAsia="宋体" w:cs="宋体"/>
                <w:b w:val="0"/>
                <w:bCs w:val="0"/>
                <w:strike w:val="0"/>
                <w:dstrike w:val="0"/>
                <w:color w:val="auto"/>
                <w:kern w:val="0"/>
                <w:sz w:val="21"/>
                <w:szCs w:val="21"/>
                <w:highlight w:val="none"/>
                <w:lang w:eastAsia="zh-CN"/>
              </w:rPr>
              <w:t>（</w:t>
            </w:r>
            <w:r>
              <w:rPr>
                <w:rFonts w:hint="eastAsia" w:ascii="宋体" w:hAnsi="宋体" w:eastAsia="宋体" w:cs="宋体"/>
                <w:b w:val="0"/>
                <w:bCs w:val="0"/>
                <w:strike w:val="0"/>
                <w:dstrike w:val="0"/>
                <w:color w:val="auto"/>
                <w:kern w:val="0"/>
                <w:sz w:val="21"/>
                <w:szCs w:val="21"/>
                <w:highlight w:val="none"/>
                <w:lang w:val="en-US" w:eastAsia="zh-CN"/>
              </w:rPr>
              <w:t>6分</w:t>
            </w:r>
            <w:r>
              <w:rPr>
                <w:rFonts w:hint="eastAsia" w:ascii="宋体" w:hAnsi="宋体" w:eastAsia="宋体" w:cs="宋体"/>
                <w:b w:val="0"/>
                <w:bCs w:val="0"/>
                <w:strike w:val="0"/>
                <w:dstrike w:val="0"/>
                <w:color w:val="auto"/>
                <w:kern w:val="0"/>
                <w:sz w:val="21"/>
                <w:szCs w:val="21"/>
                <w:highlight w:val="none"/>
                <w:lang w:eastAsia="zh-CN"/>
              </w:rPr>
              <w:t>）</w:t>
            </w:r>
          </w:p>
        </w:tc>
        <w:tc>
          <w:tcPr>
            <w:tcW w:w="3944" w:type="pct"/>
            <w:noWrap w:val="0"/>
            <w:vAlign w:val="center"/>
          </w:tcPr>
          <w:p w14:paraId="2C425391">
            <w:pPr>
              <w:keepNext w:val="0"/>
              <w:keepLines w:val="0"/>
              <w:pageBreakBefore w:val="0"/>
              <w:widowControl/>
              <w:numPr>
                <w:ilvl w:val="-1"/>
                <w:numId w:val="0"/>
              </w:numPr>
              <w:tabs>
                <w:tab w:val="left" w:pos="0"/>
              </w:tabs>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1、投标供应商具备信息系统业务安全服务（CCIA）资质一级的得2分，二级的得1分，三级的或不提供不得分。</w:t>
            </w:r>
          </w:p>
          <w:p w14:paraId="50E7EE1C">
            <w:pPr>
              <w:keepNext w:val="0"/>
              <w:keepLines w:val="0"/>
              <w:pageBreakBefore w:val="0"/>
              <w:widowControl/>
              <w:numPr>
                <w:ilvl w:val="-1"/>
                <w:numId w:val="0"/>
              </w:numPr>
              <w:tabs>
                <w:tab w:val="left" w:pos="0"/>
              </w:tabs>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2、投标供应商具备信息安全服务（CCRC）安全集成服务资质一级的得2分，二级的得1分，三级的或不提供不得分。</w:t>
            </w:r>
          </w:p>
          <w:p w14:paraId="3F8E19D9">
            <w:pPr>
              <w:keepNext w:val="0"/>
              <w:keepLines w:val="0"/>
              <w:pageBreakBefore w:val="0"/>
              <w:widowControl/>
              <w:numPr>
                <w:ilvl w:val="-1"/>
                <w:numId w:val="0"/>
              </w:numPr>
              <w:tabs>
                <w:tab w:val="left" w:pos="0"/>
              </w:tabs>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3、投标供应商具备信息安全服务（CCRC）安全运维服务资质一级的得2分，二级的得1分，三级的或不提供不得分。</w:t>
            </w:r>
          </w:p>
          <w:p w14:paraId="7490547D">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firstLine="422" w:firstLineChars="200"/>
              <w:jc w:val="both"/>
              <w:textAlignment w:val="auto"/>
              <w:outlineLvl w:val="9"/>
              <w:rPr>
                <w:rFonts w:hint="eastAsia" w:ascii="宋体" w:hAnsi="宋体" w:eastAsia="宋体" w:cs="宋体"/>
                <w:b w:val="0"/>
                <w:bCs w:val="0"/>
                <w:color w:val="auto"/>
                <w:sz w:val="21"/>
                <w:szCs w:val="21"/>
                <w:highlight w:val="none"/>
                <w:lang w:val="en-US" w:eastAsia="zh-CN"/>
              </w:rPr>
            </w:pPr>
            <w:r>
              <w:rPr>
                <w:rFonts w:hint="eastAsia"/>
                <w:b/>
                <w:bCs/>
                <w:color w:val="auto"/>
                <w:highlight w:val="none"/>
                <w:lang w:val="en-US" w:eastAsia="zh-CN"/>
              </w:rPr>
              <w:t>以上材料须提供有效的资质证书复印件并加盖投标供应商单位公章。</w:t>
            </w:r>
          </w:p>
        </w:tc>
      </w:tr>
      <w:tr w14:paraId="1F8A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62" w:type="pct"/>
            <w:noWrap w:val="0"/>
            <w:vAlign w:val="center"/>
          </w:tcPr>
          <w:p w14:paraId="4F99F3A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693" w:type="pct"/>
            <w:noWrap w:val="0"/>
            <w:vAlign w:val="center"/>
          </w:tcPr>
          <w:p w14:paraId="362C66AD">
            <w:pPr>
              <w:pStyle w:val="2"/>
              <w:pageBreakBefore w:val="0"/>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kern w:val="0"/>
                <w:sz w:val="21"/>
                <w:szCs w:val="21"/>
                <w:highlight w:val="none"/>
                <w:lang w:bidi="ar"/>
              </w:rPr>
              <w:t>厂商资质</w:t>
            </w:r>
            <w:r>
              <w:rPr>
                <w:rFonts w:hint="eastAsia" w:ascii="宋体" w:hAnsi="宋体" w:eastAsia="宋体" w:cs="宋体"/>
                <w:b w:val="0"/>
                <w:bCs w:val="0"/>
                <w:color w:val="auto"/>
                <w:kern w:val="0"/>
                <w:sz w:val="21"/>
                <w:szCs w:val="21"/>
                <w:highlight w:val="none"/>
                <w:lang w:val="en-US" w:eastAsia="zh-CN"/>
              </w:rPr>
              <w:t>（10分）</w:t>
            </w:r>
          </w:p>
        </w:tc>
        <w:tc>
          <w:tcPr>
            <w:tcW w:w="3944" w:type="pct"/>
            <w:noWrap w:val="0"/>
            <w:vAlign w:val="center"/>
          </w:tcPr>
          <w:p w14:paraId="10F43FD5">
            <w:pPr>
              <w:keepNext w:val="0"/>
              <w:keepLines w:val="0"/>
              <w:pageBreakBefore w:val="0"/>
              <w:widowControl/>
              <w:numPr>
                <w:ilvl w:val="0"/>
                <w:numId w:val="2"/>
              </w:numPr>
              <w:kinsoku/>
              <w:wordWrap/>
              <w:overflowPunct/>
              <w:topLinePunct w:val="0"/>
              <w:autoSpaceDE/>
              <w:autoSpaceDN/>
              <w:bidi w:val="0"/>
              <w:adjustRightInd/>
              <w:snapToGrid/>
              <w:spacing w:line="440" w:lineRule="exact"/>
              <w:ind w:leftChars="0" w:firstLine="420" w:firstLineChars="200"/>
              <w:jc w:val="both"/>
              <w:textAlignment w:val="auto"/>
              <w:rPr>
                <w:color w:val="auto"/>
                <w:highlight w:val="none"/>
              </w:rPr>
            </w:pPr>
            <w:r>
              <w:rPr>
                <w:rFonts w:hint="eastAsia" w:ascii="宋体" w:hAnsi="宋体" w:eastAsia="宋体" w:cs="宋体"/>
                <w:color w:val="auto"/>
                <w:kern w:val="0"/>
                <w:sz w:val="21"/>
                <w:szCs w:val="21"/>
                <w:highlight w:val="none"/>
                <w:lang w:val="en-US" w:eastAsia="zh-CN" w:bidi="ar-SA"/>
              </w:rPr>
              <w:t>所投</w:t>
            </w:r>
            <w:r>
              <w:rPr>
                <w:rFonts w:hint="eastAsia"/>
                <w:color w:val="auto"/>
                <w:highlight w:val="none"/>
                <w:lang w:val="en-US" w:eastAsia="zh-CN"/>
              </w:rPr>
              <w:t>超融合一体机设备</w:t>
            </w:r>
            <w:r>
              <w:rPr>
                <w:rFonts w:hint="eastAsia" w:ascii="宋体" w:hAnsi="宋体" w:eastAsia="宋体" w:cs="宋体"/>
                <w:color w:val="auto"/>
                <w:kern w:val="0"/>
                <w:sz w:val="21"/>
                <w:szCs w:val="21"/>
                <w:highlight w:val="none"/>
                <w:lang w:val="en-US" w:eastAsia="zh-CN" w:bidi="ar-SA"/>
              </w:rPr>
              <w:t>厂商同时为国家信息安全漏洞共享平台(CNVD)技术组成员和用户组成员，得2分。</w:t>
            </w:r>
          </w:p>
          <w:p w14:paraId="0D0B23EA">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200"/>
              <w:jc w:val="both"/>
              <w:textAlignment w:val="auto"/>
              <w:rPr>
                <w:rFonts w:hint="eastAsia"/>
                <w:color w:val="auto"/>
                <w:highlight w:val="none"/>
                <w:lang w:val="en-US" w:eastAsia="zh-CN"/>
              </w:rPr>
            </w:pPr>
            <w:r>
              <w:rPr>
                <w:rFonts w:hint="eastAsia" w:ascii="Times New Roman" w:hAnsi="Times New Roman" w:eastAsia="宋体" w:cs="Times New Roman"/>
                <w:b/>
                <w:bCs/>
                <w:color w:val="auto"/>
                <w:highlight w:val="none"/>
                <w:lang w:val="en-US" w:eastAsia="zh-CN"/>
              </w:rPr>
              <w:t>须提供官网截图并加盖投标供应商单位公章及原厂商公章。</w:t>
            </w:r>
          </w:p>
          <w:p w14:paraId="01130F38">
            <w:pPr>
              <w:keepNext w:val="0"/>
              <w:keepLines w:val="0"/>
              <w:pageBreakBefore w:val="0"/>
              <w:widowControl/>
              <w:numPr>
                <w:ilvl w:val="0"/>
                <w:numId w:val="2"/>
              </w:numPr>
              <w:kinsoku/>
              <w:wordWrap/>
              <w:overflowPunct/>
              <w:topLinePunct w:val="0"/>
              <w:autoSpaceDE/>
              <w:autoSpaceDN/>
              <w:bidi w:val="0"/>
              <w:adjustRightInd/>
              <w:snapToGrid/>
              <w:spacing w:line="440" w:lineRule="exact"/>
              <w:ind w:left="0" w:leftChars="0"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所投</w:t>
            </w:r>
            <w:r>
              <w:rPr>
                <w:rFonts w:hint="eastAsia"/>
                <w:color w:val="auto"/>
                <w:highlight w:val="none"/>
                <w:lang w:val="en-US" w:eastAsia="zh-CN"/>
              </w:rPr>
              <w:t>超融合一体机设备</w:t>
            </w:r>
            <w:r>
              <w:rPr>
                <w:rFonts w:hint="eastAsia" w:ascii="宋体" w:hAnsi="宋体" w:eastAsia="宋体" w:cs="宋体"/>
                <w:color w:val="auto"/>
                <w:kern w:val="0"/>
                <w:sz w:val="21"/>
                <w:szCs w:val="21"/>
                <w:highlight w:val="none"/>
                <w:lang w:val="en-US" w:eastAsia="zh-CN" w:bidi="ar-SA"/>
              </w:rPr>
              <w:t>厂商</w:t>
            </w:r>
            <w:r>
              <w:rPr>
                <w:rFonts w:hint="eastAsia" w:ascii="宋体" w:hAnsi="宋体" w:eastAsia="宋体" w:cs="宋体"/>
                <w:color w:val="auto"/>
                <w:kern w:val="0"/>
                <w:sz w:val="21"/>
                <w:szCs w:val="21"/>
                <w:highlight w:val="none"/>
                <w:lang w:val="en-US" w:eastAsia="zh-CN" w:bidi="ar-SA"/>
              </w:rPr>
              <w:t>具备网络安全审查技术与认证中心（CCRC）信息安全服务资质认证（安全开发一级）证书，得2分。</w:t>
            </w:r>
          </w:p>
          <w:p w14:paraId="4BDE08E5">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Times New Roman" w:hAnsi="Times New Roman" w:eastAsia="宋体" w:cs="Times New Roman"/>
                <w:b/>
                <w:bCs/>
                <w:color w:val="auto"/>
                <w:highlight w:val="none"/>
                <w:lang w:val="en-US" w:eastAsia="zh-CN"/>
              </w:rPr>
              <w:t>须提供</w:t>
            </w:r>
            <w:r>
              <w:rPr>
                <w:rFonts w:hint="eastAsia" w:cs="Times New Roman"/>
                <w:b/>
                <w:bCs/>
                <w:color w:val="auto"/>
                <w:highlight w:val="none"/>
                <w:lang w:val="en-US" w:eastAsia="zh-CN"/>
              </w:rPr>
              <w:t>有效的</w:t>
            </w:r>
            <w:r>
              <w:rPr>
                <w:rFonts w:hint="eastAsia" w:ascii="Times New Roman" w:hAnsi="Times New Roman" w:eastAsia="宋体" w:cs="Times New Roman"/>
                <w:b/>
                <w:bCs/>
                <w:color w:val="auto"/>
                <w:highlight w:val="none"/>
                <w:lang w:val="en-US" w:eastAsia="zh-CN"/>
              </w:rPr>
              <w:t>证书复印件并加盖投标供应商单位公章及原厂商公章。</w:t>
            </w:r>
          </w:p>
          <w:p w14:paraId="0C86DB04">
            <w:pPr>
              <w:keepNext w:val="0"/>
              <w:keepLines w:val="0"/>
              <w:pageBreakBefore w:val="0"/>
              <w:widowControl/>
              <w:numPr>
                <w:ilvl w:val="0"/>
                <w:numId w:val="2"/>
              </w:numPr>
              <w:kinsoku/>
              <w:wordWrap/>
              <w:overflowPunct/>
              <w:topLinePunct w:val="0"/>
              <w:autoSpaceDE/>
              <w:autoSpaceDN/>
              <w:bidi w:val="0"/>
              <w:adjustRightInd/>
              <w:snapToGrid/>
              <w:spacing w:line="440" w:lineRule="exact"/>
              <w:ind w:left="0" w:leftChars="0"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所投</w:t>
            </w:r>
            <w:r>
              <w:rPr>
                <w:rFonts w:hint="eastAsia"/>
                <w:color w:val="auto"/>
                <w:highlight w:val="none"/>
                <w:lang w:val="en-US" w:eastAsia="zh-CN"/>
              </w:rPr>
              <w:t>超融合一体机设备</w:t>
            </w:r>
            <w:r>
              <w:rPr>
                <w:rFonts w:hint="eastAsia" w:ascii="宋体" w:hAnsi="宋体" w:eastAsia="宋体" w:cs="宋体"/>
                <w:color w:val="auto"/>
                <w:kern w:val="0"/>
                <w:sz w:val="21"/>
                <w:szCs w:val="21"/>
                <w:highlight w:val="none"/>
                <w:lang w:val="en-US" w:eastAsia="zh-CN" w:bidi="ar-SA"/>
              </w:rPr>
              <w:t>厂商</w:t>
            </w:r>
            <w:r>
              <w:rPr>
                <w:rFonts w:hint="eastAsia" w:ascii="宋体" w:hAnsi="宋体" w:eastAsia="宋体" w:cs="宋体"/>
                <w:color w:val="auto"/>
                <w:kern w:val="0"/>
                <w:sz w:val="21"/>
                <w:szCs w:val="21"/>
                <w:highlight w:val="none"/>
                <w:lang w:val="en-US" w:eastAsia="zh-CN" w:bidi="ar-SA"/>
              </w:rPr>
              <w:t>是CNCERT网络安全应急服务甲级支撑单位，得2分。</w:t>
            </w:r>
          </w:p>
          <w:p w14:paraId="6928CE7E">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Times New Roman" w:hAnsi="Times New Roman" w:eastAsia="宋体" w:cs="Times New Roman"/>
                <w:b/>
                <w:bCs/>
                <w:color w:val="auto"/>
                <w:highlight w:val="none"/>
                <w:lang w:val="en-US" w:eastAsia="zh-CN"/>
              </w:rPr>
              <w:t>须提</w:t>
            </w:r>
            <w:r>
              <w:rPr>
                <w:rFonts w:hint="eastAsia" w:cs="Times New Roman"/>
                <w:b/>
                <w:bCs/>
                <w:color w:val="auto"/>
                <w:highlight w:val="none"/>
                <w:lang w:val="en-US" w:eastAsia="zh-CN"/>
              </w:rPr>
              <w:t>供有效的</w:t>
            </w:r>
            <w:r>
              <w:rPr>
                <w:rFonts w:hint="eastAsia" w:ascii="Times New Roman" w:hAnsi="Times New Roman" w:eastAsia="宋体" w:cs="Times New Roman"/>
                <w:b/>
                <w:bCs/>
                <w:color w:val="auto"/>
                <w:highlight w:val="none"/>
                <w:lang w:val="en-US" w:eastAsia="zh-CN"/>
              </w:rPr>
              <w:t>证书复印件并加盖投标供应商单位公章及原厂商公章。</w:t>
            </w:r>
          </w:p>
          <w:p w14:paraId="420A4452">
            <w:pPr>
              <w:keepNext w:val="0"/>
              <w:keepLines w:val="0"/>
              <w:pageBreakBefore w:val="0"/>
              <w:widowControl/>
              <w:numPr>
                <w:ilvl w:val="0"/>
                <w:numId w:val="2"/>
              </w:numPr>
              <w:kinsoku/>
              <w:wordWrap/>
              <w:overflowPunct/>
              <w:topLinePunct w:val="0"/>
              <w:autoSpaceDE/>
              <w:autoSpaceDN/>
              <w:bidi w:val="0"/>
              <w:adjustRightInd/>
              <w:snapToGrid/>
              <w:spacing w:line="440" w:lineRule="exact"/>
              <w:ind w:left="0" w:leftChars="0" w:firstLine="420" w:firstLineChars="200"/>
              <w:jc w:val="both"/>
              <w:textAlignment w:val="auto"/>
              <w:rPr>
                <w:color w:val="auto"/>
                <w:highlight w:val="none"/>
              </w:rPr>
            </w:pPr>
            <w:r>
              <w:rPr>
                <w:rFonts w:hint="eastAsia" w:ascii="宋体" w:hAnsi="宋体" w:eastAsia="宋体" w:cs="宋体"/>
                <w:color w:val="auto"/>
                <w:kern w:val="0"/>
                <w:sz w:val="21"/>
                <w:szCs w:val="21"/>
                <w:highlight w:val="none"/>
                <w:lang w:val="en-US" w:eastAsia="zh-CN" w:bidi="ar-SA"/>
              </w:rPr>
              <w:t>所投</w:t>
            </w:r>
            <w:r>
              <w:rPr>
                <w:rFonts w:hint="eastAsia" w:ascii="宋体" w:hAnsi="宋体" w:eastAsia="宋体" w:cs="宋体"/>
                <w:color w:val="auto"/>
                <w:kern w:val="0"/>
                <w:sz w:val="21"/>
                <w:szCs w:val="21"/>
                <w:highlight w:val="none"/>
                <w:lang w:val="en-US" w:eastAsia="zh-CN" w:bidi="ar-SA"/>
              </w:rPr>
              <w:t>分布式存储产品厂商</w:t>
            </w:r>
            <w:r>
              <w:rPr>
                <w:rFonts w:hint="eastAsia" w:ascii="宋体" w:hAnsi="宋体" w:eastAsia="宋体" w:cs="宋体"/>
                <w:color w:val="auto"/>
                <w:kern w:val="0"/>
                <w:sz w:val="21"/>
                <w:szCs w:val="21"/>
                <w:highlight w:val="none"/>
                <w:lang w:val="en-US" w:eastAsia="zh-CN" w:bidi="ar-SA"/>
              </w:rPr>
              <w:t>进入国家信息安全漏洞共享平台（CNVD）技术组，得2分。</w:t>
            </w:r>
          </w:p>
          <w:p w14:paraId="4802C5CF">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200"/>
              <w:jc w:val="both"/>
              <w:textAlignment w:val="auto"/>
              <w:rPr>
                <w:rFonts w:hint="eastAsia"/>
                <w:color w:val="auto"/>
                <w:highlight w:val="none"/>
                <w:lang w:val="en-US" w:eastAsia="zh-CN"/>
              </w:rPr>
            </w:pPr>
            <w:r>
              <w:rPr>
                <w:rFonts w:hint="eastAsia" w:ascii="Times New Roman" w:hAnsi="Times New Roman" w:eastAsia="宋体" w:cs="Times New Roman"/>
                <w:b/>
                <w:bCs/>
                <w:color w:val="auto"/>
                <w:highlight w:val="none"/>
                <w:lang w:val="en-US" w:eastAsia="zh-CN"/>
              </w:rPr>
              <w:t>须提供官网截图并加盖投标供应商单位公章及原厂商公章。</w:t>
            </w:r>
          </w:p>
          <w:p w14:paraId="4198B872">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5、所投交换机制造厂商获得中国信息安全评测中心认证的风险评估认证，得2分。</w:t>
            </w:r>
          </w:p>
          <w:p w14:paraId="0101F2AF">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Times New Roman" w:hAnsi="Times New Roman" w:eastAsia="宋体" w:cs="Times New Roman"/>
                <w:b/>
                <w:bCs/>
                <w:color w:val="auto"/>
                <w:highlight w:val="none"/>
                <w:lang w:val="en-US" w:eastAsia="zh-CN"/>
              </w:rPr>
              <w:t>须提供</w:t>
            </w:r>
            <w:r>
              <w:rPr>
                <w:rFonts w:hint="eastAsia" w:cs="Times New Roman"/>
                <w:b/>
                <w:bCs/>
                <w:color w:val="auto"/>
                <w:highlight w:val="none"/>
                <w:lang w:val="en-US" w:eastAsia="zh-CN"/>
              </w:rPr>
              <w:t>效的</w:t>
            </w:r>
            <w:r>
              <w:rPr>
                <w:rFonts w:hint="eastAsia" w:ascii="Times New Roman" w:hAnsi="Times New Roman" w:eastAsia="宋体" w:cs="Times New Roman"/>
                <w:b/>
                <w:bCs/>
                <w:color w:val="auto"/>
                <w:highlight w:val="none"/>
                <w:lang w:val="en-US" w:eastAsia="zh-CN"/>
              </w:rPr>
              <w:t>证书复印件并加盖投标供应商单位公章及原厂商公章。</w:t>
            </w:r>
          </w:p>
        </w:tc>
      </w:tr>
      <w:tr w14:paraId="40A86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2" w:type="pct"/>
            <w:noWrap w:val="0"/>
            <w:vAlign w:val="center"/>
          </w:tcPr>
          <w:p w14:paraId="761AC9C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4</w:t>
            </w:r>
          </w:p>
        </w:tc>
        <w:tc>
          <w:tcPr>
            <w:tcW w:w="693" w:type="pct"/>
            <w:noWrap w:val="0"/>
            <w:vAlign w:val="center"/>
          </w:tcPr>
          <w:p w14:paraId="4FC279A9">
            <w:pPr>
              <w:pStyle w:val="2"/>
              <w:pageBreakBefore w:val="0"/>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实施支撑能力</w:t>
            </w:r>
          </w:p>
          <w:p w14:paraId="27F53666">
            <w:pPr>
              <w:pStyle w:val="2"/>
              <w:pageBreakBefore w:val="0"/>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10分</w:t>
            </w:r>
            <w:r>
              <w:rPr>
                <w:rFonts w:hint="eastAsia" w:ascii="宋体" w:hAnsi="宋体" w:eastAsia="宋体" w:cs="宋体"/>
                <w:b w:val="0"/>
                <w:bCs w:val="0"/>
                <w:color w:val="auto"/>
                <w:kern w:val="0"/>
                <w:sz w:val="21"/>
                <w:szCs w:val="21"/>
                <w:highlight w:val="none"/>
                <w:lang w:eastAsia="zh-CN"/>
              </w:rPr>
              <w:t>）</w:t>
            </w:r>
          </w:p>
        </w:tc>
        <w:tc>
          <w:tcPr>
            <w:tcW w:w="3944" w:type="pct"/>
            <w:noWrap w:val="0"/>
            <w:vAlign w:val="center"/>
          </w:tcPr>
          <w:p w14:paraId="72A1CAD3">
            <w:pPr>
              <w:keepNext w:val="0"/>
              <w:keepLines w:val="0"/>
              <w:pageBreakBefore w:val="0"/>
              <w:widowControl/>
              <w:numPr>
                <w:ilvl w:val="0"/>
                <w:numId w:val="3"/>
              </w:numPr>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Times New Roman" w:hAnsi="Times New Roman" w:eastAsia="宋体" w:cs="Times New Roman"/>
                <w:b w:val="0"/>
                <w:bCs w:val="0"/>
                <w:color w:val="auto"/>
                <w:highlight w:val="none"/>
                <w:lang w:val="en-US" w:eastAsia="zh-CN"/>
              </w:rPr>
            </w:pPr>
            <w:r>
              <w:rPr>
                <w:rFonts w:hint="eastAsia" w:ascii="宋体" w:hAnsi="宋体" w:eastAsia="宋体" w:cs="宋体"/>
                <w:color w:val="auto"/>
                <w:kern w:val="0"/>
                <w:sz w:val="21"/>
                <w:szCs w:val="21"/>
                <w:highlight w:val="none"/>
              </w:rPr>
              <w:t>投标人拟投入本项目的项目负责人</w:t>
            </w:r>
            <w:r>
              <w:rPr>
                <w:rFonts w:hint="eastAsia" w:ascii="宋体" w:hAnsi="宋体" w:cs="宋体"/>
                <w:color w:val="auto"/>
                <w:kern w:val="0"/>
                <w:sz w:val="21"/>
                <w:szCs w:val="21"/>
                <w:highlight w:val="none"/>
                <w:lang w:val="en-US" w:eastAsia="zh-CN"/>
              </w:rPr>
              <w:t>应为投标人单位正式员工，且每</w:t>
            </w:r>
            <w:r>
              <w:rPr>
                <w:rFonts w:hint="eastAsia" w:ascii="宋体" w:hAnsi="宋体" w:eastAsia="宋体" w:cs="宋体"/>
                <w:color w:val="auto"/>
                <w:kern w:val="0"/>
                <w:sz w:val="21"/>
                <w:szCs w:val="21"/>
                <w:highlight w:val="none"/>
              </w:rPr>
              <w:t>具有</w:t>
            </w:r>
            <w:r>
              <w:rPr>
                <w:rFonts w:hint="eastAsia" w:ascii="宋体" w:hAnsi="宋体" w:cs="宋体"/>
                <w:color w:val="auto"/>
                <w:kern w:val="0"/>
                <w:sz w:val="21"/>
                <w:szCs w:val="21"/>
                <w:highlight w:val="none"/>
                <w:lang w:val="en-US" w:eastAsia="zh-CN"/>
              </w:rPr>
              <w:t>以下证书中任意一类证书的，得1分，同时具有以下4类证书的，得5分：</w:t>
            </w:r>
            <w:r>
              <w:rPr>
                <w:rFonts w:hint="eastAsia" w:ascii="宋体" w:hAnsi="宋体" w:eastAsia="宋体" w:cs="宋体"/>
                <w:b/>
                <w:bCs/>
                <w:color w:val="auto"/>
                <w:kern w:val="0"/>
                <w:sz w:val="21"/>
                <w:szCs w:val="21"/>
                <w:highlight w:val="none"/>
                <w:lang w:val="en-US" w:eastAsia="zh-CN"/>
              </w:rPr>
              <w:t>①</w:t>
            </w:r>
            <w:r>
              <w:rPr>
                <w:rFonts w:hint="eastAsia" w:ascii="宋体" w:hAnsi="宋体" w:eastAsia="宋体" w:cs="宋体"/>
                <w:b/>
                <w:bCs/>
                <w:color w:val="auto"/>
                <w:kern w:val="0"/>
                <w:sz w:val="21"/>
                <w:szCs w:val="21"/>
                <w:highlight w:val="none"/>
              </w:rPr>
              <w:t>信息系统项目管理师</w:t>
            </w:r>
            <w:r>
              <w:rPr>
                <w:rFonts w:hint="eastAsia" w:ascii="宋体" w:hAnsi="宋体" w:eastAsia="宋体" w:cs="宋体"/>
                <w:b/>
                <w:bCs/>
                <w:color w:val="auto"/>
                <w:kern w:val="0"/>
                <w:sz w:val="21"/>
                <w:szCs w:val="21"/>
                <w:highlight w:val="none"/>
                <w:lang w:val="en-US" w:eastAsia="zh-CN"/>
              </w:rPr>
              <w:t>证书</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②</w:t>
            </w:r>
            <w:r>
              <w:rPr>
                <w:rFonts w:hint="eastAsia" w:ascii="宋体" w:hAnsi="宋体" w:eastAsia="宋体" w:cs="宋体"/>
                <w:b/>
                <w:bCs/>
                <w:color w:val="auto"/>
                <w:kern w:val="0"/>
                <w:sz w:val="21"/>
                <w:szCs w:val="21"/>
                <w:highlight w:val="none"/>
              </w:rPr>
              <w:t>注册信息安全工程师（CISE）证书、</w:t>
            </w:r>
            <w:r>
              <w:rPr>
                <w:rFonts w:hint="eastAsia" w:ascii="宋体" w:hAnsi="宋体" w:eastAsia="宋体" w:cs="宋体"/>
                <w:b/>
                <w:bCs/>
                <w:color w:val="auto"/>
                <w:kern w:val="0"/>
                <w:sz w:val="21"/>
                <w:szCs w:val="21"/>
                <w:highlight w:val="none"/>
                <w:lang w:val="en-US" w:eastAsia="zh-CN"/>
              </w:rPr>
              <w:t>③</w:t>
            </w:r>
            <w:r>
              <w:rPr>
                <w:rFonts w:hint="eastAsia" w:ascii="宋体" w:hAnsi="宋体" w:eastAsia="宋体" w:cs="宋体"/>
                <w:b/>
                <w:bCs/>
                <w:color w:val="auto"/>
                <w:kern w:val="0"/>
                <w:sz w:val="21"/>
                <w:szCs w:val="21"/>
                <w:highlight w:val="none"/>
              </w:rPr>
              <w:t>ITSS IT 服务项目经理认证</w:t>
            </w:r>
            <w:r>
              <w:rPr>
                <w:rFonts w:hint="eastAsia" w:ascii="宋体" w:hAnsi="宋体" w:eastAsia="宋体" w:cs="宋体"/>
                <w:b/>
                <w:bCs/>
                <w:color w:val="auto"/>
                <w:kern w:val="0"/>
                <w:sz w:val="21"/>
                <w:szCs w:val="21"/>
                <w:highlight w:val="none"/>
                <w:lang w:val="en-US" w:eastAsia="zh-CN"/>
              </w:rPr>
              <w:t>证书</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④</w:t>
            </w:r>
            <w:r>
              <w:rPr>
                <w:rFonts w:hint="eastAsia" w:ascii="宋体" w:hAnsi="宋体" w:eastAsia="宋体" w:cs="宋体"/>
                <w:b/>
                <w:bCs/>
                <w:color w:val="auto"/>
                <w:kern w:val="0"/>
                <w:sz w:val="21"/>
                <w:szCs w:val="21"/>
                <w:highlight w:val="none"/>
              </w:rPr>
              <w:t>网络通信安全管理员三级及以上的认证证书</w:t>
            </w:r>
            <w:r>
              <w:rPr>
                <w:rFonts w:hint="eastAsia" w:ascii="宋体" w:hAnsi="宋体" w:eastAsia="宋体" w:cs="宋体"/>
                <w:b/>
                <w:bCs/>
                <w:color w:val="auto"/>
                <w:kern w:val="0"/>
                <w:sz w:val="21"/>
                <w:szCs w:val="21"/>
                <w:highlight w:val="none"/>
                <w:lang w:val="en-US" w:eastAsia="zh-CN"/>
              </w:rPr>
              <w:t>。</w:t>
            </w:r>
          </w:p>
          <w:p w14:paraId="49B14AE6">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投标人拟投入本项目的技术负责人</w:t>
            </w:r>
            <w:r>
              <w:rPr>
                <w:rFonts w:hint="eastAsia" w:ascii="宋体" w:hAnsi="宋体" w:cs="宋体"/>
                <w:color w:val="auto"/>
                <w:kern w:val="0"/>
                <w:sz w:val="21"/>
                <w:szCs w:val="21"/>
                <w:highlight w:val="none"/>
                <w:lang w:val="en-US" w:eastAsia="zh-CN"/>
              </w:rPr>
              <w:t>应为投标人单位正式员工，且每</w:t>
            </w:r>
            <w:r>
              <w:rPr>
                <w:rFonts w:hint="eastAsia" w:ascii="宋体" w:hAnsi="宋体" w:eastAsia="宋体" w:cs="宋体"/>
                <w:color w:val="auto"/>
                <w:kern w:val="0"/>
                <w:sz w:val="21"/>
                <w:szCs w:val="21"/>
                <w:highlight w:val="none"/>
              </w:rPr>
              <w:t>具有</w:t>
            </w:r>
            <w:r>
              <w:rPr>
                <w:rFonts w:hint="eastAsia" w:ascii="宋体" w:hAnsi="宋体" w:cs="宋体"/>
                <w:color w:val="auto"/>
                <w:kern w:val="0"/>
                <w:sz w:val="21"/>
                <w:szCs w:val="21"/>
                <w:highlight w:val="none"/>
                <w:lang w:val="en-US" w:eastAsia="zh-CN"/>
              </w:rPr>
              <w:t>以下证书中任意一类证书的，得1分，最高得3分：</w:t>
            </w:r>
            <w:r>
              <w:rPr>
                <w:rFonts w:hint="eastAsia" w:ascii="宋体" w:hAnsi="宋体" w:eastAsia="宋体" w:cs="宋体"/>
                <w:b/>
                <w:bCs/>
                <w:color w:val="auto"/>
                <w:kern w:val="0"/>
                <w:sz w:val="21"/>
                <w:szCs w:val="21"/>
                <w:highlight w:val="none"/>
                <w:lang w:val="en-US" w:eastAsia="zh-CN"/>
              </w:rPr>
              <w:t>①</w:t>
            </w:r>
            <w:r>
              <w:rPr>
                <w:rFonts w:hint="eastAsia" w:ascii="宋体" w:hAnsi="宋体" w:eastAsia="宋体" w:cs="宋体"/>
                <w:b/>
                <w:bCs/>
                <w:color w:val="auto"/>
                <w:kern w:val="0"/>
                <w:sz w:val="21"/>
                <w:szCs w:val="21"/>
                <w:highlight w:val="none"/>
              </w:rPr>
              <w:t>信息系统项目管理师</w:t>
            </w:r>
            <w:r>
              <w:rPr>
                <w:rFonts w:hint="eastAsia" w:ascii="宋体" w:hAnsi="宋体" w:eastAsia="宋体" w:cs="宋体"/>
                <w:b/>
                <w:bCs/>
                <w:color w:val="auto"/>
                <w:kern w:val="0"/>
                <w:sz w:val="21"/>
                <w:szCs w:val="21"/>
                <w:highlight w:val="none"/>
                <w:lang w:val="en-US" w:eastAsia="zh-CN"/>
              </w:rPr>
              <w:t>证书</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②</w:t>
            </w:r>
            <w:r>
              <w:rPr>
                <w:rFonts w:hint="eastAsia" w:ascii="宋体" w:hAnsi="宋体" w:eastAsia="宋体" w:cs="宋体"/>
                <w:b/>
                <w:bCs/>
                <w:color w:val="auto"/>
                <w:kern w:val="0"/>
                <w:sz w:val="21"/>
                <w:szCs w:val="21"/>
                <w:highlight w:val="none"/>
              </w:rPr>
              <w:t>通信工程师资格证书、</w:t>
            </w:r>
            <w:r>
              <w:rPr>
                <w:rFonts w:hint="eastAsia" w:ascii="宋体" w:hAnsi="宋体" w:eastAsia="宋体" w:cs="宋体"/>
                <w:b/>
                <w:bCs/>
                <w:color w:val="auto"/>
                <w:kern w:val="0"/>
                <w:sz w:val="21"/>
                <w:szCs w:val="21"/>
                <w:highlight w:val="none"/>
                <w:lang w:val="en-US" w:eastAsia="zh-CN"/>
              </w:rPr>
              <w:t>③</w:t>
            </w:r>
            <w:r>
              <w:rPr>
                <w:rFonts w:hint="eastAsia" w:ascii="宋体" w:hAnsi="宋体" w:eastAsia="宋体" w:cs="宋体"/>
                <w:b/>
                <w:bCs/>
                <w:color w:val="auto"/>
                <w:kern w:val="0"/>
                <w:sz w:val="21"/>
                <w:szCs w:val="21"/>
                <w:highlight w:val="none"/>
              </w:rPr>
              <w:t>注册信息安全管理人员证书（CISO）</w:t>
            </w:r>
            <w:r>
              <w:rPr>
                <w:rFonts w:hint="eastAsia" w:ascii="宋体" w:hAnsi="宋体" w:eastAsia="宋体" w:cs="宋体"/>
                <w:b/>
                <w:bCs/>
                <w:color w:val="auto"/>
                <w:kern w:val="0"/>
                <w:sz w:val="21"/>
                <w:szCs w:val="21"/>
                <w:highlight w:val="none"/>
                <w:lang w:val="en-US" w:eastAsia="zh-CN"/>
              </w:rPr>
              <w:t>证书</w:t>
            </w:r>
            <w:r>
              <w:rPr>
                <w:rFonts w:hint="eastAsia" w:ascii="宋体" w:hAnsi="宋体" w:cs="宋体"/>
                <w:b/>
                <w:bCs/>
                <w:color w:val="auto"/>
                <w:kern w:val="0"/>
                <w:sz w:val="21"/>
                <w:szCs w:val="21"/>
                <w:highlight w:val="none"/>
                <w:lang w:val="en-US" w:eastAsia="zh-CN"/>
              </w:rPr>
              <w:t>。</w:t>
            </w:r>
          </w:p>
          <w:p w14:paraId="539C3F76">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Times New Roman" w:hAnsi="Times New Roman" w:eastAsia="宋体" w:cs="Times New Roman"/>
                <w:b w:val="0"/>
                <w:bCs w:val="0"/>
                <w:color w:val="auto"/>
                <w:highlight w:val="none"/>
                <w:lang w:val="en-US" w:eastAsia="zh-CN"/>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投标人拟投入本</w:t>
            </w:r>
            <w:r>
              <w:rPr>
                <w:rFonts w:hint="eastAsia" w:ascii="宋体" w:hAnsi="宋体" w:cs="宋体"/>
                <w:color w:val="auto"/>
                <w:kern w:val="0"/>
                <w:sz w:val="21"/>
                <w:szCs w:val="21"/>
                <w:highlight w:val="none"/>
                <w:lang w:eastAsia="zh-CN"/>
              </w:rPr>
              <w:t>项目的</w:t>
            </w:r>
            <w:r>
              <w:rPr>
                <w:rFonts w:hint="eastAsia" w:ascii="宋体" w:hAnsi="宋体" w:eastAsia="宋体" w:cs="宋体"/>
                <w:color w:val="auto"/>
                <w:kern w:val="0"/>
                <w:sz w:val="21"/>
                <w:szCs w:val="21"/>
                <w:highlight w:val="none"/>
              </w:rPr>
              <w:t>实施成员</w:t>
            </w:r>
            <w:r>
              <w:rPr>
                <w:rFonts w:hint="eastAsia" w:ascii="宋体" w:hAnsi="宋体" w:cs="宋体"/>
                <w:color w:val="auto"/>
                <w:kern w:val="0"/>
                <w:sz w:val="21"/>
                <w:szCs w:val="21"/>
                <w:highlight w:val="none"/>
                <w:lang w:val="en-US" w:eastAsia="zh-CN"/>
              </w:rPr>
              <w:t>应为投标人单位正式员工，且每</w:t>
            </w:r>
            <w:r>
              <w:rPr>
                <w:rFonts w:hint="eastAsia" w:ascii="宋体" w:hAnsi="宋体" w:eastAsia="宋体" w:cs="宋体"/>
                <w:color w:val="auto"/>
                <w:kern w:val="0"/>
                <w:sz w:val="21"/>
                <w:szCs w:val="21"/>
                <w:highlight w:val="none"/>
              </w:rPr>
              <w:t>具有</w:t>
            </w:r>
            <w:r>
              <w:rPr>
                <w:rFonts w:hint="eastAsia" w:ascii="宋体" w:hAnsi="宋体" w:cs="宋体"/>
                <w:color w:val="auto"/>
                <w:kern w:val="0"/>
                <w:sz w:val="21"/>
                <w:szCs w:val="21"/>
                <w:highlight w:val="none"/>
                <w:lang w:val="en-US" w:eastAsia="zh-CN"/>
              </w:rPr>
              <w:t>以下证书中任意一类证书的，得0.5分，最高得2分：</w:t>
            </w:r>
            <w:r>
              <w:rPr>
                <w:rFonts w:hint="eastAsia" w:ascii="宋体" w:hAnsi="宋体" w:eastAsia="宋体" w:cs="宋体"/>
                <w:b/>
                <w:bCs/>
                <w:color w:val="auto"/>
                <w:kern w:val="0"/>
                <w:sz w:val="21"/>
                <w:szCs w:val="21"/>
                <w:highlight w:val="none"/>
                <w:lang w:val="en-US" w:eastAsia="zh-CN"/>
              </w:rPr>
              <w:t>①</w:t>
            </w:r>
            <w:r>
              <w:rPr>
                <w:rFonts w:hint="eastAsia" w:ascii="宋体" w:hAnsi="宋体" w:eastAsia="宋体" w:cs="宋体"/>
                <w:b/>
                <w:bCs/>
                <w:color w:val="auto"/>
                <w:kern w:val="0"/>
                <w:sz w:val="21"/>
                <w:szCs w:val="21"/>
                <w:highlight w:val="none"/>
              </w:rPr>
              <w:t>信息系统项目管理师证书、</w:t>
            </w:r>
            <w:r>
              <w:rPr>
                <w:rFonts w:hint="eastAsia" w:ascii="宋体" w:hAnsi="宋体" w:eastAsia="宋体" w:cs="宋体"/>
                <w:b/>
                <w:bCs/>
                <w:color w:val="auto"/>
                <w:kern w:val="0"/>
                <w:sz w:val="21"/>
                <w:szCs w:val="21"/>
                <w:highlight w:val="none"/>
                <w:lang w:val="en-US" w:eastAsia="zh-CN"/>
              </w:rPr>
              <w:t>②</w:t>
            </w:r>
            <w:r>
              <w:rPr>
                <w:rFonts w:hint="eastAsia" w:ascii="宋体" w:hAnsi="宋体" w:eastAsia="宋体" w:cs="宋体"/>
                <w:b/>
                <w:bCs/>
                <w:color w:val="auto"/>
                <w:kern w:val="0"/>
                <w:sz w:val="21"/>
                <w:szCs w:val="21"/>
                <w:highlight w:val="none"/>
              </w:rPr>
              <w:t>企业培训师专项技能证书、</w:t>
            </w:r>
            <w:r>
              <w:rPr>
                <w:rFonts w:hint="eastAsia" w:ascii="宋体" w:hAnsi="宋体" w:eastAsia="宋体" w:cs="宋体"/>
                <w:b/>
                <w:bCs/>
                <w:color w:val="auto"/>
                <w:kern w:val="0"/>
                <w:sz w:val="21"/>
                <w:szCs w:val="21"/>
                <w:highlight w:val="none"/>
                <w:lang w:val="en-US" w:eastAsia="zh-CN"/>
              </w:rPr>
              <w:t>③</w:t>
            </w:r>
            <w:r>
              <w:rPr>
                <w:rFonts w:hint="eastAsia" w:ascii="宋体" w:hAnsi="宋体" w:eastAsia="宋体" w:cs="宋体"/>
                <w:b/>
                <w:bCs/>
                <w:color w:val="auto"/>
                <w:kern w:val="0"/>
                <w:sz w:val="21"/>
                <w:szCs w:val="21"/>
                <w:highlight w:val="none"/>
              </w:rPr>
              <w:t>信息安全保障人员认证证书（安全集成方向）、</w:t>
            </w:r>
            <w:r>
              <w:rPr>
                <w:rFonts w:hint="eastAsia" w:ascii="宋体" w:hAnsi="宋体" w:eastAsia="宋体" w:cs="宋体"/>
                <w:b/>
                <w:bCs/>
                <w:color w:val="auto"/>
                <w:kern w:val="0"/>
                <w:sz w:val="21"/>
                <w:szCs w:val="21"/>
                <w:highlight w:val="none"/>
                <w:lang w:val="en-US" w:eastAsia="zh-CN"/>
              </w:rPr>
              <w:t>④</w:t>
            </w:r>
            <w:r>
              <w:rPr>
                <w:rFonts w:hint="eastAsia" w:ascii="宋体" w:hAnsi="宋体" w:eastAsia="宋体" w:cs="宋体"/>
                <w:b/>
                <w:bCs/>
                <w:color w:val="auto"/>
                <w:kern w:val="0"/>
                <w:sz w:val="21"/>
                <w:szCs w:val="21"/>
                <w:highlight w:val="none"/>
              </w:rPr>
              <w:t>注册信息安全专业人员（CISP）证书</w:t>
            </w:r>
            <w:r>
              <w:rPr>
                <w:rFonts w:hint="eastAsia" w:ascii="宋体" w:hAnsi="宋体" w:cs="宋体"/>
                <w:color w:val="auto"/>
                <w:kern w:val="0"/>
                <w:sz w:val="21"/>
                <w:szCs w:val="21"/>
                <w:highlight w:val="none"/>
                <w:lang w:eastAsia="zh-CN"/>
              </w:rPr>
              <w:t>。</w:t>
            </w:r>
          </w:p>
          <w:p w14:paraId="784A58F1">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22"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提供以上拟派人员与投标单位签订的有效劳动合同复印件、</w:t>
            </w:r>
            <w:r>
              <w:rPr>
                <w:rFonts w:hint="eastAsia" w:ascii="宋体" w:hAnsi="宋体" w:eastAsia="宋体" w:cs="宋体"/>
                <w:b/>
                <w:bCs/>
                <w:color w:val="auto"/>
                <w:kern w:val="0"/>
                <w:sz w:val="21"/>
                <w:szCs w:val="21"/>
                <w:highlight w:val="none"/>
              </w:rPr>
              <w:t>投标人企业为其缴纳的近三个月</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2024年</w:t>
            </w:r>
            <w:r>
              <w:rPr>
                <w:rFonts w:hint="eastAsia" w:ascii="宋体" w:hAnsi="宋体" w:cs="宋体"/>
                <w:b/>
                <w:bCs/>
                <w:color w:val="auto"/>
                <w:kern w:val="0"/>
                <w:sz w:val="21"/>
                <w:szCs w:val="21"/>
                <w:highlight w:val="none"/>
                <w:lang w:val="en-US" w:eastAsia="zh-CN"/>
              </w:rPr>
              <w:t>7</w:t>
            </w:r>
            <w:r>
              <w:rPr>
                <w:rFonts w:hint="eastAsia" w:ascii="宋体" w:hAnsi="宋体" w:eastAsia="宋体" w:cs="宋体"/>
                <w:b/>
                <w:bCs/>
                <w:color w:val="auto"/>
                <w:kern w:val="0"/>
                <w:sz w:val="21"/>
                <w:szCs w:val="21"/>
                <w:highlight w:val="none"/>
                <w:lang w:val="en-US" w:eastAsia="zh-CN"/>
              </w:rPr>
              <w:t>月-</w:t>
            </w:r>
            <w:r>
              <w:rPr>
                <w:rFonts w:hint="eastAsia" w:ascii="宋体" w:hAnsi="宋体" w:cs="宋体"/>
                <w:b/>
                <w:bCs/>
                <w:color w:val="auto"/>
                <w:kern w:val="0"/>
                <w:sz w:val="21"/>
                <w:szCs w:val="21"/>
                <w:highlight w:val="none"/>
                <w:lang w:val="en-US" w:eastAsia="zh-CN"/>
              </w:rPr>
              <w:t>9</w:t>
            </w:r>
            <w:r>
              <w:rPr>
                <w:rFonts w:hint="eastAsia" w:ascii="宋体" w:hAnsi="宋体" w:eastAsia="宋体" w:cs="宋体"/>
                <w:b/>
                <w:bCs/>
                <w:color w:val="auto"/>
                <w:kern w:val="0"/>
                <w:sz w:val="21"/>
                <w:szCs w:val="21"/>
                <w:highlight w:val="none"/>
                <w:lang w:val="en-US" w:eastAsia="zh-CN"/>
              </w:rPr>
              <w:t>月</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任意一个月的社保缴纳清单</w:t>
            </w:r>
            <w:r>
              <w:rPr>
                <w:rFonts w:hint="eastAsia" w:ascii="宋体" w:hAnsi="宋体" w:eastAsia="宋体" w:cs="宋体"/>
                <w:b/>
                <w:bCs/>
                <w:color w:val="auto"/>
                <w:kern w:val="0"/>
                <w:sz w:val="21"/>
                <w:szCs w:val="21"/>
                <w:highlight w:val="none"/>
                <w:lang w:val="en-US" w:eastAsia="zh-CN"/>
              </w:rPr>
              <w:t>证明以及有效的证书复印件并加盖投标供应商单位公章。</w:t>
            </w:r>
          </w:p>
        </w:tc>
      </w:tr>
      <w:tr w14:paraId="60DC2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jc w:val="center"/>
        </w:trPr>
        <w:tc>
          <w:tcPr>
            <w:tcW w:w="362" w:type="pct"/>
            <w:noWrap w:val="0"/>
            <w:vAlign w:val="center"/>
          </w:tcPr>
          <w:p w14:paraId="1E37DD3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693" w:type="pct"/>
            <w:noWrap w:val="0"/>
            <w:vAlign w:val="center"/>
          </w:tcPr>
          <w:p w14:paraId="0D580278">
            <w:pPr>
              <w:pStyle w:val="2"/>
              <w:pageBreakBefore w:val="0"/>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设计、施工方案</w:t>
            </w:r>
          </w:p>
          <w:p w14:paraId="4D609B83">
            <w:pPr>
              <w:pStyle w:val="2"/>
              <w:pageBreakBefore w:val="0"/>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16分</w:t>
            </w:r>
            <w:r>
              <w:rPr>
                <w:rFonts w:hint="eastAsia" w:ascii="宋体" w:hAnsi="宋体" w:eastAsia="宋体" w:cs="宋体"/>
                <w:b w:val="0"/>
                <w:bCs w:val="0"/>
                <w:color w:val="auto"/>
                <w:kern w:val="0"/>
                <w:sz w:val="21"/>
                <w:szCs w:val="21"/>
                <w:highlight w:val="none"/>
                <w:lang w:eastAsia="zh-CN"/>
              </w:rPr>
              <w:t>）</w:t>
            </w:r>
          </w:p>
        </w:tc>
        <w:tc>
          <w:tcPr>
            <w:tcW w:w="3944" w:type="pct"/>
            <w:noWrap w:val="0"/>
            <w:vAlign w:val="center"/>
          </w:tcPr>
          <w:p w14:paraId="3A06E64E">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w:t>
            </w:r>
            <w:r>
              <w:rPr>
                <w:rFonts w:hint="eastAsia" w:ascii="宋体" w:hAnsi="宋体" w:eastAsia="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rPr>
              <w:t>需求，</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提供</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b w:val="0"/>
                <w:bCs w:val="0"/>
                <w:color w:val="auto"/>
                <w:kern w:val="0"/>
                <w:sz w:val="21"/>
                <w:szCs w:val="21"/>
                <w:highlight w:val="none"/>
                <w:lang w:eastAsia="zh-CN"/>
              </w:rPr>
              <w:t>方案</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包括但不限于设计方案、施工方案、售后服务及培训方案</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磋商小组根据供应商提供的</w:t>
            </w:r>
            <w:r>
              <w:rPr>
                <w:rFonts w:hint="eastAsia" w:ascii="宋体" w:hAnsi="宋体" w:eastAsia="宋体" w:cs="宋体"/>
                <w:b w:val="0"/>
                <w:bCs w:val="0"/>
                <w:color w:val="auto"/>
                <w:kern w:val="0"/>
                <w:sz w:val="21"/>
                <w:szCs w:val="21"/>
                <w:highlight w:val="none"/>
                <w:lang w:eastAsia="zh-CN"/>
              </w:rPr>
              <w:t>方案</w:t>
            </w:r>
            <w:r>
              <w:rPr>
                <w:rFonts w:hint="eastAsia" w:ascii="宋体" w:hAnsi="宋体" w:eastAsia="宋体" w:cs="宋体"/>
                <w:color w:val="auto"/>
                <w:kern w:val="0"/>
                <w:sz w:val="21"/>
                <w:szCs w:val="21"/>
                <w:highlight w:val="none"/>
                <w:lang w:val="en-US" w:eastAsia="zh-CN"/>
              </w:rPr>
              <w:t>综合打分：</w:t>
            </w:r>
          </w:p>
          <w:p w14:paraId="53E3A0AF">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①方案内容完善、功能合理、可行性强的，得1</w:t>
            </w:r>
            <w:r>
              <w:rPr>
                <w:rFonts w:hint="eastAsia" w:ascii="宋体" w:hAnsi="宋体" w:cs="宋体"/>
                <w:color w:val="auto"/>
                <w:kern w:val="0"/>
                <w:sz w:val="21"/>
                <w:szCs w:val="21"/>
                <w:highlight w:val="none"/>
                <w:lang w:val="en-US" w:eastAsia="zh-CN"/>
              </w:rPr>
              <w:t>0（含）</w:t>
            </w:r>
            <w:r>
              <w:rPr>
                <w:rFonts w:hint="eastAsia" w:ascii="宋体" w:hAnsi="宋体" w:eastAsia="宋体" w:cs="宋体"/>
                <w:color w:val="auto"/>
                <w:kern w:val="0"/>
                <w:sz w:val="21"/>
                <w:szCs w:val="21"/>
                <w:highlight w:val="none"/>
                <w:lang w:val="en-US" w:eastAsia="zh-CN"/>
              </w:rPr>
              <w:t>-16</w:t>
            </w:r>
            <w:r>
              <w:rPr>
                <w:rFonts w:hint="eastAsia" w:ascii="宋体" w:hAnsi="宋体" w:cs="宋体"/>
                <w:color w:val="auto"/>
                <w:kern w:val="0"/>
                <w:sz w:val="21"/>
                <w:szCs w:val="21"/>
                <w:highlight w:val="none"/>
                <w:lang w:val="en-US" w:eastAsia="zh-CN"/>
              </w:rPr>
              <w:t>（含）</w:t>
            </w:r>
            <w:r>
              <w:rPr>
                <w:rFonts w:hint="eastAsia" w:ascii="宋体" w:hAnsi="宋体" w:eastAsia="宋体" w:cs="宋体"/>
                <w:color w:val="auto"/>
                <w:kern w:val="0"/>
                <w:sz w:val="21"/>
                <w:szCs w:val="21"/>
                <w:highlight w:val="none"/>
                <w:lang w:val="en-US" w:eastAsia="zh-CN"/>
              </w:rPr>
              <w:t>分。</w:t>
            </w:r>
          </w:p>
          <w:p w14:paraId="587E7F30">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②方案内容较完善、功能较合理、可行性较高的，得</w:t>
            </w:r>
            <w:r>
              <w:rPr>
                <w:rFonts w:hint="eastAsia" w:ascii="宋体" w:hAnsi="宋体" w:cs="宋体"/>
                <w:color w:val="auto"/>
                <w:kern w:val="0"/>
                <w:sz w:val="21"/>
                <w:szCs w:val="21"/>
                <w:highlight w:val="none"/>
                <w:lang w:val="en-US" w:eastAsia="zh-CN"/>
              </w:rPr>
              <w:t>5（含）</w:t>
            </w:r>
            <w:r>
              <w:rPr>
                <w:rFonts w:hint="eastAsia" w:ascii="宋体" w:hAnsi="宋体" w:eastAsia="宋体" w:cs="宋体"/>
                <w:color w:val="auto"/>
                <w:kern w:val="0"/>
                <w:sz w:val="21"/>
                <w:szCs w:val="21"/>
                <w:highlight w:val="none"/>
                <w:lang w:val="en-US" w:eastAsia="zh-CN"/>
              </w:rPr>
              <w:t>-10</w:t>
            </w:r>
            <w:r>
              <w:rPr>
                <w:rFonts w:hint="eastAsia" w:ascii="宋体" w:hAnsi="宋体" w:cs="宋体"/>
                <w:color w:val="auto"/>
                <w:kern w:val="0"/>
                <w:sz w:val="21"/>
                <w:szCs w:val="21"/>
                <w:highlight w:val="none"/>
                <w:lang w:val="en-US" w:eastAsia="zh-CN"/>
              </w:rPr>
              <w:t>（不含）</w:t>
            </w:r>
            <w:r>
              <w:rPr>
                <w:rFonts w:hint="eastAsia" w:ascii="宋体" w:hAnsi="宋体" w:eastAsia="宋体" w:cs="宋体"/>
                <w:color w:val="auto"/>
                <w:kern w:val="0"/>
                <w:sz w:val="21"/>
                <w:szCs w:val="21"/>
                <w:highlight w:val="none"/>
                <w:lang w:val="en-US" w:eastAsia="zh-CN"/>
              </w:rPr>
              <w:t>分。</w:t>
            </w:r>
          </w:p>
          <w:p w14:paraId="0C0BD369">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③方案内容不完善、功能不合理、可行性不高的，得</w:t>
            </w:r>
            <w:r>
              <w:rPr>
                <w:rFonts w:hint="eastAsia" w:ascii="宋体" w:hAnsi="宋体" w:cs="宋体"/>
                <w:color w:val="auto"/>
                <w:kern w:val="0"/>
                <w:sz w:val="21"/>
                <w:szCs w:val="21"/>
                <w:highlight w:val="none"/>
                <w:lang w:val="en-US" w:eastAsia="zh-CN"/>
              </w:rPr>
              <w:t>0（不含）</w:t>
            </w:r>
            <w:r>
              <w:rPr>
                <w:rFonts w:hint="eastAsia" w:ascii="宋体" w:hAnsi="宋体" w:eastAsia="宋体" w:cs="宋体"/>
                <w:color w:val="auto"/>
                <w:kern w:val="0"/>
                <w:sz w:val="21"/>
                <w:szCs w:val="21"/>
                <w:highlight w:val="none"/>
                <w:lang w:val="en-US" w:eastAsia="zh-CN"/>
              </w:rPr>
              <w:t>-5</w:t>
            </w:r>
            <w:r>
              <w:rPr>
                <w:rFonts w:hint="eastAsia" w:ascii="宋体" w:hAnsi="宋体" w:cs="宋体"/>
                <w:color w:val="auto"/>
                <w:kern w:val="0"/>
                <w:sz w:val="21"/>
                <w:szCs w:val="21"/>
                <w:highlight w:val="none"/>
                <w:lang w:val="en-US" w:eastAsia="zh-CN"/>
              </w:rPr>
              <w:t>（不含）</w:t>
            </w:r>
            <w:r>
              <w:rPr>
                <w:rFonts w:hint="eastAsia" w:ascii="宋体" w:hAnsi="宋体" w:eastAsia="宋体" w:cs="宋体"/>
                <w:color w:val="auto"/>
                <w:kern w:val="0"/>
                <w:sz w:val="21"/>
                <w:szCs w:val="21"/>
                <w:highlight w:val="none"/>
                <w:lang w:val="en-US" w:eastAsia="zh-CN"/>
              </w:rPr>
              <w:t>分。</w:t>
            </w:r>
          </w:p>
          <w:p w14:paraId="6AAEA2AF">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④未提供不得分。</w:t>
            </w:r>
          </w:p>
        </w:tc>
      </w:tr>
    </w:tbl>
    <w:p w14:paraId="6A71FAAC">
      <w:pPr>
        <w:autoSpaceDE w:val="0"/>
        <w:autoSpaceDN w:val="0"/>
        <w:adjustRightInd w:val="0"/>
        <w:snapToGrid w:val="0"/>
        <w:spacing w:line="480" w:lineRule="exact"/>
        <w:ind w:firstLine="560"/>
        <w:rPr>
          <w:color w:val="auto"/>
          <w:sz w:val="24"/>
          <w:highlight w:val="none"/>
          <w:u w:val="single"/>
          <w:lang w:val="zh-CN"/>
        </w:rPr>
      </w:pPr>
      <w:r>
        <w:rPr>
          <w:b/>
          <w:color w:val="auto"/>
          <w:sz w:val="24"/>
          <w:highlight w:val="none"/>
        </w:rPr>
        <w:t xml:space="preserve"> (二）价格分：</w:t>
      </w:r>
      <w:r>
        <w:rPr>
          <w:rFonts w:hint="eastAsia"/>
          <w:color w:val="auto"/>
          <w:sz w:val="24"/>
          <w:highlight w:val="none"/>
          <w:u w:val="single"/>
          <w:lang w:val="en-US" w:eastAsia="zh-CN"/>
        </w:rPr>
        <w:t>30</w:t>
      </w:r>
      <w:r>
        <w:rPr>
          <w:color w:val="auto"/>
          <w:sz w:val="24"/>
          <w:highlight w:val="none"/>
          <w:u w:val="single"/>
          <w:lang w:val="zh-CN"/>
        </w:rPr>
        <w:t>分</w:t>
      </w:r>
    </w:p>
    <w:p w14:paraId="4A18EA83">
      <w:pPr>
        <w:autoSpaceDE w:val="0"/>
        <w:autoSpaceDN w:val="0"/>
        <w:adjustRightInd w:val="0"/>
        <w:snapToGrid w:val="0"/>
        <w:spacing w:line="480" w:lineRule="exact"/>
        <w:ind w:firstLine="560"/>
        <w:rPr>
          <w:rFonts w:hint="eastAsia" w:eastAsia="宋体"/>
          <w:b/>
          <w:bCs/>
          <w:color w:val="auto"/>
          <w:sz w:val="24"/>
          <w:highlight w:val="none"/>
          <w:lang w:eastAsia="zh-CN"/>
        </w:rPr>
      </w:pPr>
      <w:r>
        <w:rPr>
          <w:rFonts w:hint="eastAsia"/>
          <w:b/>
          <w:bCs/>
          <w:color w:val="auto"/>
          <w:sz w:val="24"/>
          <w:highlight w:val="none"/>
        </w:rPr>
        <w:t>本次项目总价限价</w:t>
      </w:r>
      <w:r>
        <w:rPr>
          <w:rFonts w:hint="eastAsia"/>
          <w:b/>
          <w:bCs/>
          <w:color w:val="auto"/>
          <w:sz w:val="24"/>
          <w:highlight w:val="none"/>
          <w:u w:val="single"/>
          <w:lang w:val="en-US" w:eastAsia="zh-CN"/>
        </w:rPr>
        <w:t xml:space="preserve"> </w:t>
      </w:r>
      <w:r>
        <w:rPr>
          <w:rFonts w:hint="eastAsia"/>
          <w:b/>
          <w:bCs/>
          <w:color w:val="auto"/>
          <w:sz w:val="24"/>
          <w:highlight w:val="none"/>
          <w:u w:val="single"/>
          <w:lang w:val="en-US" w:eastAsia="zh-CN"/>
        </w:rPr>
        <w:t>100万元</w:t>
      </w:r>
      <w:r>
        <w:rPr>
          <w:rFonts w:hint="eastAsia"/>
          <w:b/>
          <w:bCs/>
          <w:color w:val="auto"/>
          <w:sz w:val="24"/>
          <w:highlight w:val="none"/>
          <w:lang w:eastAsia="zh-CN"/>
        </w:rPr>
        <w:t>。</w:t>
      </w:r>
      <w:r>
        <w:rPr>
          <w:rFonts w:hint="eastAsia"/>
          <w:b/>
          <w:bCs/>
          <w:color w:val="auto"/>
          <w:sz w:val="24"/>
          <w:highlight w:val="none"/>
        </w:rPr>
        <w:t>超过限价作无效</w:t>
      </w:r>
      <w:r>
        <w:rPr>
          <w:rFonts w:hint="eastAsia"/>
          <w:b/>
          <w:bCs/>
          <w:color w:val="auto"/>
          <w:sz w:val="24"/>
          <w:highlight w:val="none"/>
          <w:lang w:val="en-US" w:eastAsia="zh-CN"/>
        </w:rPr>
        <w:t>响应</w:t>
      </w:r>
      <w:r>
        <w:rPr>
          <w:rFonts w:hint="eastAsia"/>
          <w:b/>
          <w:bCs/>
          <w:color w:val="auto"/>
          <w:sz w:val="24"/>
          <w:highlight w:val="none"/>
        </w:rPr>
        <w:t>处理</w:t>
      </w:r>
      <w:r>
        <w:rPr>
          <w:rFonts w:hint="eastAsia"/>
          <w:b/>
          <w:bCs/>
          <w:color w:val="auto"/>
          <w:sz w:val="24"/>
          <w:highlight w:val="none"/>
          <w:lang w:eastAsia="zh-CN"/>
        </w:rPr>
        <w:t>。</w:t>
      </w:r>
    </w:p>
    <w:p w14:paraId="1A3AF01F">
      <w:pPr>
        <w:autoSpaceDE w:val="0"/>
        <w:autoSpaceDN w:val="0"/>
        <w:adjustRightInd w:val="0"/>
        <w:snapToGrid w:val="0"/>
        <w:spacing w:line="480" w:lineRule="exact"/>
        <w:ind w:firstLine="560"/>
        <w:rPr>
          <w:color w:val="auto"/>
          <w:sz w:val="24"/>
          <w:highlight w:val="none"/>
        </w:rPr>
      </w:pPr>
      <w:r>
        <w:rPr>
          <w:color w:val="auto"/>
          <w:sz w:val="24"/>
          <w:highlight w:val="none"/>
        </w:rPr>
        <w:t>综合评分法中的价格分统一采用低价优先法计算，即满足磋商文件要求且最后报价</w:t>
      </w:r>
      <w:r>
        <w:rPr>
          <w:rFonts w:hint="eastAsia"/>
          <w:color w:val="auto"/>
          <w:sz w:val="24"/>
          <w:highlight w:val="none"/>
          <w:lang w:val="en-US" w:eastAsia="zh-CN"/>
        </w:rPr>
        <w:t>中</w:t>
      </w:r>
      <w:r>
        <w:rPr>
          <w:rFonts w:hint="eastAsia"/>
          <w:b/>
          <w:bCs/>
          <w:color w:val="auto"/>
          <w:sz w:val="24"/>
          <w:highlight w:val="none"/>
          <w:lang w:val="en-US" w:eastAsia="zh-CN"/>
        </w:rPr>
        <w:t>不含税总价（价格分计算均按不含税总价进行）</w:t>
      </w:r>
      <w:r>
        <w:rPr>
          <w:color w:val="auto"/>
          <w:sz w:val="24"/>
          <w:highlight w:val="none"/>
        </w:rPr>
        <w:t>最低的供应商的价格为磋商基准价，其价格分为满分。其他供应商的价格分统一按照下列公式计算：</w:t>
      </w:r>
    </w:p>
    <w:p w14:paraId="1056D692">
      <w:pPr>
        <w:autoSpaceDE w:val="0"/>
        <w:autoSpaceDN w:val="0"/>
        <w:adjustRightInd w:val="0"/>
        <w:snapToGrid w:val="0"/>
        <w:spacing w:line="480" w:lineRule="exact"/>
        <w:ind w:firstLine="560"/>
        <w:rPr>
          <w:rFonts w:hint="default"/>
          <w:color w:val="auto"/>
          <w:sz w:val="24"/>
          <w:highlight w:val="none"/>
          <w:lang w:val="en-US"/>
        </w:rPr>
      </w:pPr>
      <w:r>
        <w:rPr>
          <w:color w:val="auto"/>
          <w:sz w:val="24"/>
          <w:highlight w:val="none"/>
        </w:rPr>
        <w:t>磋商报价得分=（磋商基准价/最后报价）×</w:t>
      </w:r>
      <w:r>
        <w:rPr>
          <w:rFonts w:hint="eastAsia"/>
          <w:color w:val="auto"/>
          <w:sz w:val="24"/>
          <w:highlight w:val="none"/>
          <w:lang w:val="en-US" w:eastAsia="zh-CN"/>
        </w:rPr>
        <w:t>30</w:t>
      </w:r>
    </w:p>
    <w:p w14:paraId="214C46C1">
      <w:pPr>
        <w:autoSpaceDE w:val="0"/>
        <w:autoSpaceDN w:val="0"/>
        <w:adjustRightInd w:val="0"/>
        <w:snapToGrid w:val="0"/>
        <w:spacing w:line="480" w:lineRule="exact"/>
        <w:ind w:firstLine="560"/>
        <w:rPr>
          <w:rFonts w:hint="eastAsia" w:eastAsia="宋体"/>
          <w:color w:val="auto"/>
          <w:sz w:val="24"/>
          <w:highlight w:val="none"/>
          <w:lang w:eastAsia="zh-CN"/>
        </w:rPr>
      </w:pPr>
      <w:r>
        <w:rPr>
          <w:color w:val="auto"/>
          <w:sz w:val="24"/>
          <w:highlight w:val="none"/>
        </w:rPr>
        <w:t>项目评审过程中，不得去掉最后报价中的最高报价和最低报价。分值</w:t>
      </w:r>
      <w:r>
        <w:rPr>
          <w:rFonts w:hint="eastAsia"/>
          <w:color w:val="auto"/>
          <w:sz w:val="24"/>
          <w:highlight w:val="none"/>
          <w:lang w:val="en-US" w:eastAsia="zh-CN"/>
        </w:rPr>
        <w:t>第三位四舍五入后</w:t>
      </w:r>
      <w:r>
        <w:rPr>
          <w:color w:val="auto"/>
          <w:sz w:val="24"/>
          <w:highlight w:val="none"/>
        </w:rPr>
        <w:t>保留小数点两位</w:t>
      </w:r>
      <w:r>
        <w:rPr>
          <w:rFonts w:hint="eastAsia"/>
          <w:color w:val="auto"/>
          <w:sz w:val="24"/>
          <w:highlight w:val="none"/>
          <w:lang w:eastAsia="zh-CN"/>
        </w:rPr>
        <w:t>。</w:t>
      </w:r>
      <w:r>
        <w:rPr>
          <w:rFonts w:hint="eastAsia"/>
          <w:b/>
          <w:bCs/>
          <w:color w:val="auto"/>
          <w:sz w:val="24"/>
          <w:highlight w:val="none"/>
          <w:lang w:eastAsia="zh-CN"/>
        </w:rPr>
        <w:t>最后报价不得高于各自供应商首次报价，否则作无效标处理。</w:t>
      </w:r>
    </w:p>
    <w:p w14:paraId="744FEB97">
      <w:pPr>
        <w:snapToGrid w:val="0"/>
        <w:spacing w:line="480" w:lineRule="exact"/>
        <w:ind w:firstLine="555"/>
        <w:rPr>
          <w:b/>
          <w:color w:val="auto"/>
          <w:sz w:val="24"/>
          <w:highlight w:val="none"/>
        </w:rPr>
      </w:pPr>
      <w:r>
        <w:rPr>
          <w:rFonts w:hint="eastAsia"/>
          <w:b/>
          <w:color w:val="auto"/>
          <w:sz w:val="24"/>
          <w:highlight w:val="none"/>
        </w:rPr>
        <w:t>六</w:t>
      </w:r>
      <w:r>
        <w:rPr>
          <w:b/>
          <w:color w:val="auto"/>
          <w:sz w:val="24"/>
          <w:highlight w:val="none"/>
        </w:rPr>
        <w:t>、变更为其他方式采购的情形</w:t>
      </w:r>
    </w:p>
    <w:p w14:paraId="7E9C8AF5">
      <w:pPr>
        <w:autoSpaceDE w:val="0"/>
        <w:autoSpaceDN w:val="0"/>
        <w:adjustRightInd w:val="0"/>
        <w:snapToGrid w:val="0"/>
        <w:spacing w:line="480" w:lineRule="exact"/>
        <w:ind w:firstLine="480" w:firstLineChars="200"/>
        <w:rPr>
          <w:color w:val="auto"/>
          <w:sz w:val="24"/>
          <w:highlight w:val="none"/>
          <w:lang w:val="zh-CN"/>
        </w:rPr>
      </w:pPr>
      <w:r>
        <w:rPr>
          <w:color w:val="auto"/>
          <w:sz w:val="24"/>
          <w:highlight w:val="none"/>
        </w:rPr>
        <w:t>提交响应文件截止时间时参加磋商的供应商不足3家的，及磋商中出现符合专业条件的供应商或对磋商文件作实质响应的供应商不足3家（规定可以2家的情形除外），除采购任务取消外，磋商人报告</w:t>
      </w:r>
      <w:r>
        <w:rPr>
          <w:rFonts w:hint="eastAsia"/>
          <w:color w:val="auto"/>
          <w:sz w:val="24"/>
          <w:highlight w:val="none"/>
        </w:rPr>
        <w:t>上级</w:t>
      </w:r>
      <w:r>
        <w:rPr>
          <w:color w:val="auto"/>
          <w:sz w:val="24"/>
          <w:highlight w:val="none"/>
        </w:rPr>
        <w:t>部门，视情采取其他方式采购。</w:t>
      </w:r>
      <w:r>
        <w:rPr>
          <w:color w:val="auto"/>
          <w:sz w:val="24"/>
          <w:highlight w:val="none"/>
          <w:lang w:val="zh-CN"/>
        </w:rPr>
        <w:t>磋商文件中对供应商资质、技术等要求，将作为</w:t>
      </w:r>
      <w:r>
        <w:rPr>
          <w:color w:val="auto"/>
          <w:sz w:val="24"/>
          <w:highlight w:val="none"/>
        </w:rPr>
        <w:t>其他</w:t>
      </w:r>
      <w:r>
        <w:rPr>
          <w:color w:val="auto"/>
          <w:sz w:val="24"/>
          <w:highlight w:val="none"/>
          <w:lang w:val="zh-CN"/>
        </w:rPr>
        <w:t>方式采购的基本要求和依据。原已经参加磋商并符合要求的供应商，根据自愿原则，参加</w:t>
      </w:r>
      <w:r>
        <w:rPr>
          <w:color w:val="auto"/>
          <w:sz w:val="24"/>
          <w:highlight w:val="none"/>
        </w:rPr>
        <w:t>其他</w:t>
      </w:r>
      <w:r>
        <w:rPr>
          <w:color w:val="auto"/>
          <w:sz w:val="24"/>
          <w:highlight w:val="none"/>
          <w:lang w:val="zh-CN"/>
        </w:rPr>
        <w:t>方式采购。</w:t>
      </w:r>
    </w:p>
    <w:p w14:paraId="17508D6A">
      <w:pPr>
        <w:pStyle w:val="16"/>
        <w:snapToGrid w:val="0"/>
        <w:spacing w:line="480" w:lineRule="exact"/>
        <w:ind w:firstLine="496"/>
        <w:contextualSpacing/>
        <w:rPr>
          <w:rFonts w:ascii="Times New Roman" w:hAnsi="Times New Roman" w:eastAsia="宋体"/>
          <w:color w:val="auto"/>
          <w:sz w:val="24"/>
          <w:szCs w:val="24"/>
          <w:highlight w:val="none"/>
        </w:rPr>
      </w:pPr>
      <w:r>
        <w:rPr>
          <w:rFonts w:hint="eastAsia" w:ascii="Times New Roman" w:hAnsi="Times New Roman" w:eastAsia="宋体"/>
          <w:b/>
          <w:color w:val="auto"/>
          <w:sz w:val="24"/>
          <w:szCs w:val="24"/>
          <w:highlight w:val="none"/>
        </w:rPr>
        <w:t>七</w:t>
      </w:r>
      <w:r>
        <w:rPr>
          <w:rFonts w:ascii="Times New Roman" w:hAnsi="Times New Roman" w:eastAsia="宋体"/>
          <w:b/>
          <w:color w:val="auto"/>
          <w:sz w:val="24"/>
          <w:szCs w:val="24"/>
          <w:highlight w:val="none"/>
        </w:rPr>
        <w:t>、出现下列情形之一的，竞争性磋商采购活动终止，发布项目终止公告并说明原因，重新开展采购活动：</w:t>
      </w:r>
    </w:p>
    <w:p w14:paraId="17726BDF">
      <w:pPr>
        <w:pStyle w:val="16"/>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（一）因情况变化，不再符合规定的竞争性磋商采购方式适用情形的；</w:t>
      </w:r>
    </w:p>
    <w:p w14:paraId="697EAFF5">
      <w:pPr>
        <w:pStyle w:val="16"/>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（二）出现影响采购公正的违法、违规行为的；</w:t>
      </w:r>
    </w:p>
    <w:p w14:paraId="54264F24">
      <w:pPr>
        <w:pStyle w:val="16"/>
        <w:snapToGrid w:val="0"/>
        <w:spacing w:line="480" w:lineRule="exact"/>
        <w:ind w:firstLine="480" w:firstLineChars="200"/>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（三）在采购过程中符合要求的供应商或者报价未超过采购预算的供应商不足3家的（市场竞争不充分的科研项目，以及需要扶持的科技成果转化项目除外）。</w:t>
      </w:r>
    </w:p>
    <w:p w14:paraId="72A204BB">
      <w:pPr>
        <w:snapToGrid w:val="0"/>
        <w:spacing w:line="480" w:lineRule="exact"/>
        <w:ind w:firstLine="570"/>
        <w:rPr>
          <w:b/>
          <w:color w:val="auto"/>
          <w:kern w:val="0"/>
          <w:sz w:val="24"/>
          <w:highlight w:val="none"/>
        </w:rPr>
      </w:pPr>
      <w:r>
        <w:rPr>
          <w:rFonts w:hint="eastAsia"/>
          <w:b/>
          <w:color w:val="auto"/>
          <w:sz w:val="24"/>
          <w:highlight w:val="none"/>
          <w:lang w:val="zh-CN"/>
        </w:rPr>
        <w:t>八</w:t>
      </w:r>
      <w:r>
        <w:rPr>
          <w:b/>
          <w:color w:val="auto"/>
          <w:sz w:val="24"/>
          <w:highlight w:val="none"/>
          <w:lang w:val="zh-CN"/>
        </w:rPr>
        <w:t>、</w:t>
      </w:r>
      <w:r>
        <w:rPr>
          <w:rFonts w:hint="eastAsia"/>
          <w:b/>
          <w:color w:val="auto"/>
          <w:kern w:val="0"/>
          <w:sz w:val="24"/>
          <w:highlight w:val="none"/>
        </w:rPr>
        <w:t>成交</w:t>
      </w:r>
      <w:r>
        <w:rPr>
          <w:b/>
          <w:color w:val="auto"/>
          <w:kern w:val="0"/>
          <w:sz w:val="24"/>
          <w:highlight w:val="none"/>
        </w:rPr>
        <w:t>人的确定</w:t>
      </w:r>
    </w:p>
    <w:p w14:paraId="4CF4F2FC">
      <w:pPr>
        <w:snapToGrid w:val="0"/>
        <w:spacing w:line="480" w:lineRule="exact"/>
        <w:ind w:firstLine="570"/>
        <w:rPr>
          <w:bCs/>
          <w:color w:val="auto"/>
          <w:sz w:val="24"/>
          <w:highlight w:val="none"/>
        </w:rPr>
      </w:pPr>
      <w:r>
        <w:rPr>
          <w:rFonts w:hint="eastAsia"/>
          <w:bCs/>
          <w:color w:val="auto"/>
          <w:sz w:val="24"/>
          <w:highlight w:val="none"/>
        </w:rPr>
        <w:t>磋商小组</w:t>
      </w:r>
      <w:r>
        <w:rPr>
          <w:rFonts w:hint="eastAsia"/>
          <w:bCs/>
          <w:color w:val="auto"/>
          <w:sz w:val="24"/>
          <w:highlight w:val="none"/>
          <w:lang w:eastAsia="zh-CN"/>
        </w:rPr>
        <w:t>认为</w:t>
      </w:r>
      <w:r>
        <w:rPr>
          <w:rFonts w:hint="eastAsia"/>
          <w:bCs/>
          <w:color w:val="auto"/>
          <w:sz w:val="24"/>
          <w:highlight w:val="none"/>
          <w:lang w:val="en-US" w:eastAsia="zh-CN"/>
        </w:rPr>
        <w:t>供应商</w:t>
      </w:r>
      <w:r>
        <w:rPr>
          <w:bCs/>
          <w:color w:val="auto"/>
          <w:sz w:val="24"/>
          <w:highlight w:val="none"/>
        </w:rPr>
        <w:t>的报价明显低于其他通过符合性审查</w:t>
      </w:r>
      <w:r>
        <w:rPr>
          <w:rFonts w:hint="eastAsia"/>
          <w:bCs/>
          <w:color w:val="auto"/>
          <w:sz w:val="24"/>
          <w:highlight w:val="none"/>
          <w:lang w:val="en-US" w:eastAsia="zh-CN"/>
        </w:rPr>
        <w:t>供应商</w:t>
      </w:r>
      <w:r>
        <w:rPr>
          <w:bCs/>
          <w:color w:val="auto"/>
          <w:sz w:val="24"/>
          <w:highlight w:val="none"/>
        </w:rPr>
        <w:t>的报价，有可能影响产品质量或者不能诚信履约的，应当要求其在合理的时间内提供书面说明，必要时提交相关证明材料；</w:t>
      </w:r>
      <w:r>
        <w:rPr>
          <w:rFonts w:hint="eastAsia"/>
          <w:bCs/>
          <w:color w:val="auto"/>
          <w:sz w:val="24"/>
          <w:highlight w:val="none"/>
          <w:lang w:val="en-US" w:eastAsia="zh-CN"/>
        </w:rPr>
        <w:t>供应商</w:t>
      </w:r>
      <w:r>
        <w:rPr>
          <w:bCs/>
          <w:color w:val="auto"/>
          <w:sz w:val="24"/>
          <w:highlight w:val="none"/>
        </w:rPr>
        <w:t>不能证明其报价合理性的，</w:t>
      </w:r>
      <w:r>
        <w:rPr>
          <w:rFonts w:hint="eastAsia"/>
          <w:bCs/>
          <w:color w:val="auto"/>
          <w:sz w:val="24"/>
          <w:highlight w:val="none"/>
        </w:rPr>
        <w:t>磋商小组</w:t>
      </w:r>
      <w:r>
        <w:rPr>
          <w:bCs/>
          <w:color w:val="auto"/>
          <w:sz w:val="24"/>
          <w:highlight w:val="none"/>
        </w:rPr>
        <w:t>应当将其作为无效</w:t>
      </w:r>
      <w:r>
        <w:rPr>
          <w:rFonts w:hint="eastAsia"/>
          <w:bCs/>
          <w:color w:val="auto"/>
          <w:sz w:val="24"/>
          <w:highlight w:val="none"/>
          <w:lang w:val="en-US" w:eastAsia="zh-CN"/>
        </w:rPr>
        <w:t>响应</w:t>
      </w:r>
      <w:r>
        <w:rPr>
          <w:bCs/>
          <w:color w:val="auto"/>
          <w:sz w:val="24"/>
          <w:highlight w:val="none"/>
        </w:rPr>
        <w:t>处理。</w:t>
      </w:r>
    </w:p>
    <w:p w14:paraId="6158E60D">
      <w:pPr>
        <w:snapToGrid w:val="0"/>
        <w:spacing w:line="480" w:lineRule="exact"/>
        <w:ind w:firstLine="570"/>
        <w:rPr>
          <w:bCs/>
          <w:color w:val="auto"/>
          <w:sz w:val="24"/>
          <w:highlight w:val="none"/>
        </w:rPr>
      </w:pPr>
      <w:r>
        <w:rPr>
          <w:rFonts w:hint="eastAsia"/>
          <w:bCs/>
          <w:color w:val="auto"/>
          <w:sz w:val="24"/>
          <w:highlight w:val="none"/>
        </w:rPr>
        <w:t>磋商小组</w:t>
      </w:r>
      <w:r>
        <w:rPr>
          <w:bCs/>
          <w:color w:val="auto"/>
          <w:sz w:val="24"/>
          <w:highlight w:val="none"/>
        </w:rPr>
        <w:t>对</w:t>
      </w:r>
      <w:r>
        <w:rPr>
          <w:rFonts w:hint="eastAsia" w:cs="Times New Roman"/>
          <w:color w:val="auto"/>
          <w:sz w:val="24"/>
          <w:highlight w:val="none"/>
          <w:lang w:val="en-US" w:eastAsia="zh-CN"/>
        </w:rPr>
        <w:t>成交</w:t>
      </w:r>
      <w:r>
        <w:rPr>
          <w:bCs/>
          <w:color w:val="auto"/>
          <w:sz w:val="24"/>
          <w:highlight w:val="none"/>
        </w:rPr>
        <w:t>候选人报价总表和明细表进行审核，应审核供应商</w:t>
      </w:r>
      <w:r>
        <w:rPr>
          <w:rFonts w:hint="eastAsia"/>
          <w:bCs/>
          <w:color w:val="auto"/>
          <w:sz w:val="24"/>
          <w:highlight w:val="none"/>
          <w:lang w:val="en-US" w:eastAsia="zh-CN"/>
        </w:rPr>
        <w:t>响应</w:t>
      </w:r>
      <w:r>
        <w:rPr>
          <w:bCs/>
          <w:color w:val="auto"/>
          <w:sz w:val="24"/>
          <w:highlight w:val="none"/>
        </w:rPr>
        <w:t>报价是否前后一致、大小写金额是否一致、总价金额与单价汇总金额是否一致。对过高过低报价的并作为</w:t>
      </w:r>
      <w:r>
        <w:rPr>
          <w:rFonts w:hint="eastAsia" w:cs="Times New Roman"/>
          <w:color w:val="auto"/>
          <w:sz w:val="24"/>
          <w:highlight w:val="none"/>
          <w:lang w:val="en-US" w:eastAsia="zh-CN"/>
        </w:rPr>
        <w:t>成交</w:t>
      </w:r>
      <w:r>
        <w:rPr>
          <w:bCs/>
          <w:color w:val="auto"/>
          <w:sz w:val="24"/>
          <w:highlight w:val="none"/>
        </w:rPr>
        <w:t>候选人的，应重点审核报价明细表</w:t>
      </w:r>
      <w:r>
        <w:rPr>
          <w:rFonts w:hint="eastAsia"/>
          <w:bCs/>
          <w:color w:val="auto"/>
          <w:sz w:val="24"/>
          <w:highlight w:val="none"/>
        </w:rPr>
        <w:t>是</w:t>
      </w:r>
      <w:r>
        <w:rPr>
          <w:bCs/>
          <w:color w:val="auto"/>
          <w:sz w:val="24"/>
          <w:highlight w:val="none"/>
        </w:rPr>
        <w:t>否</w:t>
      </w:r>
      <w:r>
        <w:rPr>
          <w:rFonts w:hint="eastAsia"/>
          <w:bCs/>
          <w:color w:val="auto"/>
          <w:sz w:val="24"/>
          <w:highlight w:val="none"/>
        </w:rPr>
        <w:t>有</w:t>
      </w:r>
      <w:r>
        <w:rPr>
          <w:bCs/>
          <w:color w:val="auto"/>
          <w:sz w:val="24"/>
          <w:highlight w:val="none"/>
        </w:rPr>
        <w:t>重大重复报价或漏项报价等情况，一经发现，现场请</w:t>
      </w:r>
      <w:r>
        <w:rPr>
          <w:rFonts w:hint="eastAsia" w:cs="Times New Roman"/>
          <w:color w:val="auto"/>
          <w:sz w:val="24"/>
          <w:highlight w:val="none"/>
          <w:lang w:val="en-US" w:eastAsia="zh-CN"/>
        </w:rPr>
        <w:t>成交</w:t>
      </w:r>
      <w:r>
        <w:rPr>
          <w:bCs/>
          <w:color w:val="auto"/>
          <w:sz w:val="24"/>
          <w:highlight w:val="none"/>
        </w:rPr>
        <w:t>候选人予以澄清，明显过错或不能澄清的，经超半数以上评委认定，有权取消供应商</w:t>
      </w:r>
      <w:r>
        <w:rPr>
          <w:rFonts w:hint="eastAsia" w:cs="Times New Roman"/>
          <w:color w:val="auto"/>
          <w:sz w:val="24"/>
          <w:highlight w:val="none"/>
          <w:lang w:val="en-US" w:eastAsia="zh-CN"/>
        </w:rPr>
        <w:t>成交</w:t>
      </w:r>
      <w:r>
        <w:rPr>
          <w:bCs/>
          <w:color w:val="auto"/>
          <w:sz w:val="24"/>
          <w:highlight w:val="none"/>
        </w:rPr>
        <w:t>候选人资格。</w:t>
      </w:r>
    </w:p>
    <w:p w14:paraId="483DDC67">
      <w:pPr>
        <w:adjustRightInd w:val="0"/>
        <w:snapToGrid w:val="0"/>
        <w:spacing w:line="500" w:lineRule="exact"/>
        <w:ind w:firstLine="570"/>
        <w:rPr>
          <w:color w:val="auto"/>
          <w:sz w:val="24"/>
          <w:highlight w:val="none"/>
        </w:rPr>
      </w:pPr>
      <w:r>
        <w:rPr>
          <w:rFonts w:hint="eastAsia"/>
          <w:bCs/>
          <w:color w:val="auto"/>
          <w:sz w:val="24"/>
          <w:highlight w:val="none"/>
        </w:rPr>
        <w:t>磋商小组</w:t>
      </w:r>
      <w:r>
        <w:rPr>
          <w:color w:val="auto"/>
          <w:sz w:val="24"/>
          <w:highlight w:val="none"/>
        </w:rPr>
        <w:t>会汇总各评委评分后，按照得分从高到低的顺序推荐三名</w:t>
      </w:r>
      <w:r>
        <w:rPr>
          <w:rFonts w:hint="eastAsia" w:cs="Times New Roman"/>
          <w:color w:val="auto"/>
          <w:sz w:val="24"/>
          <w:highlight w:val="none"/>
          <w:lang w:val="en-US" w:eastAsia="zh-CN"/>
        </w:rPr>
        <w:t>成交</w:t>
      </w:r>
      <w:r>
        <w:rPr>
          <w:color w:val="auto"/>
          <w:sz w:val="24"/>
          <w:highlight w:val="none"/>
        </w:rPr>
        <w:t>候选人，并编写</w:t>
      </w:r>
      <w:r>
        <w:rPr>
          <w:rFonts w:hint="eastAsia"/>
          <w:color w:val="auto"/>
          <w:sz w:val="24"/>
          <w:highlight w:val="none"/>
          <w:lang w:val="en-US" w:eastAsia="zh-CN"/>
        </w:rPr>
        <w:t>评审</w:t>
      </w:r>
      <w:r>
        <w:rPr>
          <w:color w:val="auto"/>
          <w:sz w:val="24"/>
          <w:highlight w:val="none"/>
        </w:rPr>
        <w:t>报告。</w:t>
      </w:r>
    </w:p>
    <w:p w14:paraId="0DC00128">
      <w:pPr>
        <w:autoSpaceDE w:val="0"/>
        <w:autoSpaceDN w:val="0"/>
        <w:adjustRightInd w:val="0"/>
        <w:snapToGrid w:val="0"/>
        <w:spacing w:line="480" w:lineRule="exact"/>
        <w:ind w:left="-178" w:right="210" w:firstLine="636"/>
        <w:rPr>
          <w:b/>
          <w:color w:val="auto"/>
          <w:sz w:val="24"/>
          <w:highlight w:val="none"/>
          <w:lang w:val="zh-CN"/>
        </w:rPr>
      </w:pPr>
      <w:r>
        <w:rPr>
          <w:b/>
          <w:color w:val="auto"/>
          <w:sz w:val="24"/>
          <w:highlight w:val="none"/>
        </w:rPr>
        <w:t>采购人</w:t>
      </w:r>
      <w:r>
        <w:rPr>
          <w:bCs/>
          <w:color w:val="auto"/>
          <w:sz w:val="24"/>
          <w:highlight w:val="none"/>
        </w:rPr>
        <w:t>在</w:t>
      </w:r>
      <w:r>
        <w:rPr>
          <w:rFonts w:hint="eastAsia"/>
          <w:bCs/>
          <w:color w:val="auto"/>
          <w:sz w:val="24"/>
          <w:highlight w:val="none"/>
          <w:lang w:val="en-US" w:eastAsia="zh-CN"/>
        </w:rPr>
        <w:t>评审</w:t>
      </w:r>
      <w:r>
        <w:rPr>
          <w:bCs/>
          <w:color w:val="auto"/>
          <w:sz w:val="24"/>
          <w:highlight w:val="none"/>
        </w:rPr>
        <w:t>报告确定的</w:t>
      </w:r>
      <w:r>
        <w:rPr>
          <w:rFonts w:hint="eastAsia"/>
          <w:bCs/>
          <w:color w:val="auto"/>
          <w:sz w:val="24"/>
          <w:highlight w:val="none"/>
        </w:rPr>
        <w:t>成交</w:t>
      </w:r>
      <w:r>
        <w:rPr>
          <w:bCs/>
          <w:color w:val="auto"/>
          <w:sz w:val="24"/>
          <w:highlight w:val="none"/>
        </w:rPr>
        <w:t>候选人名单中按顺序确定</w:t>
      </w:r>
      <w:r>
        <w:rPr>
          <w:rFonts w:hint="eastAsia" w:cs="Times New Roman"/>
          <w:color w:val="auto"/>
          <w:sz w:val="24"/>
          <w:highlight w:val="none"/>
          <w:lang w:val="en-US" w:eastAsia="zh-CN"/>
        </w:rPr>
        <w:t>成交</w:t>
      </w:r>
      <w:r>
        <w:rPr>
          <w:bCs/>
          <w:color w:val="auto"/>
          <w:sz w:val="24"/>
          <w:highlight w:val="none"/>
        </w:rPr>
        <w:t>人。</w:t>
      </w:r>
      <w:r>
        <w:rPr>
          <w:rFonts w:hint="eastAsia" w:cs="Times New Roman"/>
          <w:color w:val="auto"/>
          <w:sz w:val="24"/>
          <w:highlight w:val="none"/>
          <w:lang w:val="en-US" w:eastAsia="zh-CN"/>
        </w:rPr>
        <w:t>成交</w:t>
      </w:r>
      <w:r>
        <w:rPr>
          <w:bCs/>
          <w:color w:val="auto"/>
          <w:sz w:val="24"/>
          <w:highlight w:val="none"/>
        </w:rPr>
        <w:t>候选人并列的，由采购人或者采购人委托</w:t>
      </w:r>
      <w:r>
        <w:rPr>
          <w:rFonts w:hint="eastAsia"/>
          <w:bCs/>
          <w:color w:val="auto"/>
          <w:sz w:val="24"/>
          <w:highlight w:val="none"/>
          <w:lang w:val="en-US" w:eastAsia="zh-CN"/>
        </w:rPr>
        <w:t>磋商小组</w:t>
      </w:r>
      <w:r>
        <w:rPr>
          <w:bCs/>
          <w:color w:val="auto"/>
          <w:sz w:val="24"/>
          <w:highlight w:val="none"/>
        </w:rPr>
        <w:t>按照现场抽签方式确定</w:t>
      </w:r>
      <w:r>
        <w:rPr>
          <w:rFonts w:hint="eastAsia" w:cs="Times New Roman"/>
          <w:color w:val="auto"/>
          <w:sz w:val="24"/>
          <w:highlight w:val="none"/>
          <w:lang w:val="en-US" w:eastAsia="zh-CN"/>
        </w:rPr>
        <w:t>成交</w:t>
      </w:r>
      <w:r>
        <w:rPr>
          <w:bCs/>
          <w:color w:val="auto"/>
          <w:sz w:val="24"/>
          <w:highlight w:val="none"/>
        </w:rPr>
        <w:t>人。</w:t>
      </w:r>
    </w:p>
    <w:p w14:paraId="183C2545">
      <w:pPr>
        <w:autoSpaceDE w:val="0"/>
        <w:autoSpaceDN w:val="0"/>
        <w:adjustRightInd w:val="0"/>
        <w:snapToGrid w:val="0"/>
        <w:spacing w:line="480" w:lineRule="exact"/>
        <w:ind w:left="-178" w:right="210" w:firstLine="636"/>
        <w:rPr>
          <w:b/>
          <w:color w:val="auto"/>
          <w:sz w:val="24"/>
          <w:highlight w:val="none"/>
          <w:lang w:val="zh-CN"/>
        </w:rPr>
      </w:pPr>
      <w:r>
        <w:rPr>
          <w:rFonts w:hint="eastAsia"/>
          <w:b/>
          <w:color w:val="auto"/>
          <w:sz w:val="24"/>
          <w:highlight w:val="none"/>
          <w:lang w:val="en-US" w:eastAsia="zh-CN"/>
        </w:rPr>
        <w:t>九、</w:t>
      </w:r>
      <w:r>
        <w:rPr>
          <w:b/>
          <w:color w:val="auto"/>
          <w:sz w:val="24"/>
          <w:highlight w:val="none"/>
          <w:lang w:val="zh-CN"/>
        </w:rPr>
        <w:t>成交通知</w:t>
      </w:r>
    </w:p>
    <w:p w14:paraId="368201F3">
      <w:pPr>
        <w:snapToGrid w:val="0"/>
        <w:spacing w:line="480" w:lineRule="exact"/>
        <w:ind w:firstLine="480" w:firstLineChars="200"/>
        <w:rPr>
          <w:color w:val="auto"/>
          <w:sz w:val="24"/>
          <w:highlight w:val="none"/>
        </w:rPr>
      </w:pPr>
      <w:r>
        <w:rPr>
          <w:color w:val="auto"/>
          <w:sz w:val="24"/>
          <w:highlight w:val="none"/>
        </w:rPr>
        <w:t>成交结果在</w:t>
      </w:r>
      <w:r>
        <w:rPr>
          <w:rFonts w:hint="eastAsia"/>
          <w:color w:val="auto"/>
          <w:sz w:val="24"/>
          <w:highlight w:val="none"/>
          <w:lang w:val="en-US" w:eastAsia="zh-CN"/>
        </w:rPr>
        <w:t>南通网、南通市公共资源交易网</w:t>
      </w:r>
      <w:r>
        <w:rPr>
          <w:color w:val="auto"/>
          <w:sz w:val="24"/>
          <w:highlight w:val="none"/>
        </w:rPr>
        <w:t>公</w:t>
      </w:r>
      <w:r>
        <w:rPr>
          <w:color w:val="auto"/>
          <w:sz w:val="24"/>
          <w:highlight w:val="none"/>
        </w:rPr>
        <w:t>告，公告期限为1个工作日。《成交通知书》一经发出，采购人改变成交结果，或者成交供应商放弃成交的，各自承担相应的法律责任。《成交通知书》是采购合同的组成部分。</w:t>
      </w:r>
    </w:p>
    <w:p w14:paraId="43895D06">
      <w:pPr>
        <w:autoSpaceDE w:val="0"/>
        <w:autoSpaceDN w:val="0"/>
        <w:adjustRightInd w:val="0"/>
        <w:snapToGrid w:val="0"/>
        <w:spacing w:line="480" w:lineRule="exact"/>
        <w:ind w:left="-178" w:right="210" w:firstLine="636"/>
        <w:rPr>
          <w:rFonts w:hint="eastAsia" w:ascii="Times New Roman" w:hAnsi="Times New Roman" w:eastAsia="宋体" w:cs="Times New Roman"/>
          <w:b/>
          <w:color w:val="auto"/>
          <w:sz w:val="24"/>
          <w:highlight w:val="none"/>
          <w:lang w:val="en-US" w:eastAsia="zh-CN"/>
        </w:rPr>
      </w:pPr>
      <w:r>
        <w:rPr>
          <w:rFonts w:hint="eastAsia" w:ascii="Times New Roman" w:hAnsi="Times New Roman" w:eastAsia="宋体" w:cs="Times New Roman"/>
          <w:b/>
          <w:color w:val="auto"/>
          <w:sz w:val="24"/>
          <w:highlight w:val="none"/>
          <w:lang w:val="en-US" w:eastAsia="zh-CN"/>
        </w:rPr>
        <w:t>十、</w:t>
      </w:r>
      <w:r>
        <w:rPr>
          <w:rFonts w:ascii="Times New Roman" w:hAnsi="Times New Roman" w:eastAsia="宋体" w:cs="Times New Roman"/>
          <w:b/>
          <w:color w:val="auto"/>
          <w:sz w:val="24"/>
          <w:highlight w:val="none"/>
          <w:lang w:val="zh-CN"/>
        </w:rPr>
        <w:t>发放</w:t>
      </w:r>
      <w:r>
        <w:rPr>
          <w:rFonts w:hint="eastAsia" w:ascii="Times New Roman" w:hAnsi="Times New Roman" w:eastAsia="宋体" w:cs="Times New Roman"/>
          <w:b/>
          <w:color w:val="auto"/>
          <w:sz w:val="24"/>
          <w:highlight w:val="none"/>
          <w:lang w:val="zh-CN"/>
        </w:rPr>
        <w:t>成交</w:t>
      </w:r>
      <w:r>
        <w:rPr>
          <w:rFonts w:ascii="Times New Roman" w:hAnsi="Times New Roman" w:eastAsia="宋体" w:cs="Times New Roman"/>
          <w:b/>
          <w:color w:val="auto"/>
          <w:sz w:val="24"/>
          <w:highlight w:val="none"/>
          <w:lang w:val="zh-CN"/>
        </w:rPr>
        <w:t>通知书</w:t>
      </w:r>
    </w:p>
    <w:p w14:paraId="3FA443C5">
      <w:pPr>
        <w:autoSpaceDE w:val="0"/>
        <w:autoSpaceDN w:val="0"/>
        <w:adjustRightInd w:val="0"/>
        <w:snapToGrid w:val="0"/>
        <w:spacing w:line="480" w:lineRule="exact"/>
        <w:ind w:left="-178" w:right="210" w:firstLine="636"/>
        <w:rPr>
          <w:rFonts w:hint="eastAsia" w:ascii="Times New Roman" w:hAnsi="Times New Roman" w:eastAsia="宋体" w:cs="Times New Roman"/>
          <w:b w:val="0"/>
          <w:bCs/>
          <w:color w:val="auto"/>
          <w:sz w:val="24"/>
          <w:highlight w:val="none"/>
          <w:lang w:val="en-US" w:eastAsia="zh-CN"/>
        </w:rPr>
      </w:pPr>
      <w:r>
        <w:rPr>
          <w:rFonts w:hint="eastAsia" w:ascii="Times New Roman" w:hAnsi="Times New Roman" w:eastAsia="宋体" w:cs="Times New Roman"/>
          <w:b w:val="0"/>
          <w:bCs/>
          <w:color w:val="auto"/>
          <w:sz w:val="24"/>
          <w:highlight w:val="none"/>
          <w:lang w:val="en-US" w:eastAsia="zh-CN"/>
        </w:rPr>
        <w:t>成交通知书发放条件和途径：发布</w:t>
      </w:r>
      <w:r>
        <w:rPr>
          <w:rFonts w:hint="eastAsia" w:cs="Times New Roman"/>
          <w:color w:val="auto"/>
          <w:sz w:val="24"/>
          <w:highlight w:val="none"/>
          <w:lang w:val="en-US" w:eastAsia="zh-CN"/>
        </w:rPr>
        <w:t>成交</w:t>
      </w:r>
      <w:r>
        <w:rPr>
          <w:rFonts w:hint="eastAsia" w:ascii="Times New Roman" w:hAnsi="Times New Roman" w:eastAsia="宋体" w:cs="Times New Roman"/>
          <w:b w:val="0"/>
          <w:bCs/>
          <w:color w:val="auto"/>
          <w:sz w:val="24"/>
          <w:highlight w:val="none"/>
          <w:lang w:val="en-US" w:eastAsia="zh-CN"/>
        </w:rPr>
        <w:t>结果公告的同时，采购人或者采购代理机构应当向</w:t>
      </w:r>
      <w:r>
        <w:rPr>
          <w:rFonts w:hint="eastAsia" w:cs="Times New Roman"/>
          <w:color w:val="auto"/>
          <w:sz w:val="24"/>
          <w:highlight w:val="none"/>
          <w:lang w:val="en-US" w:eastAsia="zh-CN"/>
        </w:rPr>
        <w:t>成交</w:t>
      </w:r>
      <w:r>
        <w:rPr>
          <w:rFonts w:hint="eastAsia" w:ascii="Times New Roman" w:hAnsi="Times New Roman" w:eastAsia="宋体" w:cs="Times New Roman"/>
          <w:b w:val="0"/>
          <w:bCs/>
          <w:color w:val="auto"/>
          <w:sz w:val="24"/>
          <w:highlight w:val="none"/>
          <w:lang w:val="en-US" w:eastAsia="zh-CN"/>
        </w:rPr>
        <w:t>人发放</w:t>
      </w:r>
      <w:r>
        <w:rPr>
          <w:rFonts w:hint="eastAsia" w:cs="Times New Roman"/>
          <w:color w:val="auto"/>
          <w:sz w:val="24"/>
          <w:highlight w:val="none"/>
          <w:lang w:val="en-US" w:eastAsia="zh-CN"/>
        </w:rPr>
        <w:t>成交</w:t>
      </w:r>
      <w:r>
        <w:rPr>
          <w:rFonts w:hint="eastAsia" w:ascii="Times New Roman" w:hAnsi="Times New Roman" w:eastAsia="宋体" w:cs="Times New Roman"/>
          <w:b w:val="0"/>
          <w:bCs/>
          <w:color w:val="auto"/>
          <w:sz w:val="24"/>
          <w:highlight w:val="none"/>
          <w:lang w:val="en-US" w:eastAsia="zh-CN"/>
        </w:rPr>
        <w:t>通知书。领取地址：</w:t>
      </w:r>
      <w:r>
        <w:rPr>
          <w:rFonts w:hint="eastAsia" w:ascii="Times New Roman" w:hAnsi="Times New Roman" w:eastAsia="宋体" w:cs="Times New Roman"/>
          <w:b w:val="0"/>
          <w:bCs/>
          <w:color w:val="auto"/>
          <w:sz w:val="24"/>
          <w:highlight w:val="none"/>
          <w:u w:val="single"/>
          <w:lang w:val="en-US" w:eastAsia="zh-CN"/>
        </w:rPr>
        <w:t>南通市星城路299号创源科技园3号楼5楼501室</w:t>
      </w:r>
      <w:r>
        <w:rPr>
          <w:rFonts w:hint="eastAsia" w:ascii="Times New Roman" w:hAnsi="Times New Roman" w:eastAsia="宋体" w:cs="Times New Roman"/>
          <w:b w:val="0"/>
          <w:bCs/>
          <w:color w:val="auto"/>
          <w:sz w:val="24"/>
          <w:highlight w:val="none"/>
          <w:lang w:val="en-US" w:eastAsia="zh-CN"/>
        </w:rPr>
        <w:t xml:space="preserve"> ，电话：</w:t>
      </w:r>
      <w:r>
        <w:rPr>
          <w:rFonts w:hint="eastAsia" w:cs="Times New Roman"/>
          <w:b w:val="0"/>
          <w:bCs/>
          <w:color w:val="auto"/>
          <w:sz w:val="24"/>
          <w:highlight w:val="none"/>
          <w:u w:val="single"/>
          <w:lang w:val="en-US" w:eastAsia="zh-CN"/>
        </w:rPr>
        <w:t>18012222810</w:t>
      </w:r>
      <w:r>
        <w:rPr>
          <w:rFonts w:hint="eastAsia" w:ascii="Times New Roman" w:hAnsi="Times New Roman" w:eastAsia="宋体" w:cs="Times New Roman"/>
          <w:b w:val="0"/>
          <w:bCs/>
          <w:color w:val="auto"/>
          <w:sz w:val="24"/>
          <w:highlight w:val="none"/>
          <w:lang w:val="en-US" w:eastAsia="zh-CN"/>
        </w:rPr>
        <w:t>。</w:t>
      </w:r>
    </w:p>
    <w:p w14:paraId="05E478A4">
      <w:pPr>
        <w:autoSpaceDE w:val="0"/>
        <w:autoSpaceDN w:val="0"/>
        <w:adjustRightInd w:val="0"/>
        <w:snapToGrid w:val="0"/>
        <w:spacing w:line="480" w:lineRule="exact"/>
        <w:ind w:left="-178" w:right="210" w:firstLine="636"/>
        <w:rPr>
          <w:rFonts w:hint="eastAsia" w:ascii="Times New Roman" w:hAnsi="Times New Roman" w:eastAsia="宋体" w:cs="Times New Roman"/>
          <w:b w:val="0"/>
          <w:bCs/>
          <w:color w:val="auto"/>
          <w:sz w:val="24"/>
          <w:highlight w:val="none"/>
          <w:lang w:val="en-US" w:eastAsia="zh-CN"/>
        </w:rPr>
      </w:pPr>
      <w:r>
        <w:rPr>
          <w:rFonts w:hint="eastAsia" w:cs="Times New Roman"/>
          <w:color w:val="auto"/>
          <w:sz w:val="24"/>
          <w:highlight w:val="none"/>
          <w:lang w:val="en-US" w:eastAsia="zh-CN"/>
        </w:rPr>
        <w:t>成交</w:t>
      </w:r>
      <w:r>
        <w:rPr>
          <w:rFonts w:hint="eastAsia" w:ascii="Times New Roman" w:hAnsi="Times New Roman" w:eastAsia="宋体" w:cs="Times New Roman"/>
          <w:b w:val="0"/>
          <w:bCs/>
          <w:color w:val="auto"/>
          <w:sz w:val="24"/>
          <w:highlight w:val="none"/>
          <w:lang w:val="en-US" w:eastAsia="zh-CN"/>
        </w:rPr>
        <w:t>通知书发出后，采购人不得违法改变成交结果，</w:t>
      </w:r>
      <w:r>
        <w:rPr>
          <w:rFonts w:hint="eastAsia" w:cs="Times New Roman"/>
          <w:color w:val="auto"/>
          <w:sz w:val="24"/>
          <w:highlight w:val="none"/>
          <w:lang w:val="en-US" w:eastAsia="zh-CN"/>
        </w:rPr>
        <w:t>成交</w:t>
      </w:r>
      <w:r>
        <w:rPr>
          <w:rFonts w:hint="eastAsia" w:ascii="Times New Roman" w:hAnsi="Times New Roman" w:eastAsia="宋体" w:cs="Times New Roman"/>
          <w:b w:val="0"/>
          <w:bCs/>
          <w:color w:val="auto"/>
          <w:sz w:val="24"/>
          <w:highlight w:val="none"/>
          <w:lang w:val="en-US" w:eastAsia="zh-CN"/>
        </w:rPr>
        <w:t>供应商无正当理由不得放弃</w:t>
      </w:r>
      <w:r>
        <w:rPr>
          <w:rFonts w:hint="eastAsia" w:cs="Times New Roman"/>
          <w:color w:val="auto"/>
          <w:sz w:val="24"/>
          <w:highlight w:val="none"/>
          <w:lang w:val="en-US" w:eastAsia="zh-CN"/>
        </w:rPr>
        <w:t>成交</w:t>
      </w:r>
      <w:r>
        <w:rPr>
          <w:rFonts w:hint="eastAsia" w:ascii="Times New Roman" w:hAnsi="Times New Roman" w:eastAsia="宋体" w:cs="Times New Roman"/>
          <w:b w:val="0"/>
          <w:bCs/>
          <w:color w:val="auto"/>
          <w:sz w:val="24"/>
          <w:highlight w:val="none"/>
          <w:lang w:val="en-US" w:eastAsia="zh-CN"/>
        </w:rPr>
        <w:t>。</w:t>
      </w:r>
    </w:p>
    <w:p w14:paraId="2EA4E6F6">
      <w:pPr>
        <w:snapToGrid w:val="0"/>
        <w:spacing w:line="480" w:lineRule="exact"/>
        <w:ind w:firstLine="477" w:firstLineChars="198"/>
        <w:rPr>
          <w:b/>
          <w:color w:val="auto"/>
          <w:sz w:val="24"/>
          <w:highlight w:val="none"/>
        </w:rPr>
      </w:pPr>
      <w:r>
        <w:rPr>
          <w:rFonts w:hint="eastAsia"/>
          <w:b/>
          <w:color w:val="auto"/>
          <w:sz w:val="24"/>
          <w:highlight w:val="none"/>
          <w:lang w:val="en-US" w:eastAsia="zh-CN"/>
        </w:rPr>
        <w:t>十一</w:t>
      </w:r>
      <w:r>
        <w:rPr>
          <w:b/>
          <w:color w:val="auto"/>
          <w:sz w:val="24"/>
          <w:highlight w:val="none"/>
        </w:rPr>
        <w:t>、其他注意事项</w:t>
      </w:r>
    </w:p>
    <w:p w14:paraId="07EF40BD">
      <w:pPr>
        <w:snapToGrid w:val="0"/>
        <w:spacing w:line="480" w:lineRule="exact"/>
        <w:ind w:firstLine="570"/>
        <w:rPr>
          <w:color w:val="auto"/>
          <w:sz w:val="24"/>
          <w:highlight w:val="none"/>
        </w:rPr>
      </w:pPr>
      <w:r>
        <w:rPr>
          <w:color w:val="auto"/>
          <w:sz w:val="24"/>
          <w:highlight w:val="none"/>
        </w:rPr>
        <w:t>1、在</w:t>
      </w:r>
      <w:r>
        <w:rPr>
          <w:rFonts w:hint="eastAsia"/>
          <w:color w:val="auto"/>
          <w:sz w:val="24"/>
          <w:highlight w:val="none"/>
          <w:lang w:val="en-US" w:eastAsia="zh-CN"/>
        </w:rPr>
        <w:t>采购活动过程中</w:t>
      </w:r>
      <w:r>
        <w:rPr>
          <w:color w:val="auto"/>
          <w:sz w:val="24"/>
          <w:highlight w:val="none"/>
        </w:rPr>
        <w:t>，</w:t>
      </w:r>
      <w:r>
        <w:rPr>
          <w:rFonts w:hint="eastAsia"/>
          <w:color w:val="auto"/>
          <w:sz w:val="24"/>
          <w:highlight w:val="none"/>
          <w:lang w:val="en-US" w:eastAsia="zh-CN"/>
        </w:rPr>
        <w:t>供应商</w:t>
      </w:r>
      <w:r>
        <w:rPr>
          <w:color w:val="auto"/>
          <w:sz w:val="24"/>
          <w:highlight w:val="none"/>
        </w:rPr>
        <w:t>不得向</w:t>
      </w:r>
      <w:r>
        <w:rPr>
          <w:rFonts w:hint="eastAsia"/>
          <w:bCs/>
          <w:color w:val="auto"/>
          <w:sz w:val="24"/>
          <w:highlight w:val="none"/>
        </w:rPr>
        <w:t>磋商小组</w:t>
      </w:r>
      <w:r>
        <w:rPr>
          <w:color w:val="auto"/>
          <w:sz w:val="24"/>
          <w:highlight w:val="none"/>
        </w:rPr>
        <w:t>询问情况，不得进行旨在影响</w:t>
      </w:r>
      <w:r>
        <w:rPr>
          <w:rFonts w:hint="eastAsia"/>
          <w:color w:val="auto"/>
          <w:sz w:val="24"/>
          <w:highlight w:val="none"/>
          <w:lang w:val="en-US" w:eastAsia="zh-CN"/>
        </w:rPr>
        <w:t>评审</w:t>
      </w:r>
      <w:r>
        <w:rPr>
          <w:color w:val="auto"/>
          <w:sz w:val="24"/>
          <w:highlight w:val="none"/>
        </w:rPr>
        <w:t>结果的活动。</w:t>
      </w:r>
    </w:p>
    <w:p w14:paraId="0594D99C">
      <w:pPr>
        <w:snapToGrid w:val="0"/>
        <w:spacing w:line="480" w:lineRule="exact"/>
        <w:ind w:firstLine="570"/>
        <w:rPr>
          <w:color w:val="auto"/>
          <w:sz w:val="24"/>
          <w:highlight w:val="none"/>
        </w:rPr>
      </w:pPr>
      <w:r>
        <w:rPr>
          <w:color w:val="auto"/>
          <w:sz w:val="24"/>
          <w:highlight w:val="none"/>
        </w:rPr>
        <w:t>2、</w:t>
      </w:r>
      <w:r>
        <w:rPr>
          <w:rFonts w:hint="eastAsia"/>
          <w:bCs/>
          <w:color w:val="auto"/>
          <w:sz w:val="24"/>
          <w:highlight w:val="none"/>
        </w:rPr>
        <w:t>磋商小组</w:t>
      </w:r>
      <w:r>
        <w:rPr>
          <w:color w:val="auto"/>
          <w:sz w:val="24"/>
          <w:highlight w:val="none"/>
        </w:rPr>
        <w:t>不得向</w:t>
      </w:r>
      <w:r>
        <w:rPr>
          <w:rFonts w:hint="eastAsia"/>
          <w:color w:val="auto"/>
          <w:sz w:val="24"/>
          <w:highlight w:val="none"/>
          <w:lang w:val="en-US" w:eastAsia="zh-CN"/>
        </w:rPr>
        <w:t>供应商</w:t>
      </w:r>
      <w:r>
        <w:rPr>
          <w:color w:val="auto"/>
          <w:sz w:val="24"/>
          <w:highlight w:val="none"/>
        </w:rPr>
        <w:t>解释落标原因。</w:t>
      </w:r>
    </w:p>
    <w:p w14:paraId="15E30C21">
      <w:pPr>
        <w:snapToGrid w:val="0"/>
        <w:spacing w:line="480" w:lineRule="exact"/>
        <w:ind w:firstLine="570"/>
        <w:rPr>
          <w:color w:val="auto"/>
          <w:sz w:val="24"/>
          <w:highlight w:val="none"/>
        </w:rPr>
      </w:pPr>
      <w:r>
        <w:rPr>
          <w:color w:val="auto"/>
          <w:sz w:val="24"/>
          <w:highlight w:val="none"/>
        </w:rPr>
        <w:t>3、在</w:t>
      </w:r>
      <w:r>
        <w:rPr>
          <w:rFonts w:hint="eastAsia"/>
          <w:color w:val="auto"/>
          <w:sz w:val="24"/>
          <w:highlight w:val="none"/>
          <w:lang w:val="en-US" w:eastAsia="zh-CN"/>
        </w:rPr>
        <w:t>采购活动</w:t>
      </w:r>
      <w:r>
        <w:rPr>
          <w:color w:val="auto"/>
          <w:sz w:val="24"/>
          <w:highlight w:val="none"/>
        </w:rPr>
        <w:t>过程中，如果</w:t>
      </w:r>
      <w:r>
        <w:rPr>
          <w:rFonts w:hint="eastAsia"/>
          <w:color w:val="auto"/>
          <w:sz w:val="24"/>
          <w:highlight w:val="none"/>
          <w:lang w:val="en-US" w:eastAsia="zh-CN"/>
        </w:rPr>
        <w:t>供应商</w:t>
      </w:r>
      <w:r>
        <w:rPr>
          <w:color w:val="auto"/>
          <w:sz w:val="24"/>
          <w:highlight w:val="none"/>
        </w:rPr>
        <w:t>联合故意抬高报价或出现其他不正当行为，采购人有权中止</w:t>
      </w:r>
      <w:r>
        <w:rPr>
          <w:rFonts w:hint="eastAsia"/>
          <w:color w:val="auto"/>
          <w:sz w:val="24"/>
          <w:highlight w:val="none"/>
          <w:lang w:val="en-US" w:eastAsia="zh-CN"/>
        </w:rPr>
        <w:t>采购活动</w:t>
      </w:r>
      <w:r>
        <w:rPr>
          <w:color w:val="auto"/>
          <w:sz w:val="24"/>
          <w:highlight w:val="none"/>
        </w:rPr>
        <w:t>。</w:t>
      </w:r>
    </w:p>
    <w:p w14:paraId="5C8ACFF1">
      <w:pPr>
        <w:snapToGrid w:val="0"/>
        <w:spacing w:line="480" w:lineRule="exact"/>
        <w:ind w:firstLine="570"/>
        <w:rPr>
          <w:color w:val="auto"/>
          <w:sz w:val="24"/>
          <w:highlight w:val="none"/>
        </w:rPr>
      </w:pPr>
      <w:r>
        <w:rPr>
          <w:color w:val="auto"/>
          <w:sz w:val="24"/>
          <w:highlight w:val="none"/>
        </w:rPr>
        <w:t>4、凡在</w:t>
      </w:r>
      <w:r>
        <w:rPr>
          <w:rFonts w:hint="eastAsia"/>
          <w:color w:val="auto"/>
          <w:sz w:val="24"/>
          <w:highlight w:val="none"/>
          <w:lang w:val="en-US" w:eastAsia="zh-CN"/>
        </w:rPr>
        <w:t>采购活动</w:t>
      </w:r>
      <w:r>
        <w:rPr>
          <w:color w:val="auto"/>
          <w:sz w:val="24"/>
          <w:highlight w:val="none"/>
        </w:rPr>
        <w:t>过程中，已提示是否异议的事项，</w:t>
      </w:r>
      <w:r>
        <w:rPr>
          <w:rFonts w:hint="eastAsia"/>
          <w:color w:val="auto"/>
          <w:sz w:val="24"/>
          <w:highlight w:val="none"/>
          <w:lang w:val="en-US" w:eastAsia="zh-CN"/>
        </w:rPr>
        <w:t>供应商</w:t>
      </w:r>
      <w:r>
        <w:rPr>
          <w:color w:val="auto"/>
          <w:sz w:val="24"/>
          <w:highlight w:val="none"/>
        </w:rPr>
        <w:t>当时没有提出异议的，事后不得针对上述事项提出质疑。</w:t>
      </w:r>
    </w:p>
    <w:p w14:paraId="0B75A436">
      <w:pPr>
        <w:autoSpaceDE w:val="0"/>
        <w:autoSpaceDN w:val="0"/>
        <w:adjustRightInd w:val="0"/>
        <w:snapToGrid w:val="0"/>
        <w:spacing w:line="480" w:lineRule="exact"/>
        <w:ind w:left="-178" w:right="210" w:firstLine="636"/>
        <w:jc w:val="center"/>
        <w:rPr>
          <w:rFonts w:asciiTheme="minorEastAsia" w:hAnsiTheme="minorEastAsia" w:eastAsiaTheme="minorEastAsia"/>
          <w:b/>
          <w:color w:val="auto"/>
          <w:sz w:val="36"/>
          <w:szCs w:val="36"/>
          <w:highlight w:val="none"/>
        </w:rPr>
      </w:pPr>
      <w:r>
        <w:rPr>
          <w:rFonts w:ascii="仿宋_GB2312" w:hAnsi="宋体" w:eastAsia="仿宋_GB2312" w:cs="宋体"/>
          <w:color w:val="auto"/>
          <w:kern w:val="0"/>
          <w:sz w:val="28"/>
          <w:szCs w:val="28"/>
          <w:highlight w:val="none"/>
          <w:lang w:val="zh-CN"/>
        </w:rPr>
        <w:br w:type="page"/>
      </w:r>
      <w:r>
        <w:rPr>
          <w:rFonts w:hint="eastAsia" w:asciiTheme="minorEastAsia" w:hAnsiTheme="minorEastAsia" w:eastAsiaTheme="minorEastAsia"/>
          <w:b/>
          <w:color w:val="auto"/>
          <w:sz w:val="36"/>
          <w:szCs w:val="36"/>
          <w:highlight w:val="none"/>
        </w:rPr>
        <w:t>第五部分  合同签订与验收付款</w:t>
      </w:r>
    </w:p>
    <w:p w14:paraId="7A4C6395">
      <w:pPr>
        <w:snapToGrid w:val="0"/>
        <w:spacing w:line="480" w:lineRule="exact"/>
        <w:ind w:firstLine="480" w:firstLineChars="200"/>
        <w:rPr>
          <w:color w:val="auto"/>
          <w:sz w:val="24"/>
          <w:highlight w:val="none"/>
          <w:lang w:val="zh-CN"/>
        </w:rPr>
      </w:pPr>
      <w:r>
        <w:rPr>
          <w:color w:val="auto"/>
          <w:sz w:val="24"/>
          <w:highlight w:val="none"/>
          <w:lang w:val="zh-CN"/>
        </w:rPr>
        <w:t>一、成交供应商和采购单</w:t>
      </w:r>
      <w:r>
        <w:rPr>
          <w:color w:val="auto"/>
          <w:sz w:val="24"/>
          <w:highlight w:val="none"/>
          <w:lang w:val="zh-CN"/>
        </w:rPr>
        <w:t>位</w:t>
      </w:r>
      <w:r>
        <w:rPr>
          <w:rFonts w:hint="eastAsia" w:ascii="宋体" w:hAnsi="宋体"/>
          <w:color w:val="auto"/>
          <w:sz w:val="24"/>
          <w:highlight w:val="none"/>
        </w:rPr>
        <w:t>需在</w:t>
      </w:r>
      <w:r>
        <w:rPr>
          <w:color w:val="auto"/>
          <w:sz w:val="24"/>
          <w:highlight w:val="none"/>
          <w:lang w:val="zh-CN"/>
        </w:rPr>
        <w:t>《成交通知书》</w:t>
      </w:r>
      <w:r>
        <w:rPr>
          <w:rFonts w:hint="eastAsia"/>
          <w:color w:val="auto"/>
          <w:sz w:val="24"/>
          <w:highlight w:val="none"/>
        </w:rPr>
        <w:t>发出之日起</w:t>
      </w:r>
      <w:r>
        <w:rPr>
          <w:rFonts w:hint="eastAsia"/>
          <w:color w:val="auto"/>
          <w:sz w:val="24"/>
          <w:highlight w:val="none"/>
          <w:lang w:val="en-US" w:eastAsia="zh-CN"/>
        </w:rPr>
        <w:t>10</w:t>
      </w:r>
      <w:r>
        <w:rPr>
          <w:rFonts w:hint="eastAsia"/>
          <w:color w:val="auto"/>
          <w:sz w:val="24"/>
          <w:highlight w:val="none"/>
        </w:rPr>
        <w:t>日内</w:t>
      </w:r>
      <w:r>
        <w:rPr>
          <w:rFonts w:hint="eastAsia" w:ascii="宋体" w:hAnsi="宋体"/>
          <w:color w:val="auto"/>
          <w:sz w:val="24"/>
          <w:highlight w:val="none"/>
        </w:rPr>
        <w:t>签订合同</w:t>
      </w:r>
      <w:r>
        <w:rPr>
          <w:color w:val="auto"/>
          <w:sz w:val="24"/>
          <w:highlight w:val="none"/>
          <w:lang w:val="zh-CN"/>
        </w:rPr>
        <w:t>。合同签订后成交供应商方可履约，否则引起的一切后果由成交人自行承</w:t>
      </w:r>
      <w:r>
        <w:rPr>
          <w:color w:val="auto"/>
          <w:sz w:val="24"/>
          <w:highlight w:val="none"/>
        </w:rPr>
        <w:t>担。纸质合同一式</w:t>
      </w:r>
      <w:r>
        <w:rPr>
          <w:rFonts w:hint="eastAsia"/>
          <w:color w:val="auto"/>
          <w:sz w:val="24"/>
          <w:highlight w:val="none"/>
          <w:lang w:val="en-US" w:eastAsia="zh-CN"/>
        </w:rPr>
        <w:t>肆</w:t>
      </w:r>
      <w:r>
        <w:rPr>
          <w:color w:val="auto"/>
          <w:sz w:val="24"/>
          <w:highlight w:val="none"/>
        </w:rPr>
        <w:t>份，采购人、供应商各两份</w:t>
      </w:r>
      <w:r>
        <w:rPr>
          <w:rFonts w:hint="eastAsia"/>
          <w:color w:val="auto"/>
          <w:sz w:val="24"/>
          <w:highlight w:val="none"/>
        </w:rPr>
        <w:t>。</w:t>
      </w:r>
      <w:r>
        <w:rPr>
          <w:color w:val="auto"/>
          <w:sz w:val="24"/>
          <w:highlight w:val="none"/>
          <w:lang w:val="zh-CN"/>
        </w:rPr>
        <w:t>采购单位不得向成交供应商提出不合理的要求作为签订合同的条件，不得与成交供应商私下订立背离采购文件实质性内容的协议。</w:t>
      </w:r>
    </w:p>
    <w:p w14:paraId="70E6F362">
      <w:pPr>
        <w:snapToGrid w:val="0"/>
        <w:spacing w:line="480" w:lineRule="exact"/>
        <w:ind w:firstLine="482" w:firstLineChars="200"/>
        <w:rPr>
          <w:color w:val="auto"/>
          <w:sz w:val="24"/>
          <w:highlight w:val="none"/>
        </w:rPr>
      </w:pPr>
      <w:r>
        <w:rPr>
          <w:b/>
          <w:color w:val="auto"/>
          <w:sz w:val="24"/>
          <w:highlight w:val="none"/>
        </w:rPr>
        <w:t>二</w:t>
      </w:r>
      <w:r>
        <w:rPr>
          <w:color w:val="auto"/>
          <w:sz w:val="24"/>
          <w:highlight w:val="none"/>
        </w:rPr>
        <w:t>、采购人按合同约定积极配合成交供应商履约，成交供应商履约到位后，请以书面形式向采购单位提出验收申请，采购人接到申请后及时组织相关专业技术人员，必要时邀请采购人、质检等部门共同参与验收，并出具验收报告，验收合格的支付相应款项。</w:t>
      </w:r>
    </w:p>
    <w:p w14:paraId="5D39007E">
      <w:pPr>
        <w:snapToGrid w:val="0"/>
        <w:spacing w:line="480" w:lineRule="exact"/>
        <w:ind w:firstLine="480" w:firstLineChars="200"/>
        <w:contextualSpacing/>
        <w:rPr>
          <w:color w:val="auto"/>
          <w:sz w:val="24"/>
          <w:highlight w:val="none"/>
        </w:rPr>
      </w:pPr>
      <w:r>
        <w:rPr>
          <w:color w:val="auto"/>
          <w:sz w:val="24"/>
          <w:highlight w:val="none"/>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14:paraId="299D3CDC">
      <w:pPr>
        <w:snapToGrid w:val="0"/>
        <w:spacing w:line="480" w:lineRule="exact"/>
        <w:ind w:firstLine="480" w:firstLineChars="200"/>
        <w:contextualSpacing/>
        <w:rPr>
          <w:color w:val="auto"/>
          <w:sz w:val="24"/>
          <w:highlight w:val="none"/>
        </w:rPr>
      </w:pPr>
      <w:r>
        <w:rPr>
          <w:color w:val="auto"/>
          <w:sz w:val="24"/>
          <w:highlight w:val="none"/>
        </w:rPr>
        <w:t>四、成交供应商出现违约情形，应当及时纠正或补偿；造成损失的，按合同约定追究违约责任；发现有假冒、伪劣、走私产品、商业贿赂等违法情形的，应由采购人移交工商、质监、公安等行政执法部门依法查处。</w:t>
      </w:r>
    </w:p>
    <w:p w14:paraId="74647C72">
      <w:pPr>
        <w:pStyle w:val="5"/>
        <w:kinsoku w:val="0"/>
        <w:topLinePunct/>
        <w:autoSpaceDE w:val="0"/>
        <w:autoSpaceDN w:val="0"/>
        <w:snapToGrid w:val="0"/>
        <w:spacing w:line="480" w:lineRule="exact"/>
        <w:ind w:right="210" w:firstLine="513" w:firstLineChars="214"/>
        <w:contextualSpacing/>
        <w:rPr>
          <w:b/>
          <w:color w:val="auto"/>
          <w:sz w:val="24"/>
          <w:szCs w:val="24"/>
          <w:highlight w:val="none"/>
        </w:rPr>
      </w:pPr>
      <w:r>
        <w:rPr>
          <w:color w:val="auto"/>
          <w:sz w:val="24"/>
          <w:szCs w:val="24"/>
          <w:highlight w:val="none"/>
          <w:lang w:val="zh-CN"/>
        </w:rPr>
        <w:t>五、</w:t>
      </w:r>
      <w:r>
        <w:rPr>
          <w:b/>
          <w:color w:val="auto"/>
          <w:sz w:val="24"/>
          <w:szCs w:val="24"/>
          <w:highlight w:val="none"/>
        </w:rPr>
        <w:t>不响应付款方式的，视同响应文件无效处理。</w:t>
      </w:r>
      <w:r>
        <w:rPr>
          <w:rFonts w:hint="eastAsia"/>
          <w:b/>
          <w:color w:val="auto"/>
          <w:sz w:val="24"/>
          <w:highlight w:val="none"/>
        </w:rPr>
        <w:t>实际付款方式以最终签订采购合同为准。</w:t>
      </w:r>
    </w:p>
    <w:p w14:paraId="291D2BB7">
      <w:pPr>
        <w:pStyle w:val="5"/>
        <w:kinsoku w:val="0"/>
        <w:topLinePunct/>
        <w:autoSpaceDE w:val="0"/>
        <w:autoSpaceDN w:val="0"/>
        <w:snapToGrid w:val="0"/>
        <w:spacing w:line="480" w:lineRule="exact"/>
        <w:ind w:right="210" w:firstLine="480" w:firstLineChars="200"/>
        <w:contextualSpacing/>
        <w:rPr>
          <w:color w:val="auto"/>
          <w:sz w:val="24"/>
          <w:szCs w:val="24"/>
          <w:highlight w:val="none"/>
          <w:lang w:val="zh-CN"/>
        </w:rPr>
      </w:pPr>
      <w:r>
        <w:rPr>
          <w:color w:val="auto"/>
          <w:sz w:val="24"/>
          <w:szCs w:val="24"/>
          <w:highlight w:val="none"/>
        </w:rPr>
        <w:t>款项由采购人按相关财务支付规定办理支付手续。不得故意拖延支付时间。</w:t>
      </w:r>
    </w:p>
    <w:p w14:paraId="618B43B6">
      <w:pPr>
        <w:pStyle w:val="5"/>
        <w:kinsoku w:val="0"/>
        <w:topLinePunct/>
        <w:autoSpaceDE w:val="0"/>
        <w:autoSpaceDN w:val="0"/>
        <w:snapToGrid w:val="0"/>
        <w:spacing w:line="480" w:lineRule="exact"/>
        <w:ind w:right="210" w:firstLine="513" w:firstLineChars="214"/>
        <w:contextualSpacing/>
        <w:rPr>
          <w:color w:val="auto"/>
          <w:sz w:val="24"/>
          <w:szCs w:val="24"/>
          <w:highlight w:val="none"/>
        </w:rPr>
      </w:pPr>
      <w:r>
        <w:rPr>
          <w:rFonts w:hint="eastAsia"/>
          <w:color w:val="auto"/>
          <w:sz w:val="24"/>
          <w:szCs w:val="24"/>
          <w:highlight w:val="none"/>
        </w:rPr>
        <w:t>六、合同主要条款</w:t>
      </w:r>
    </w:p>
    <w:p w14:paraId="66132CD9">
      <w:pPr>
        <w:pStyle w:val="5"/>
        <w:kinsoku w:val="0"/>
        <w:topLinePunct/>
        <w:autoSpaceDE w:val="0"/>
        <w:autoSpaceDN w:val="0"/>
        <w:snapToGrid w:val="0"/>
        <w:spacing w:line="480" w:lineRule="exact"/>
        <w:ind w:right="210" w:firstLine="599" w:firstLineChars="214"/>
        <w:contextualSpacing/>
        <w:rPr>
          <w:rFonts w:ascii="仿宋_GB2312" w:eastAsia="仿宋_GB2312"/>
          <w:color w:val="auto"/>
          <w:sz w:val="28"/>
          <w:szCs w:val="28"/>
          <w:highlight w:val="none"/>
          <w:lang w:val="zh-CN"/>
        </w:rPr>
      </w:pPr>
    </w:p>
    <w:p w14:paraId="16C93332">
      <w:pPr>
        <w:pStyle w:val="3"/>
        <w:tabs>
          <w:tab w:val="left" w:pos="1290"/>
        </w:tabs>
        <w:jc w:val="center"/>
        <w:rPr>
          <w:rFonts w:hint="eastAsia" w:ascii="宋体" w:hAnsi="宋体" w:eastAsia="宋体" w:cs="宋体"/>
          <w:bCs/>
          <w:color w:val="auto"/>
          <w:highlight w:val="none"/>
        </w:rPr>
      </w:pPr>
      <w:r>
        <w:rPr>
          <w:b/>
          <w:bCs/>
          <w:color w:val="auto"/>
          <w:w w:val="80"/>
          <w:sz w:val="36"/>
          <w:szCs w:val="36"/>
          <w:highlight w:val="none"/>
        </w:rPr>
        <w:br w:type="page"/>
      </w:r>
      <w:r>
        <w:rPr>
          <w:rFonts w:hint="eastAsia" w:ascii="宋体" w:hAnsi="宋体" w:eastAsia="宋体" w:cs="宋体"/>
          <w:bCs/>
          <w:color w:val="auto"/>
          <w:highlight w:val="none"/>
        </w:rPr>
        <w:t>合同条款及格式</w:t>
      </w:r>
    </w:p>
    <w:p w14:paraId="0B1555FE">
      <w:pPr>
        <w:spacing w:line="400" w:lineRule="exact"/>
        <w:jc w:val="center"/>
        <w:rPr>
          <w:rFonts w:ascii="宋体" w:hAnsi="Times New Roman"/>
          <w:b/>
          <w:bCs/>
          <w:color w:val="auto"/>
          <w:sz w:val="36"/>
          <w:szCs w:val="36"/>
          <w:highlight w:val="none"/>
        </w:rPr>
      </w:pPr>
      <w:bookmarkStart w:id="1" w:name="_Toc451315989"/>
      <w:bookmarkStart w:id="2" w:name="_Toc451664164"/>
      <w:bookmarkStart w:id="3" w:name="_Toc434462225"/>
      <w:bookmarkStart w:id="4" w:name="_Toc434897340"/>
      <w:bookmarkStart w:id="5" w:name="_Toc451315906"/>
      <w:bookmarkStart w:id="6" w:name="_Ref451243616"/>
      <w:bookmarkStart w:id="7" w:name="_Toc434460932"/>
      <w:bookmarkStart w:id="8" w:name="_Toc434462836"/>
      <w:bookmarkStart w:id="9" w:name="_Ref451313954"/>
      <w:r>
        <w:rPr>
          <w:rFonts w:hint="eastAsia" w:ascii="宋体" w:hAnsi="宋体" w:cs="宋体"/>
          <w:b/>
          <w:bCs/>
          <w:color w:val="auto"/>
          <w:sz w:val="36"/>
          <w:szCs w:val="36"/>
          <w:highlight w:val="none"/>
        </w:rPr>
        <w:t>合同书</w:t>
      </w:r>
      <w:bookmarkEnd w:id="1"/>
      <w:bookmarkEnd w:id="2"/>
      <w:bookmarkEnd w:id="3"/>
      <w:bookmarkEnd w:id="4"/>
      <w:bookmarkEnd w:id="5"/>
      <w:bookmarkEnd w:id="6"/>
      <w:bookmarkEnd w:id="7"/>
      <w:bookmarkEnd w:id="8"/>
      <w:bookmarkEnd w:id="9"/>
    </w:p>
    <w:p w14:paraId="3C9E5D87">
      <w:pPr>
        <w:keepNext w:val="0"/>
        <w:keepLines w:val="0"/>
        <w:pageBreakBefore w:val="0"/>
        <w:widowControl w:val="0"/>
        <w:kinsoku/>
        <w:wordWrap w:val="0"/>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采购</w:t>
      </w:r>
      <w:r>
        <w:rPr>
          <w:rFonts w:hint="eastAsia" w:ascii="宋体" w:hAnsi="宋体" w:cs="宋体"/>
          <w:color w:val="auto"/>
          <w:sz w:val="24"/>
          <w:szCs w:val="24"/>
          <w:highlight w:val="none"/>
          <w:lang w:val="en-US" w:eastAsia="zh-CN"/>
        </w:rPr>
        <w:t>单位</w:t>
      </w:r>
      <w:r>
        <w:rPr>
          <w:rFonts w:hint="eastAsia" w:ascii="宋体" w:hAnsi="宋体" w:eastAsia="宋体" w:cs="宋体"/>
          <w:color w:val="auto"/>
          <w:sz w:val="24"/>
          <w:szCs w:val="24"/>
          <w:highlight w:val="none"/>
        </w:rPr>
        <w:t>（或称甲方）：</w:t>
      </w:r>
      <w:r>
        <w:rPr>
          <w:rFonts w:hint="eastAsia" w:ascii="宋体" w:hAnsi="宋体" w:cs="宋体"/>
          <w:color w:val="auto"/>
          <w:sz w:val="24"/>
          <w:szCs w:val="24"/>
          <w:highlight w:val="none"/>
          <w:u w:val="single"/>
          <w:lang w:val="en-US" w:eastAsia="zh-CN"/>
        </w:rPr>
        <w:t xml:space="preserve">                                        </w:t>
      </w:r>
    </w:p>
    <w:p w14:paraId="7D20EB2F">
      <w:pPr>
        <w:keepNext w:val="0"/>
        <w:keepLines w:val="0"/>
        <w:pageBreakBefore w:val="0"/>
        <w:widowControl w:val="0"/>
        <w:kinsoku/>
        <w:wordWrap w:val="0"/>
        <w:overflowPunct/>
        <w:topLinePunct w:val="0"/>
        <w:autoSpaceDE/>
        <w:autoSpaceDN/>
        <w:bidi w:val="0"/>
        <w:adjustRightInd/>
        <w:snapToGrid/>
        <w:spacing w:line="480" w:lineRule="exact"/>
        <w:jc w:val="both"/>
        <w:textAlignment w:val="auto"/>
        <w:rPr>
          <w:rFonts w:hint="default" w:ascii="宋体" w:hAnsi="宋体" w:eastAsia="宋体" w:cs="宋体"/>
          <w:bCs/>
          <w:color w:val="auto"/>
          <w:sz w:val="24"/>
          <w:szCs w:val="24"/>
          <w:highlight w:val="none"/>
          <w:u w:val="single"/>
          <w:lang w:val="en-US" w:eastAsia="zh-CN"/>
        </w:rPr>
      </w:pP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rPr>
        <w:t>供应商（或称乙方）：</w:t>
      </w:r>
      <w:r>
        <w:rPr>
          <w:rFonts w:hint="eastAsia" w:ascii="宋体" w:hAnsi="宋体" w:cs="宋体"/>
          <w:color w:val="auto"/>
          <w:sz w:val="24"/>
          <w:szCs w:val="24"/>
          <w:highlight w:val="none"/>
          <w:u w:val="single"/>
          <w:lang w:val="en-US" w:eastAsia="zh-CN"/>
        </w:rPr>
        <w:t xml:space="preserve">                                    </w:t>
      </w:r>
    </w:p>
    <w:p w14:paraId="44C1EF49">
      <w:pPr>
        <w:keepNext w:val="0"/>
        <w:keepLines w:val="0"/>
        <w:pageBreakBefore w:val="0"/>
        <w:widowControl w:val="0"/>
        <w:kinsoku/>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5EC5DC45">
      <w:pPr>
        <w:keepNext w:val="0"/>
        <w:keepLines w:val="0"/>
        <w:pageBreakBefore w:val="0"/>
        <w:widowControl w:val="0"/>
        <w:kinsoku/>
        <w:wordWrap w:val="0"/>
        <w:overflowPunct/>
        <w:topLinePunct w:val="0"/>
        <w:autoSpaceDE/>
        <w:autoSpaceDN/>
        <w:bidi w:val="0"/>
        <w:adjustRightInd/>
        <w:snapToGrid/>
        <w:spacing w:line="480" w:lineRule="exact"/>
        <w:jc w:val="left"/>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签订地点：</w:t>
      </w:r>
      <w:r>
        <w:rPr>
          <w:rFonts w:hint="eastAsia" w:ascii="宋体" w:hAnsi="宋体" w:cs="宋体"/>
          <w:color w:val="auto"/>
          <w:sz w:val="24"/>
          <w:szCs w:val="24"/>
          <w:highlight w:val="none"/>
          <w:u w:val="single"/>
          <w:lang w:val="en-US" w:eastAsia="zh-CN"/>
        </w:rPr>
        <w:t xml:space="preserve">                                        </w:t>
      </w:r>
    </w:p>
    <w:p w14:paraId="022A73E8">
      <w:pPr>
        <w:keepNext w:val="0"/>
        <w:keepLines w:val="0"/>
        <w:pageBreakBefore w:val="0"/>
        <w:widowControl w:val="0"/>
        <w:kinsoku/>
        <w:overflowPunct/>
        <w:topLinePunct w:val="0"/>
        <w:autoSpaceDE/>
        <w:autoSpaceDN/>
        <w:bidi w:val="0"/>
        <w:adjustRightInd/>
        <w:snapToGrid/>
        <w:spacing w:line="480" w:lineRule="exact"/>
        <w:ind w:firstLine="573"/>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w:t>
      </w:r>
      <w:r>
        <w:rPr>
          <w:rFonts w:hint="eastAsia" w:ascii="宋体" w:hAnsi="宋体" w:eastAsia="宋体" w:cs="宋体"/>
          <w:color w:val="auto"/>
          <w:sz w:val="24"/>
          <w:szCs w:val="24"/>
          <w:highlight w:val="none"/>
        </w:rPr>
        <w:t>据</w:t>
      </w:r>
      <w:r>
        <w:rPr>
          <w:rFonts w:hint="eastAsia" w:ascii="宋体" w:hAnsi="宋体" w:cs="宋体"/>
          <w:color w:val="auto"/>
          <w:sz w:val="24"/>
          <w:szCs w:val="24"/>
          <w:highlight w:val="none"/>
          <w:lang w:val="en-US" w:eastAsia="zh-CN"/>
        </w:rPr>
        <w:t>法律法规</w:t>
      </w:r>
      <w:r>
        <w:rPr>
          <w:rFonts w:hint="eastAsia" w:ascii="宋体" w:hAnsi="宋体" w:eastAsia="宋体" w:cs="宋体"/>
          <w:color w:val="auto"/>
          <w:sz w:val="24"/>
          <w:szCs w:val="24"/>
          <w:highlight w:val="none"/>
        </w:rPr>
        <w:t>规定，</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项目</w:t>
      </w:r>
      <w:r>
        <w:rPr>
          <w:rFonts w:hint="eastAsia" w:ascii="宋体" w:hAnsi="宋体" w:eastAsia="宋体" w:cs="宋体"/>
          <w:color w:val="auto"/>
          <w:sz w:val="24"/>
          <w:szCs w:val="24"/>
          <w:highlight w:val="none"/>
        </w:rPr>
        <w:t>实行</w:t>
      </w:r>
      <w:r>
        <w:rPr>
          <w:rFonts w:hint="eastAsia" w:ascii="宋体" w:hAnsi="宋体" w:cs="宋体"/>
          <w:color w:val="auto"/>
          <w:sz w:val="24"/>
          <w:szCs w:val="24"/>
          <w:highlight w:val="none"/>
          <w:u w:val="single"/>
          <w:lang w:val="en-US" w:eastAsia="zh-CN"/>
        </w:rPr>
        <w:t>竞争性磋商</w:t>
      </w:r>
      <w:r>
        <w:rPr>
          <w:rFonts w:hint="eastAsia" w:ascii="宋体" w:hAnsi="宋体" w:eastAsia="宋体" w:cs="宋体"/>
          <w:color w:val="auto"/>
          <w:sz w:val="24"/>
          <w:szCs w:val="24"/>
          <w:highlight w:val="none"/>
        </w:rPr>
        <w:t>方式采购。本着公开、公平、公正和择优的原则，经专家评委严格评审并推荐乙方为成交供应商。在真实、充分地表达各自意愿的基础上，根据《中华人民共和国民法典》的规定，达成如下协议，并由双方共同恪守。</w:t>
      </w:r>
    </w:p>
    <w:p w14:paraId="7AF556BB">
      <w:pPr>
        <w:keepNext w:val="0"/>
        <w:keepLines w:val="0"/>
        <w:pageBreakBefore w:val="0"/>
        <w:widowControl w:val="0"/>
        <w:numPr>
          <w:ilvl w:val="0"/>
          <w:numId w:val="4"/>
        </w:numPr>
        <w:kinsoku/>
        <w:wordWrap/>
        <w:topLinePunct w:val="0"/>
        <w:bidi w:val="0"/>
        <w:snapToGrid w:val="0"/>
        <w:spacing w:line="480" w:lineRule="exact"/>
        <w:jc w:val="left"/>
        <w:textAlignment w:val="auto"/>
        <w:rPr>
          <w:rFonts w:ascii="宋体" w:hAnsi="宋体"/>
          <w:b/>
          <w:color w:val="auto"/>
          <w:sz w:val="24"/>
          <w:highlight w:val="none"/>
        </w:rPr>
      </w:pPr>
      <w:r>
        <w:rPr>
          <w:rFonts w:hint="eastAsia" w:ascii="宋体" w:hAnsi="宋体"/>
          <w:b/>
          <w:color w:val="auto"/>
          <w:sz w:val="24"/>
          <w:highlight w:val="none"/>
        </w:rPr>
        <w:t xml:space="preserve">总则 </w:t>
      </w:r>
    </w:p>
    <w:p w14:paraId="07044939">
      <w:pPr>
        <w:keepNext w:val="0"/>
        <w:keepLines w:val="0"/>
        <w:pageBreakBefore w:val="0"/>
        <w:widowControl w:val="0"/>
        <w:kinsoku/>
        <w:wordWrap/>
        <w:topLinePunct w:val="0"/>
        <w:bidi w:val="0"/>
        <w:adjustRightInd w:val="0"/>
        <w:snapToGrid w:val="0"/>
        <w:spacing w:line="480" w:lineRule="exact"/>
        <w:ind w:firstLine="480" w:firstLineChars="200"/>
        <w:jc w:val="left"/>
        <w:textAlignment w:val="auto"/>
        <w:rPr>
          <w:rFonts w:ascii="宋体" w:hAnsi="宋体"/>
          <w:color w:val="auto"/>
          <w:sz w:val="24"/>
          <w:highlight w:val="none"/>
        </w:rPr>
      </w:pPr>
      <w:r>
        <w:rPr>
          <w:rFonts w:hint="eastAsia" w:ascii="宋体" w:hAnsi="宋体"/>
          <w:color w:val="auto"/>
          <w:sz w:val="24"/>
          <w:highlight w:val="none"/>
        </w:rPr>
        <w:t>乙方按</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项目</w:t>
      </w:r>
      <w:r>
        <w:rPr>
          <w:rFonts w:hint="eastAsia" w:ascii="宋体" w:hAnsi="宋体"/>
          <w:color w:val="auto"/>
          <w:sz w:val="24"/>
          <w:highlight w:val="none"/>
        </w:rPr>
        <w:t>要求，为甲方提供如下</w:t>
      </w:r>
      <w:r>
        <w:rPr>
          <w:rFonts w:ascii="宋体" w:hAnsi="宋体"/>
          <w:color w:val="auto"/>
          <w:sz w:val="24"/>
          <w:highlight w:val="none"/>
        </w:rPr>
        <w:t>内容的</w:t>
      </w:r>
      <w:r>
        <w:rPr>
          <w:rFonts w:hint="eastAsia" w:ascii="宋体" w:hAnsi="宋体"/>
          <w:color w:val="auto"/>
          <w:sz w:val="24"/>
          <w:highlight w:val="none"/>
          <w:lang w:val="en-US" w:eastAsia="zh-CN"/>
        </w:rPr>
        <w:t>服务</w:t>
      </w:r>
      <w:r>
        <w:rPr>
          <w:rFonts w:ascii="宋体" w:hAnsi="宋体"/>
          <w:color w:val="auto"/>
          <w:sz w:val="24"/>
          <w:highlight w:val="none"/>
        </w:rPr>
        <w:t>：</w:t>
      </w:r>
    </w:p>
    <w:p w14:paraId="2BBFE056">
      <w:pPr>
        <w:keepNext w:val="0"/>
        <w:keepLines w:val="0"/>
        <w:pageBreakBefore w:val="0"/>
        <w:widowControl w:val="0"/>
        <w:kinsoku/>
        <w:wordWrap/>
        <w:topLinePunct w:val="0"/>
        <w:bidi w:val="0"/>
        <w:spacing w:line="48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rPr>
        <w:t>存储资源服务</w:t>
      </w:r>
      <w:r>
        <w:rPr>
          <w:rFonts w:hint="eastAsia" w:ascii="宋体" w:hAnsi="宋体"/>
          <w:color w:val="auto"/>
          <w:sz w:val="24"/>
          <w:highlight w:val="none"/>
          <w:lang w:eastAsia="zh-CN"/>
        </w:rPr>
        <w:t>、</w:t>
      </w:r>
      <w:r>
        <w:rPr>
          <w:rFonts w:hint="eastAsia" w:ascii="宋体" w:hAnsi="宋体"/>
          <w:color w:val="auto"/>
          <w:sz w:val="24"/>
          <w:highlight w:val="none"/>
        </w:rPr>
        <w:t>数据保护和备份服务</w:t>
      </w:r>
      <w:r>
        <w:rPr>
          <w:rFonts w:hint="eastAsia" w:ascii="宋体" w:hAnsi="宋体"/>
          <w:color w:val="auto"/>
          <w:sz w:val="24"/>
          <w:highlight w:val="none"/>
          <w:lang w:eastAsia="zh-CN"/>
        </w:rPr>
        <w:t>、</w:t>
      </w:r>
      <w:r>
        <w:rPr>
          <w:rFonts w:hint="eastAsia" w:ascii="宋体" w:hAnsi="宋体"/>
          <w:color w:val="auto"/>
          <w:sz w:val="24"/>
          <w:highlight w:val="none"/>
        </w:rPr>
        <w:t>数据分析服务</w:t>
      </w:r>
      <w:r>
        <w:rPr>
          <w:rFonts w:hint="eastAsia" w:ascii="宋体" w:hAnsi="宋体"/>
          <w:color w:val="auto"/>
          <w:sz w:val="24"/>
          <w:highlight w:val="none"/>
        </w:rPr>
        <w:t>。</w:t>
      </w:r>
    </w:p>
    <w:p w14:paraId="7BD82196">
      <w:pPr>
        <w:keepNext w:val="0"/>
        <w:keepLines w:val="0"/>
        <w:pageBreakBefore w:val="0"/>
        <w:widowControl w:val="0"/>
        <w:kinsoku/>
        <w:wordWrap/>
        <w:topLinePunct w:val="0"/>
        <w:bidi w:val="0"/>
        <w:spacing w:line="48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2、配套</w:t>
      </w:r>
      <w:r>
        <w:rPr>
          <w:rFonts w:ascii="宋体" w:hAnsi="宋体"/>
          <w:color w:val="auto"/>
          <w:sz w:val="24"/>
          <w:highlight w:val="none"/>
        </w:rPr>
        <w:t>内容</w:t>
      </w:r>
      <w:r>
        <w:rPr>
          <w:rFonts w:hint="eastAsia" w:ascii="宋体" w:hAnsi="宋体"/>
          <w:color w:val="auto"/>
          <w:sz w:val="24"/>
          <w:highlight w:val="none"/>
        </w:rPr>
        <w:t>及</w:t>
      </w:r>
      <w:r>
        <w:rPr>
          <w:rFonts w:ascii="宋体" w:hAnsi="宋体"/>
          <w:color w:val="auto"/>
          <w:sz w:val="24"/>
          <w:highlight w:val="none"/>
        </w:rPr>
        <w:t>服务要求详见</w:t>
      </w:r>
      <w:r>
        <w:rPr>
          <w:rFonts w:hint="eastAsia" w:ascii="宋体" w:hAnsi="宋体"/>
          <w:color w:val="auto"/>
          <w:sz w:val="24"/>
          <w:highlight w:val="none"/>
        </w:rPr>
        <w:t>本项目</w:t>
      </w:r>
      <w:r>
        <w:rPr>
          <w:rFonts w:ascii="宋体" w:hAnsi="宋体"/>
          <w:color w:val="auto"/>
          <w:sz w:val="24"/>
          <w:highlight w:val="none"/>
        </w:rPr>
        <w:t>的招标文件及</w:t>
      </w:r>
      <w:r>
        <w:rPr>
          <w:rFonts w:hint="eastAsia" w:ascii="宋体" w:hAnsi="宋体"/>
          <w:color w:val="auto"/>
          <w:sz w:val="24"/>
          <w:highlight w:val="none"/>
        </w:rPr>
        <w:t>投标</w:t>
      </w:r>
      <w:r>
        <w:rPr>
          <w:rFonts w:ascii="宋体" w:hAnsi="宋体"/>
          <w:color w:val="auto"/>
          <w:sz w:val="24"/>
          <w:highlight w:val="none"/>
        </w:rPr>
        <w:t>文件</w:t>
      </w:r>
      <w:r>
        <w:rPr>
          <w:rFonts w:hint="eastAsia" w:ascii="宋体" w:hAnsi="宋体"/>
          <w:color w:val="auto"/>
          <w:sz w:val="24"/>
          <w:highlight w:val="none"/>
        </w:rPr>
        <w:t>。</w:t>
      </w:r>
    </w:p>
    <w:p w14:paraId="499D475B">
      <w:pPr>
        <w:keepNext w:val="0"/>
        <w:keepLines w:val="0"/>
        <w:pageBreakBefore w:val="0"/>
        <w:widowControl w:val="0"/>
        <w:kinsoku/>
        <w:wordWrap/>
        <w:topLinePunct w:val="0"/>
        <w:bidi w:val="0"/>
        <w:spacing w:line="480" w:lineRule="exact"/>
        <w:ind w:firstLine="480" w:firstLineChars="200"/>
        <w:textAlignment w:val="auto"/>
        <w:rPr>
          <w:rFonts w:hint="default" w:ascii="宋体" w:hAnsi="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w:t>
      </w:r>
      <w:r>
        <w:rPr>
          <w:rFonts w:hint="eastAsia" w:ascii="宋体" w:hAnsi="宋体" w:cs="Times New Roman"/>
          <w:color w:val="auto"/>
          <w:kern w:val="2"/>
          <w:sz w:val="24"/>
          <w:szCs w:val="24"/>
          <w:highlight w:val="none"/>
          <w:lang w:val="en-US" w:eastAsia="zh-CN" w:bidi="ar-SA"/>
        </w:rPr>
        <w:t>本项目</w:t>
      </w:r>
      <w:r>
        <w:rPr>
          <w:rFonts w:hint="eastAsia" w:ascii="宋体" w:hAnsi="宋体" w:eastAsia="宋体" w:cs="Times New Roman"/>
          <w:color w:val="auto"/>
          <w:kern w:val="2"/>
          <w:sz w:val="24"/>
          <w:szCs w:val="24"/>
          <w:highlight w:val="none"/>
          <w:lang w:val="en-US" w:eastAsia="zh-CN" w:bidi="ar-SA"/>
        </w:rPr>
        <w:t>服务期限</w:t>
      </w:r>
      <w:r>
        <w:rPr>
          <w:rFonts w:hint="eastAsia" w:ascii="宋体" w:hAnsi="宋体" w:cs="Times New Roman"/>
          <w:color w:val="auto"/>
          <w:kern w:val="2"/>
          <w:sz w:val="24"/>
          <w:szCs w:val="24"/>
          <w:highlight w:val="none"/>
          <w:lang w:val="en-US" w:eastAsia="zh-CN" w:bidi="ar-SA"/>
        </w:rPr>
        <w:t>为3年，自全部系统功能上线并正常投入运营后，从甲方验收合格之日起计算。</w:t>
      </w:r>
      <w:r>
        <w:rPr>
          <w:rFonts w:hint="eastAsia" w:ascii="宋体" w:hAnsi="宋体" w:eastAsia="宋体" w:cs="Times New Roman"/>
          <w:color w:val="auto"/>
          <w:sz w:val="24"/>
          <w:highlight w:val="none"/>
          <w:lang w:val="en-US" w:eastAsia="zh-CN"/>
        </w:rPr>
        <w:t>服务期内设备产权归乙方所有，</w:t>
      </w:r>
      <w:r>
        <w:rPr>
          <w:rFonts w:hint="eastAsia" w:ascii="宋体" w:hAnsi="宋体" w:cs="Times New Roman"/>
          <w:color w:val="auto"/>
          <w:kern w:val="2"/>
          <w:sz w:val="24"/>
          <w:szCs w:val="24"/>
          <w:highlight w:val="none"/>
          <w:lang w:val="en-US" w:eastAsia="zh-CN" w:bidi="ar-SA"/>
        </w:rPr>
        <w:t>服务期满后产权归甲方所有</w:t>
      </w:r>
      <w:r>
        <w:rPr>
          <w:rFonts w:hint="eastAsia" w:ascii="宋体" w:hAnsi="宋体" w:eastAsia="宋体" w:cs="Times New Roman"/>
          <w:color w:val="auto"/>
          <w:kern w:val="2"/>
          <w:sz w:val="24"/>
          <w:szCs w:val="24"/>
          <w:highlight w:val="none"/>
          <w:lang w:val="en-US" w:eastAsia="zh-CN" w:bidi="ar-SA"/>
        </w:rPr>
        <w:t>。</w:t>
      </w:r>
    </w:p>
    <w:p w14:paraId="5DAF4608">
      <w:pPr>
        <w:keepNext w:val="0"/>
        <w:keepLines w:val="0"/>
        <w:pageBreakBefore w:val="0"/>
        <w:widowControl w:val="0"/>
        <w:numPr>
          <w:ilvl w:val="0"/>
          <w:numId w:val="4"/>
        </w:numPr>
        <w:kinsoku/>
        <w:wordWrap/>
        <w:topLinePunct w:val="0"/>
        <w:bidi w:val="0"/>
        <w:snapToGrid w:val="0"/>
        <w:spacing w:line="480" w:lineRule="exact"/>
        <w:jc w:val="left"/>
        <w:textAlignment w:val="auto"/>
        <w:rPr>
          <w:rFonts w:ascii="宋体" w:hAnsi="宋体"/>
          <w:b/>
          <w:color w:val="auto"/>
          <w:sz w:val="24"/>
          <w:highlight w:val="none"/>
        </w:rPr>
      </w:pPr>
      <w:r>
        <w:rPr>
          <w:rFonts w:hint="eastAsia" w:ascii="宋体" w:hAnsi="宋体"/>
          <w:b/>
          <w:color w:val="auto"/>
          <w:sz w:val="24"/>
          <w:highlight w:val="none"/>
        </w:rPr>
        <w:t>合同文件</w:t>
      </w:r>
    </w:p>
    <w:p w14:paraId="729FE876">
      <w:pPr>
        <w:keepNext w:val="0"/>
        <w:keepLines w:val="0"/>
        <w:pageBreakBefore w:val="0"/>
        <w:widowControl w:val="0"/>
        <w:kinsoku/>
        <w:wordWrap/>
        <w:topLinePunct w:val="0"/>
        <w:bidi w:val="0"/>
        <w:adjustRightInd w:val="0"/>
        <w:snapToGrid w:val="0"/>
        <w:spacing w:line="480" w:lineRule="exact"/>
        <w:ind w:firstLine="480" w:firstLineChars="200"/>
        <w:jc w:val="left"/>
        <w:textAlignment w:val="auto"/>
        <w:rPr>
          <w:rFonts w:ascii="宋体" w:hAnsi="宋体"/>
          <w:color w:val="auto"/>
          <w:sz w:val="24"/>
          <w:highlight w:val="none"/>
        </w:rPr>
      </w:pPr>
      <w:r>
        <w:rPr>
          <w:rFonts w:hint="eastAsia" w:ascii="宋体" w:hAnsi="宋体"/>
          <w:color w:val="auto"/>
          <w:sz w:val="24"/>
          <w:highlight w:val="none"/>
        </w:rPr>
        <w:t>下列文件是构成合同不可分割的部分，并与本合同具有同等法律效力，</w:t>
      </w:r>
      <w:r>
        <w:rPr>
          <w:rFonts w:hint="eastAsia" w:ascii="宋体" w:hAnsi="宋体"/>
          <w:bCs/>
          <w:color w:val="auto"/>
          <w:sz w:val="24"/>
          <w:highlight w:val="none"/>
        </w:rPr>
        <w:t>这些文件包括但不限于：</w:t>
      </w:r>
    </w:p>
    <w:p w14:paraId="7F6C5367">
      <w:pPr>
        <w:keepNext w:val="0"/>
        <w:keepLines w:val="0"/>
        <w:pageBreakBefore w:val="0"/>
        <w:widowControl w:val="0"/>
        <w:numPr>
          <w:ilvl w:val="0"/>
          <w:numId w:val="5"/>
        </w:numPr>
        <w:kinsoku/>
        <w:wordWrap/>
        <w:topLinePunct w:val="0"/>
        <w:bidi w:val="0"/>
        <w:adjustRightInd w:val="0"/>
        <w:snapToGrid w:val="0"/>
        <w:spacing w:line="480" w:lineRule="exact"/>
        <w:ind w:firstLine="480" w:firstLineChars="200"/>
        <w:jc w:val="left"/>
        <w:textAlignment w:val="auto"/>
        <w:rPr>
          <w:rFonts w:ascii="宋体" w:hAnsi="宋体"/>
          <w:color w:val="auto"/>
          <w:sz w:val="24"/>
          <w:highlight w:val="none"/>
        </w:rPr>
      </w:pP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项目招标文件（项目编号：</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w:t>
      </w:r>
    </w:p>
    <w:p w14:paraId="19E67B2D">
      <w:pPr>
        <w:keepNext w:val="0"/>
        <w:keepLines w:val="0"/>
        <w:pageBreakBefore w:val="0"/>
        <w:widowControl w:val="0"/>
        <w:kinsoku/>
        <w:wordWrap/>
        <w:topLinePunct w:val="0"/>
        <w:bidi w:val="0"/>
        <w:adjustRightInd w:val="0"/>
        <w:snapToGrid w:val="0"/>
        <w:spacing w:line="480" w:lineRule="exact"/>
        <w:ind w:firstLine="480" w:firstLineChars="200"/>
        <w:jc w:val="left"/>
        <w:textAlignment w:val="auto"/>
        <w:rPr>
          <w:rFonts w:ascii="宋体" w:hAnsi="宋体"/>
          <w:color w:val="auto"/>
          <w:sz w:val="24"/>
          <w:highlight w:val="none"/>
        </w:rPr>
      </w:pPr>
      <w:r>
        <w:rPr>
          <w:rFonts w:hint="eastAsia" w:ascii="宋体" w:hAnsi="宋体"/>
          <w:color w:val="auto"/>
          <w:sz w:val="24"/>
          <w:highlight w:val="none"/>
        </w:rPr>
        <w:t>2、乙方的投标文件；</w:t>
      </w:r>
    </w:p>
    <w:p w14:paraId="593B31CA">
      <w:pPr>
        <w:keepNext w:val="0"/>
        <w:keepLines w:val="0"/>
        <w:pageBreakBefore w:val="0"/>
        <w:widowControl w:val="0"/>
        <w:kinsoku/>
        <w:wordWrap/>
        <w:topLinePunct w:val="0"/>
        <w:bidi w:val="0"/>
        <w:adjustRightInd w:val="0"/>
        <w:snapToGrid w:val="0"/>
        <w:spacing w:line="480" w:lineRule="exact"/>
        <w:ind w:firstLine="480" w:firstLineChars="200"/>
        <w:jc w:val="left"/>
        <w:textAlignment w:val="auto"/>
        <w:rPr>
          <w:rFonts w:ascii="宋体" w:hAnsi="宋体"/>
          <w:color w:val="auto"/>
          <w:sz w:val="24"/>
          <w:highlight w:val="none"/>
        </w:rPr>
      </w:pPr>
      <w:r>
        <w:rPr>
          <w:rFonts w:hint="eastAsia" w:ascii="宋体" w:hAnsi="宋体"/>
          <w:color w:val="auto"/>
          <w:sz w:val="24"/>
          <w:highlight w:val="none"/>
        </w:rPr>
        <w:t>3、乙方提供的相关资料及承诺。</w:t>
      </w:r>
    </w:p>
    <w:p w14:paraId="7F2895B8">
      <w:pPr>
        <w:keepNext w:val="0"/>
        <w:keepLines w:val="0"/>
        <w:pageBreakBefore w:val="0"/>
        <w:widowControl w:val="0"/>
        <w:numPr>
          <w:ilvl w:val="0"/>
          <w:numId w:val="4"/>
        </w:numPr>
        <w:kinsoku/>
        <w:wordWrap/>
        <w:topLinePunct w:val="0"/>
        <w:bidi w:val="0"/>
        <w:snapToGrid w:val="0"/>
        <w:spacing w:line="480" w:lineRule="exact"/>
        <w:jc w:val="left"/>
        <w:textAlignment w:val="auto"/>
        <w:rPr>
          <w:rFonts w:ascii="宋体" w:hAnsi="宋体"/>
          <w:b/>
          <w:color w:val="auto"/>
          <w:sz w:val="24"/>
          <w:highlight w:val="none"/>
        </w:rPr>
      </w:pPr>
      <w:r>
        <w:rPr>
          <w:rFonts w:hint="eastAsia" w:ascii="宋体" w:hAnsi="宋体"/>
          <w:b/>
          <w:color w:val="auto"/>
          <w:sz w:val="24"/>
          <w:highlight w:val="none"/>
        </w:rPr>
        <w:t>质量保证</w:t>
      </w:r>
    </w:p>
    <w:p w14:paraId="0D6F340B">
      <w:pPr>
        <w:keepNext w:val="0"/>
        <w:keepLines w:val="0"/>
        <w:pageBreakBefore w:val="0"/>
        <w:widowControl w:val="0"/>
        <w:kinsoku/>
        <w:wordWrap/>
        <w:topLinePunct w:val="0"/>
        <w:bidi w:val="0"/>
        <w:adjustRightInd w:val="0"/>
        <w:snapToGrid w:val="0"/>
        <w:spacing w:line="480" w:lineRule="exact"/>
        <w:ind w:firstLine="525"/>
        <w:jc w:val="left"/>
        <w:textAlignment w:val="auto"/>
        <w:rPr>
          <w:rFonts w:ascii="宋体" w:hAnsi="宋体"/>
          <w:color w:val="auto"/>
          <w:sz w:val="24"/>
          <w:highlight w:val="none"/>
        </w:rPr>
      </w:pPr>
      <w:r>
        <w:rPr>
          <w:rFonts w:hint="eastAsia" w:ascii="宋体" w:hAnsi="宋体"/>
          <w:color w:val="auto"/>
          <w:sz w:val="24"/>
          <w:highlight w:val="none"/>
        </w:rPr>
        <w:t>乙方所提供的服务必须符合国家有关标准要求。</w:t>
      </w:r>
    </w:p>
    <w:p w14:paraId="6E0DD671">
      <w:pPr>
        <w:keepNext w:val="0"/>
        <w:keepLines w:val="0"/>
        <w:pageBreakBefore w:val="0"/>
        <w:widowControl w:val="0"/>
        <w:kinsoku/>
        <w:wordWrap/>
        <w:topLinePunct w:val="0"/>
        <w:bidi w:val="0"/>
        <w:spacing w:line="48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乙方保证本项目所涉设备</w:t>
      </w:r>
      <w:r>
        <w:rPr>
          <w:rFonts w:ascii="宋体" w:hAnsi="宋体"/>
          <w:color w:val="auto"/>
          <w:sz w:val="24"/>
          <w:highlight w:val="none"/>
        </w:rPr>
        <w:t>及其各部件应为全新</w:t>
      </w:r>
      <w:r>
        <w:rPr>
          <w:rFonts w:hint="eastAsia" w:ascii="宋体" w:hAnsi="宋体"/>
          <w:color w:val="auto"/>
          <w:sz w:val="24"/>
          <w:highlight w:val="none"/>
        </w:rPr>
        <w:t>、</w:t>
      </w:r>
      <w:r>
        <w:rPr>
          <w:rFonts w:ascii="宋体" w:hAnsi="宋体"/>
          <w:color w:val="auto"/>
          <w:sz w:val="24"/>
          <w:highlight w:val="none"/>
        </w:rPr>
        <w:t>未曾使用过之优质产品，与规定的质量、规格和性能相符，并保证该产品确系原厂制造，同时提供</w:t>
      </w:r>
      <w:r>
        <w:rPr>
          <w:rFonts w:hint="eastAsia" w:ascii="宋体" w:hAnsi="宋体"/>
          <w:color w:val="auto"/>
          <w:sz w:val="24"/>
          <w:highlight w:val="none"/>
        </w:rPr>
        <w:t>原厂承诺的</w:t>
      </w:r>
      <w:r>
        <w:rPr>
          <w:rFonts w:ascii="宋体" w:hAnsi="宋体"/>
          <w:color w:val="auto"/>
          <w:sz w:val="24"/>
          <w:highlight w:val="none"/>
        </w:rPr>
        <w:t>产品质量保证书、技术性能说明书、有关部门的检测测试报告、质量标准认证证书等相关材料。</w:t>
      </w:r>
    </w:p>
    <w:p w14:paraId="118769D4">
      <w:pPr>
        <w:keepNext w:val="0"/>
        <w:keepLines w:val="0"/>
        <w:pageBreakBefore w:val="0"/>
        <w:widowControl w:val="0"/>
        <w:kinsoku/>
        <w:wordWrap/>
        <w:topLinePunct w:val="0"/>
        <w:bidi w:val="0"/>
        <w:spacing w:line="48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乙方必须严格按照招投标文件中的要点和乙方的设计方案内容及相关承诺进行建设，未经过甲方确认不得任意变更。</w:t>
      </w:r>
    </w:p>
    <w:p w14:paraId="6123C240">
      <w:pPr>
        <w:keepNext w:val="0"/>
        <w:keepLines w:val="0"/>
        <w:pageBreakBefore w:val="0"/>
        <w:widowControl w:val="0"/>
        <w:numPr>
          <w:ilvl w:val="0"/>
          <w:numId w:val="4"/>
        </w:numPr>
        <w:kinsoku/>
        <w:wordWrap/>
        <w:topLinePunct w:val="0"/>
        <w:bidi w:val="0"/>
        <w:snapToGrid w:val="0"/>
        <w:spacing w:line="480" w:lineRule="exact"/>
        <w:jc w:val="left"/>
        <w:textAlignment w:val="auto"/>
        <w:rPr>
          <w:rFonts w:ascii="宋体" w:hAnsi="宋体"/>
          <w:b/>
          <w:color w:val="auto"/>
          <w:sz w:val="24"/>
          <w:highlight w:val="none"/>
        </w:rPr>
      </w:pPr>
      <w:r>
        <w:rPr>
          <w:rFonts w:hint="eastAsia" w:ascii="宋体" w:hAnsi="宋体"/>
          <w:b/>
          <w:color w:val="auto"/>
          <w:sz w:val="24"/>
          <w:highlight w:val="none"/>
        </w:rPr>
        <w:t>工期与维保服务时间</w:t>
      </w:r>
    </w:p>
    <w:p w14:paraId="50EB85B1">
      <w:pPr>
        <w:keepNext w:val="0"/>
        <w:keepLines w:val="0"/>
        <w:pageBreakBefore w:val="0"/>
        <w:widowControl w:val="0"/>
        <w:kinsoku/>
        <w:wordWrap/>
        <w:topLinePunct w:val="0"/>
        <w:bidi w:val="0"/>
        <w:spacing w:line="48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项目工期：</w:t>
      </w:r>
      <w:r>
        <w:rPr>
          <w:rFonts w:hint="eastAsia" w:ascii="宋体" w:cs="宋体"/>
          <w:color w:val="auto"/>
          <w:sz w:val="24"/>
          <w:highlight w:val="none"/>
          <w:lang w:val="zh-CN"/>
        </w:rPr>
        <w:t>自合同</w:t>
      </w:r>
      <w:r>
        <w:rPr>
          <w:rFonts w:hint="eastAsia" w:ascii="宋体" w:cs="宋体"/>
          <w:color w:val="auto"/>
          <w:sz w:val="24"/>
          <w:highlight w:val="none"/>
          <w:lang w:val="en-US" w:eastAsia="zh-CN"/>
        </w:rPr>
        <w:t>签署后</w:t>
      </w:r>
      <w:r>
        <w:rPr>
          <w:rFonts w:hint="eastAsia" w:ascii="宋体" w:hAnsi="宋体"/>
          <w:color w:val="auto"/>
          <w:sz w:val="24"/>
          <w:highlight w:val="none"/>
        </w:rPr>
        <w:t>自合同签定之日起60天内完成。</w:t>
      </w:r>
    </w:p>
    <w:p w14:paraId="1A82273B">
      <w:pPr>
        <w:keepNext w:val="0"/>
        <w:keepLines w:val="0"/>
        <w:pageBreakBefore w:val="0"/>
        <w:widowControl w:val="0"/>
        <w:kinsoku/>
        <w:wordWrap/>
        <w:topLinePunct w:val="0"/>
        <w:bidi w:val="0"/>
        <w:spacing w:line="48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（1）存储资源服务上线</w:t>
      </w:r>
    </w:p>
    <w:p w14:paraId="6DC31B9D">
      <w:pPr>
        <w:keepNext w:val="0"/>
        <w:keepLines w:val="0"/>
        <w:pageBreakBefore w:val="0"/>
        <w:widowControl w:val="0"/>
        <w:kinsoku/>
        <w:wordWrap/>
        <w:topLinePunct w:val="0"/>
        <w:bidi w:val="0"/>
        <w:spacing w:line="48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（2）数据保护和备份服务上线</w:t>
      </w:r>
    </w:p>
    <w:p w14:paraId="4DBB7FA6">
      <w:pPr>
        <w:keepNext w:val="0"/>
        <w:keepLines w:val="0"/>
        <w:pageBreakBefore w:val="0"/>
        <w:widowControl w:val="0"/>
        <w:tabs>
          <w:tab w:val="left" w:pos="2127"/>
        </w:tabs>
        <w:kinsoku/>
        <w:wordWrap/>
        <w:topLinePunct w:val="0"/>
        <w:bidi w:val="0"/>
        <w:spacing w:line="48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（3）数据分析服务上线</w:t>
      </w:r>
      <w:r>
        <w:rPr>
          <w:rFonts w:hint="eastAsia" w:ascii="宋体" w:hAnsi="宋体"/>
          <w:color w:val="auto"/>
          <w:sz w:val="24"/>
          <w:highlight w:val="none"/>
        </w:rPr>
        <w:t>。</w:t>
      </w:r>
    </w:p>
    <w:p w14:paraId="6A983362">
      <w:pPr>
        <w:keepNext w:val="0"/>
        <w:keepLines w:val="0"/>
        <w:pageBreakBefore w:val="0"/>
        <w:widowControl w:val="0"/>
        <w:numPr>
          <w:ilvl w:val="0"/>
          <w:numId w:val="4"/>
        </w:numPr>
        <w:kinsoku/>
        <w:wordWrap/>
        <w:topLinePunct w:val="0"/>
        <w:bidi w:val="0"/>
        <w:snapToGrid w:val="0"/>
        <w:spacing w:line="480" w:lineRule="exact"/>
        <w:jc w:val="left"/>
        <w:textAlignment w:val="auto"/>
        <w:rPr>
          <w:rFonts w:ascii="宋体" w:hAnsi="宋体" w:cs="宋体"/>
          <w:color w:val="auto"/>
          <w:kern w:val="0"/>
          <w:sz w:val="24"/>
          <w:highlight w:val="none"/>
        </w:rPr>
      </w:pPr>
      <w:r>
        <w:rPr>
          <w:rFonts w:hint="eastAsia" w:ascii="Times New Roman" w:hAnsi="Times New Roman" w:eastAsia="宋体" w:cs="Times New Roman"/>
          <w:b/>
          <w:bCs/>
          <w:color w:val="auto"/>
          <w:kern w:val="2"/>
          <w:sz w:val="24"/>
          <w:szCs w:val="24"/>
          <w:highlight w:val="none"/>
          <w:u w:val="none" w:color="auto"/>
          <w:lang w:val="en-US" w:eastAsia="zh-CN" w:bidi="ar-SA"/>
        </w:rPr>
        <w:t>合同价格</w:t>
      </w:r>
      <w:r>
        <w:rPr>
          <w:rFonts w:hint="eastAsia" w:ascii="宋体" w:hAnsi="宋体"/>
          <w:b/>
          <w:color w:val="auto"/>
          <w:sz w:val="24"/>
          <w:highlight w:val="none"/>
          <w:lang w:val="en-US" w:eastAsia="zh-CN"/>
        </w:rPr>
        <w:t>与</w:t>
      </w:r>
      <w:r>
        <w:rPr>
          <w:rFonts w:hint="eastAsia" w:ascii="宋体" w:hAnsi="宋体"/>
          <w:b/>
          <w:color w:val="auto"/>
          <w:sz w:val="24"/>
          <w:highlight w:val="none"/>
        </w:rPr>
        <w:t>付款方式：</w:t>
      </w:r>
    </w:p>
    <w:tbl>
      <w:tblPr>
        <w:tblStyle w:val="14"/>
        <w:tblW w:w="452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54"/>
        <w:gridCol w:w="3438"/>
        <w:gridCol w:w="812"/>
        <w:gridCol w:w="840"/>
        <w:gridCol w:w="1857"/>
      </w:tblGrid>
      <w:tr w14:paraId="2F3F1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712" w:type="pct"/>
            <w:tcBorders>
              <w:top w:val="single" w:color="000000" w:sz="4" w:space="0"/>
              <w:left w:val="single" w:color="000000" w:sz="4" w:space="0"/>
              <w:bottom w:val="single" w:color="000000" w:sz="4" w:space="0"/>
              <w:right w:val="single" w:color="000000" w:sz="4" w:space="0"/>
            </w:tcBorders>
            <w:noWrap w:val="0"/>
            <w:vAlign w:val="center"/>
          </w:tcPr>
          <w:p w14:paraId="2711B1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b/>
                <w:bCs/>
                <w:color w:val="auto"/>
                <w:kern w:val="2"/>
                <w:sz w:val="24"/>
                <w:szCs w:val="24"/>
                <w:highlight w:val="none"/>
                <w:u w:val="none" w:color="auto"/>
                <w:lang w:val="en-US" w:eastAsia="zh-CN" w:bidi="ar-SA"/>
              </w:rPr>
            </w:pPr>
            <w:r>
              <w:rPr>
                <w:rFonts w:hint="eastAsia" w:ascii="Times New Roman" w:hAnsi="Times New Roman" w:eastAsia="宋体" w:cs="Times New Roman"/>
                <w:b/>
                <w:bCs/>
                <w:color w:val="auto"/>
                <w:kern w:val="2"/>
                <w:sz w:val="24"/>
                <w:szCs w:val="24"/>
                <w:highlight w:val="none"/>
                <w:u w:val="none" w:color="auto"/>
                <w:lang w:val="en-US" w:eastAsia="zh-CN" w:bidi="ar-SA"/>
              </w:rPr>
              <w:t>序号</w:t>
            </w:r>
          </w:p>
        </w:tc>
        <w:tc>
          <w:tcPr>
            <w:tcW w:w="2121" w:type="pct"/>
            <w:tcBorders>
              <w:top w:val="single" w:color="000000" w:sz="4" w:space="0"/>
              <w:left w:val="single" w:color="000000" w:sz="4" w:space="0"/>
              <w:bottom w:val="single" w:color="000000" w:sz="4" w:space="0"/>
              <w:right w:val="single" w:color="000000" w:sz="4" w:space="0"/>
            </w:tcBorders>
            <w:noWrap w:val="0"/>
            <w:vAlign w:val="center"/>
          </w:tcPr>
          <w:p w14:paraId="53830A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b/>
                <w:bCs/>
                <w:color w:val="auto"/>
                <w:kern w:val="2"/>
                <w:sz w:val="24"/>
                <w:szCs w:val="24"/>
                <w:highlight w:val="none"/>
                <w:u w:val="none" w:color="auto"/>
                <w:lang w:val="en-US" w:eastAsia="zh-CN" w:bidi="ar-SA"/>
              </w:rPr>
            </w:pPr>
            <w:r>
              <w:rPr>
                <w:rFonts w:hint="eastAsia" w:cs="Times New Roman"/>
                <w:b/>
                <w:bCs/>
                <w:color w:val="auto"/>
                <w:kern w:val="2"/>
                <w:sz w:val="24"/>
                <w:szCs w:val="24"/>
                <w:highlight w:val="none"/>
                <w:u w:val="none" w:color="auto"/>
                <w:lang w:val="en-US" w:eastAsia="zh-CN" w:bidi="ar-SA"/>
              </w:rPr>
              <w:t>用于本</w:t>
            </w:r>
            <w:r>
              <w:rPr>
                <w:rFonts w:hint="eastAsia" w:ascii="Times New Roman" w:hAnsi="Times New Roman" w:eastAsia="宋体" w:cs="Times New Roman"/>
                <w:b/>
                <w:bCs/>
                <w:color w:val="auto"/>
                <w:kern w:val="2"/>
                <w:sz w:val="24"/>
                <w:szCs w:val="24"/>
                <w:highlight w:val="none"/>
                <w:u w:val="none" w:color="auto"/>
                <w:lang w:val="en-US" w:eastAsia="zh-CN" w:bidi="ar-SA"/>
              </w:rPr>
              <w:t>服务</w:t>
            </w:r>
            <w:r>
              <w:rPr>
                <w:rFonts w:hint="eastAsia" w:cs="Times New Roman"/>
                <w:b/>
                <w:bCs/>
                <w:color w:val="auto"/>
                <w:kern w:val="2"/>
                <w:sz w:val="24"/>
                <w:szCs w:val="24"/>
                <w:highlight w:val="none"/>
                <w:u w:val="none" w:color="auto"/>
                <w:lang w:val="en-US" w:eastAsia="zh-CN" w:bidi="ar-SA"/>
              </w:rPr>
              <w:t>项目的</w:t>
            </w:r>
            <w:r>
              <w:rPr>
                <w:rFonts w:hint="eastAsia" w:ascii="Times New Roman" w:hAnsi="Times New Roman" w:eastAsia="宋体" w:cs="Times New Roman"/>
                <w:b/>
                <w:bCs/>
                <w:color w:val="auto"/>
                <w:kern w:val="2"/>
                <w:sz w:val="24"/>
                <w:szCs w:val="24"/>
                <w:highlight w:val="none"/>
                <w:u w:val="none" w:color="auto"/>
                <w:lang w:val="en-US" w:eastAsia="zh-CN" w:bidi="ar-SA"/>
              </w:rPr>
              <w:t>产品名称</w:t>
            </w: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58DB6E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b/>
                <w:bCs/>
                <w:color w:val="auto"/>
                <w:kern w:val="2"/>
                <w:sz w:val="24"/>
                <w:szCs w:val="24"/>
                <w:highlight w:val="none"/>
                <w:u w:val="none" w:color="auto"/>
                <w:lang w:val="en-US" w:eastAsia="zh-CN" w:bidi="ar-SA"/>
              </w:rPr>
            </w:pPr>
            <w:r>
              <w:rPr>
                <w:rFonts w:hint="eastAsia" w:ascii="Times New Roman" w:hAnsi="Times New Roman" w:eastAsia="宋体" w:cs="Times New Roman"/>
                <w:b/>
                <w:bCs/>
                <w:color w:val="auto"/>
                <w:kern w:val="2"/>
                <w:sz w:val="24"/>
                <w:szCs w:val="24"/>
                <w:highlight w:val="none"/>
                <w:u w:val="none" w:color="auto"/>
                <w:lang w:val="en-US" w:eastAsia="zh-CN" w:bidi="ar-SA"/>
              </w:rPr>
              <w:t>数量</w:t>
            </w:r>
          </w:p>
        </w:tc>
        <w:tc>
          <w:tcPr>
            <w:tcW w:w="518" w:type="pct"/>
            <w:tcBorders>
              <w:top w:val="single" w:color="000000" w:sz="4" w:space="0"/>
              <w:left w:val="single" w:color="000000" w:sz="4" w:space="0"/>
              <w:bottom w:val="single" w:color="auto" w:sz="4" w:space="0"/>
              <w:right w:val="single" w:color="000000" w:sz="4" w:space="0"/>
            </w:tcBorders>
            <w:noWrap w:val="0"/>
            <w:vAlign w:val="center"/>
          </w:tcPr>
          <w:p w14:paraId="0D39D4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b/>
                <w:bCs/>
                <w:color w:val="auto"/>
                <w:kern w:val="2"/>
                <w:sz w:val="24"/>
                <w:szCs w:val="24"/>
                <w:highlight w:val="none"/>
                <w:u w:val="none" w:color="auto"/>
                <w:lang w:val="en-US" w:eastAsia="zh-CN" w:bidi="ar-SA"/>
              </w:rPr>
            </w:pPr>
            <w:r>
              <w:rPr>
                <w:rFonts w:hint="eastAsia" w:ascii="Times New Roman" w:hAnsi="Times New Roman" w:eastAsia="宋体" w:cs="Times New Roman"/>
                <w:b/>
                <w:bCs/>
                <w:color w:val="auto"/>
                <w:kern w:val="2"/>
                <w:sz w:val="24"/>
                <w:szCs w:val="24"/>
                <w:highlight w:val="none"/>
                <w:u w:val="none" w:color="auto"/>
                <w:lang w:val="en-US" w:eastAsia="zh-CN" w:bidi="ar-SA"/>
              </w:rPr>
              <w:t>单位</w:t>
            </w:r>
          </w:p>
        </w:tc>
        <w:tc>
          <w:tcPr>
            <w:tcW w:w="1146" w:type="pct"/>
            <w:tcBorders>
              <w:top w:val="single" w:color="000000" w:sz="4" w:space="0"/>
              <w:left w:val="single" w:color="000000" w:sz="4" w:space="0"/>
              <w:bottom w:val="single" w:color="auto" w:sz="4" w:space="0"/>
              <w:right w:val="single" w:color="000000" w:sz="4" w:space="0"/>
            </w:tcBorders>
            <w:noWrap w:val="0"/>
            <w:vAlign w:val="center"/>
          </w:tcPr>
          <w:p w14:paraId="50084E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color w:val="auto"/>
                <w:kern w:val="2"/>
                <w:sz w:val="24"/>
                <w:szCs w:val="24"/>
                <w:highlight w:val="none"/>
                <w:u w:val="none" w:color="auto"/>
                <w:lang w:val="en-US" w:eastAsia="zh-CN" w:bidi="ar-SA"/>
              </w:rPr>
            </w:pPr>
            <w:r>
              <w:rPr>
                <w:rFonts w:hint="eastAsia" w:ascii="Times New Roman" w:hAnsi="Times New Roman" w:eastAsia="宋体" w:cs="Times New Roman"/>
                <w:b/>
                <w:bCs/>
                <w:color w:val="auto"/>
                <w:kern w:val="2"/>
                <w:sz w:val="24"/>
                <w:szCs w:val="24"/>
                <w:highlight w:val="none"/>
                <w:u w:val="none" w:color="auto"/>
                <w:lang w:val="en-US" w:eastAsia="zh-CN" w:bidi="ar-SA"/>
              </w:rPr>
              <w:t>选用品牌</w:t>
            </w:r>
          </w:p>
        </w:tc>
      </w:tr>
      <w:tr w14:paraId="15C67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jc w:val="center"/>
        </w:trPr>
        <w:tc>
          <w:tcPr>
            <w:tcW w:w="712" w:type="pct"/>
            <w:tcBorders>
              <w:top w:val="single" w:color="000000" w:sz="4" w:space="0"/>
              <w:left w:val="single" w:color="000000" w:sz="4" w:space="0"/>
              <w:bottom w:val="single" w:color="000000" w:sz="4" w:space="0"/>
              <w:right w:val="single" w:color="000000" w:sz="4" w:space="0"/>
            </w:tcBorders>
            <w:noWrap w:val="0"/>
            <w:vAlign w:val="center"/>
          </w:tcPr>
          <w:p w14:paraId="587C2DB2">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Times New Roman"/>
                <w:b/>
                <w:bCs/>
                <w:color w:val="auto"/>
                <w:kern w:val="2"/>
                <w:sz w:val="24"/>
                <w:szCs w:val="24"/>
                <w:highlight w:val="none"/>
                <w:u w:val="none" w:color="auto"/>
                <w:lang w:val="en-US" w:eastAsia="zh-CN" w:bidi="ar-SA"/>
              </w:rPr>
            </w:pPr>
          </w:p>
        </w:tc>
        <w:tc>
          <w:tcPr>
            <w:tcW w:w="2121" w:type="pct"/>
            <w:tcBorders>
              <w:top w:val="single" w:color="000000" w:sz="4" w:space="0"/>
              <w:left w:val="single" w:color="000000" w:sz="4" w:space="0"/>
              <w:bottom w:val="single" w:color="000000" w:sz="4" w:space="0"/>
              <w:right w:val="single" w:color="000000" w:sz="4" w:space="0"/>
            </w:tcBorders>
            <w:noWrap w:val="0"/>
            <w:vAlign w:val="center"/>
          </w:tcPr>
          <w:p w14:paraId="27B3E286">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Times New Roman"/>
                <w:b/>
                <w:bCs/>
                <w:color w:val="auto"/>
                <w:kern w:val="2"/>
                <w:sz w:val="24"/>
                <w:szCs w:val="24"/>
                <w:highlight w:val="none"/>
                <w:u w:val="none" w:color="auto"/>
                <w:lang w:val="en-US" w:eastAsia="zh-CN" w:bidi="ar-SA"/>
              </w:rPr>
            </w:pPr>
          </w:p>
        </w:tc>
        <w:tc>
          <w:tcPr>
            <w:tcW w:w="501" w:type="pct"/>
            <w:tcBorders>
              <w:top w:val="single" w:color="000000" w:sz="4" w:space="0"/>
              <w:left w:val="single" w:color="000000" w:sz="4" w:space="0"/>
              <w:bottom w:val="single" w:color="000000" w:sz="4" w:space="0"/>
              <w:right w:val="single" w:color="auto" w:sz="4" w:space="0"/>
            </w:tcBorders>
            <w:noWrap w:val="0"/>
            <w:vAlign w:val="center"/>
          </w:tcPr>
          <w:p w14:paraId="188B2211">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color w:val="auto"/>
                <w:kern w:val="2"/>
                <w:sz w:val="24"/>
                <w:szCs w:val="24"/>
                <w:highlight w:val="none"/>
                <w:u w:val="none" w:color="auto"/>
                <w:lang w:val="en-US" w:eastAsia="zh-CN" w:bidi="ar-SA"/>
              </w:rPr>
            </w:pPr>
          </w:p>
        </w:tc>
        <w:tc>
          <w:tcPr>
            <w:tcW w:w="518" w:type="pct"/>
            <w:tcBorders>
              <w:top w:val="single" w:color="auto" w:sz="4" w:space="0"/>
              <w:left w:val="single" w:color="auto" w:sz="4" w:space="0"/>
              <w:bottom w:val="single" w:color="auto" w:sz="4" w:space="0"/>
              <w:right w:val="single" w:color="auto" w:sz="4" w:space="0"/>
            </w:tcBorders>
            <w:noWrap w:val="0"/>
            <w:vAlign w:val="center"/>
          </w:tcPr>
          <w:p w14:paraId="254D694E">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Times New Roman"/>
                <w:b/>
                <w:bCs/>
                <w:color w:val="auto"/>
                <w:kern w:val="2"/>
                <w:sz w:val="24"/>
                <w:szCs w:val="24"/>
                <w:highlight w:val="none"/>
                <w:u w:val="none" w:color="auto"/>
                <w:lang w:val="en-US" w:eastAsia="zh-CN" w:bidi="ar-SA"/>
              </w:rPr>
            </w:pPr>
          </w:p>
        </w:tc>
        <w:tc>
          <w:tcPr>
            <w:tcW w:w="1146" w:type="pct"/>
            <w:tcBorders>
              <w:top w:val="single" w:color="auto" w:sz="4" w:space="0"/>
              <w:left w:val="single" w:color="auto" w:sz="4" w:space="0"/>
              <w:bottom w:val="single" w:color="auto" w:sz="4" w:space="0"/>
              <w:right w:val="single" w:color="auto" w:sz="4" w:space="0"/>
            </w:tcBorders>
            <w:noWrap w:val="0"/>
            <w:vAlign w:val="center"/>
          </w:tcPr>
          <w:p w14:paraId="4A928E9F">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Times New Roman"/>
                <w:b/>
                <w:bCs/>
                <w:color w:val="auto"/>
                <w:kern w:val="2"/>
                <w:sz w:val="24"/>
                <w:szCs w:val="24"/>
                <w:highlight w:val="none"/>
                <w:u w:val="none" w:color="auto"/>
                <w:lang w:val="en-US" w:eastAsia="zh-CN" w:bidi="ar-SA"/>
              </w:rPr>
            </w:pPr>
          </w:p>
        </w:tc>
      </w:tr>
      <w:tr w14:paraId="6B18B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jc w:val="center"/>
        </w:trPr>
        <w:tc>
          <w:tcPr>
            <w:tcW w:w="712" w:type="pct"/>
            <w:tcBorders>
              <w:top w:val="single" w:color="000000" w:sz="4" w:space="0"/>
              <w:left w:val="single" w:color="000000" w:sz="4" w:space="0"/>
              <w:bottom w:val="single" w:color="000000" w:sz="4" w:space="0"/>
              <w:right w:val="single" w:color="000000" w:sz="4" w:space="0"/>
            </w:tcBorders>
            <w:noWrap w:val="0"/>
            <w:vAlign w:val="center"/>
          </w:tcPr>
          <w:p w14:paraId="62A0F8D7">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Times New Roman"/>
                <w:b/>
                <w:bCs/>
                <w:color w:val="auto"/>
                <w:kern w:val="2"/>
                <w:sz w:val="24"/>
                <w:szCs w:val="24"/>
                <w:highlight w:val="none"/>
                <w:u w:val="none" w:color="auto"/>
                <w:lang w:val="en-US" w:eastAsia="zh-CN" w:bidi="ar-SA"/>
              </w:rPr>
            </w:pPr>
          </w:p>
        </w:tc>
        <w:tc>
          <w:tcPr>
            <w:tcW w:w="2121" w:type="pct"/>
            <w:tcBorders>
              <w:top w:val="single" w:color="000000" w:sz="4" w:space="0"/>
              <w:left w:val="single" w:color="000000" w:sz="4" w:space="0"/>
              <w:bottom w:val="single" w:color="000000" w:sz="4" w:space="0"/>
              <w:right w:val="single" w:color="000000" w:sz="4" w:space="0"/>
            </w:tcBorders>
            <w:noWrap w:val="0"/>
            <w:vAlign w:val="center"/>
          </w:tcPr>
          <w:p w14:paraId="7186F374">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Times New Roman"/>
                <w:b/>
                <w:bCs/>
                <w:color w:val="auto"/>
                <w:kern w:val="2"/>
                <w:sz w:val="24"/>
                <w:szCs w:val="24"/>
                <w:highlight w:val="none"/>
                <w:u w:val="none" w:color="auto"/>
                <w:lang w:val="en-US" w:eastAsia="zh-CN" w:bidi="ar-SA"/>
              </w:rPr>
            </w:pPr>
          </w:p>
        </w:tc>
        <w:tc>
          <w:tcPr>
            <w:tcW w:w="501" w:type="pct"/>
            <w:tcBorders>
              <w:top w:val="single" w:color="000000" w:sz="4" w:space="0"/>
              <w:left w:val="single" w:color="000000" w:sz="4" w:space="0"/>
              <w:bottom w:val="single" w:color="000000" w:sz="4" w:space="0"/>
              <w:right w:val="single" w:color="auto" w:sz="4" w:space="0"/>
            </w:tcBorders>
            <w:noWrap w:val="0"/>
            <w:vAlign w:val="center"/>
          </w:tcPr>
          <w:p w14:paraId="4E9839E9">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Times New Roman"/>
                <w:b/>
                <w:bCs/>
                <w:color w:val="auto"/>
                <w:kern w:val="2"/>
                <w:sz w:val="24"/>
                <w:szCs w:val="24"/>
                <w:highlight w:val="none"/>
                <w:u w:val="none" w:color="auto"/>
                <w:lang w:val="en-US" w:eastAsia="zh-CN" w:bidi="ar-SA"/>
              </w:rPr>
            </w:pPr>
          </w:p>
        </w:tc>
        <w:tc>
          <w:tcPr>
            <w:tcW w:w="518" w:type="pct"/>
            <w:tcBorders>
              <w:top w:val="single" w:color="auto" w:sz="4" w:space="0"/>
              <w:left w:val="single" w:color="auto" w:sz="4" w:space="0"/>
              <w:bottom w:val="single" w:color="auto" w:sz="4" w:space="0"/>
              <w:right w:val="single" w:color="auto" w:sz="4" w:space="0"/>
            </w:tcBorders>
            <w:noWrap w:val="0"/>
            <w:vAlign w:val="center"/>
          </w:tcPr>
          <w:p w14:paraId="15D0F358">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Times New Roman"/>
                <w:b/>
                <w:bCs/>
                <w:color w:val="auto"/>
                <w:kern w:val="2"/>
                <w:sz w:val="24"/>
                <w:szCs w:val="24"/>
                <w:highlight w:val="none"/>
                <w:u w:val="none" w:color="auto"/>
                <w:lang w:val="en-US" w:eastAsia="zh-CN" w:bidi="ar-SA"/>
              </w:rPr>
            </w:pPr>
          </w:p>
        </w:tc>
        <w:tc>
          <w:tcPr>
            <w:tcW w:w="1146" w:type="pct"/>
            <w:tcBorders>
              <w:top w:val="single" w:color="auto" w:sz="4" w:space="0"/>
              <w:left w:val="single" w:color="auto" w:sz="4" w:space="0"/>
              <w:bottom w:val="single" w:color="auto" w:sz="4" w:space="0"/>
              <w:right w:val="single" w:color="auto" w:sz="4" w:space="0"/>
            </w:tcBorders>
            <w:noWrap w:val="0"/>
            <w:vAlign w:val="center"/>
          </w:tcPr>
          <w:p w14:paraId="646778D9">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color w:val="auto"/>
                <w:kern w:val="2"/>
                <w:sz w:val="24"/>
                <w:szCs w:val="24"/>
                <w:highlight w:val="none"/>
                <w:u w:val="none" w:color="auto"/>
                <w:lang w:val="en-US" w:eastAsia="zh-CN" w:bidi="ar-SA"/>
              </w:rPr>
            </w:pPr>
          </w:p>
        </w:tc>
      </w:tr>
      <w:tr w14:paraId="56F7C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jc w:val="center"/>
        </w:trPr>
        <w:tc>
          <w:tcPr>
            <w:tcW w:w="712" w:type="pct"/>
            <w:tcBorders>
              <w:top w:val="single" w:color="000000" w:sz="4" w:space="0"/>
              <w:left w:val="single" w:color="000000" w:sz="4" w:space="0"/>
              <w:bottom w:val="single" w:color="000000" w:sz="4" w:space="0"/>
              <w:right w:val="single" w:color="000000" w:sz="4" w:space="0"/>
            </w:tcBorders>
            <w:noWrap w:val="0"/>
            <w:vAlign w:val="center"/>
          </w:tcPr>
          <w:p w14:paraId="5C497577">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Times New Roman"/>
                <w:b/>
                <w:bCs/>
                <w:color w:val="auto"/>
                <w:kern w:val="2"/>
                <w:sz w:val="24"/>
                <w:szCs w:val="24"/>
                <w:highlight w:val="none"/>
                <w:u w:val="none" w:color="auto"/>
                <w:lang w:val="en-US" w:eastAsia="zh-CN" w:bidi="ar-SA"/>
              </w:rPr>
            </w:pPr>
          </w:p>
        </w:tc>
        <w:tc>
          <w:tcPr>
            <w:tcW w:w="2121" w:type="pct"/>
            <w:tcBorders>
              <w:top w:val="single" w:color="000000" w:sz="4" w:space="0"/>
              <w:left w:val="single" w:color="000000" w:sz="4" w:space="0"/>
              <w:bottom w:val="single" w:color="000000" w:sz="4" w:space="0"/>
              <w:right w:val="single" w:color="000000" w:sz="4" w:space="0"/>
            </w:tcBorders>
            <w:noWrap w:val="0"/>
            <w:vAlign w:val="center"/>
          </w:tcPr>
          <w:p w14:paraId="065B3BE0">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Times New Roman"/>
                <w:b/>
                <w:bCs/>
                <w:color w:val="auto"/>
                <w:kern w:val="2"/>
                <w:sz w:val="24"/>
                <w:szCs w:val="24"/>
                <w:highlight w:val="none"/>
                <w:u w:val="none" w:color="auto"/>
                <w:lang w:val="en-US" w:eastAsia="zh-CN" w:bidi="ar-SA"/>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57857C0D">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Times New Roman"/>
                <w:b/>
                <w:bCs/>
                <w:color w:val="auto"/>
                <w:kern w:val="2"/>
                <w:sz w:val="24"/>
                <w:szCs w:val="24"/>
                <w:highlight w:val="none"/>
                <w:u w:val="none" w:color="auto"/>
                <w:lang w:val="en-US" w:eastAsia="zh-CN" w:bidi="ar-SA"/>
              </w:rPr>
            </w:pPr>
          </w:p>
        </w:tc>
        <w:tc>
          <w:tcPr>
            <w:tcW w:w="518" w:type="pct"/>
            <w:tcBorders>
              <w:top w:val="single" w:color="auto" w:sz="4" w:space="0"/>
              <w:left w:val="single" w:color="000000" w:sz="4" w:space="0"/>
              <w:bottom w:val="single" w:color="000000" w:sz="4" w:space="0"/>
              <w:right w:val="single" w:color="000000" w:sz="4" w:space="0"/>
            </w:tcBorders>
            <w:noWrap w:val="0"/>
            <w:vAlign w:val="center"/>
          </w:tcPr>
          <w:p w14:paraId="5906822E">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color w:val="auto"/>
                <w:kern w:val="2"/>
                <w:sz w:val="24"/>
                <w:szCs w:val="24"/>
                <w:highlight w:val="none"/>
                <w:u w:val="none" w:color="auto"/>
                <w:lang w:val="en-US" w:eastAsia="zh-CN" w:bidi="ar-SA"/>
              </w:rPr>
            </w:pPr>
          </w:p>
        </w:tc>
        <w:tc>
          <w:tcPr>
            <w:tcW w:w="1146" w:type="pct"/>
            <w:tcBorders>
              <w:top w:val="single" w:color="auto" w:sz="4" w:space="0"/>
              <w:left w:val="single" w:color="000000" w:sz="4" w:space="0"/>
              <w:bottom w:val="single" w:color="000000" w:sz="4" w:space="0"/>
              <w:right w:val="single" w:color="000000" w:sz="4" w:space="0"/>
            </w:tcBorders>
            <w:noWrap w:val="0"/>
            <w:vAlign w:val="center"/>
          </w:tcPr>
          <w:p w14:paraId="7D7844D1">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Times New Roman"/>
                <w:b/>
                <w:bCs/>
                <w:color w:val="auto"/>
                <w:kern w:val="2"/>
                <w:sz w:val="24"/>
                <w:szCs w:val="24"/>
                <w:highlight w:val="none"/>
                <w:u w:val="none" w:color="auto"/>
                <w:lang w:val="en-US" w:eastAsia="zh-CN" w:bidi="ar-SA"/>
              </w:rPr>
            </w:pPr>
          </w:p>
        </w:tc>
      </w:tr>
      <w:tr w14:paraId="0CB4C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712" w:type="pct"/>
            <w:tcBorders>
              <w:top w:val="single" w:color="000000" w:sz="4" w:space="0"/>
              <w:left w:val="single" w:color="000000" w:sz="4" w:space="0"/>
              <w:bottom w:val="single" w:color="000000" w:sz="4" w:space="0"/>
              <w:right w:val="single" w:color="000000" w:sz="4" w:space="0"/>
            </w:tcBorders>
            <w:noWrap w:val="0"/>
            <w:vAlign w:val="center"/>
          </w:tcPr>
          <w:p w14:paraId="5283A1D7">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Times New Roman"/>
                <w:b/>
                <w:bCs/>
                <w:color w:val="auto"/>
                <w:kern w:val="2"/>
                <w:sz w:val="24"/>
                <w:szCs w:val="24"/>
                <w:highlight w:val="none"/>
                <w:u w:val="none" w:color="auto"/>
                <w:lang w:val="en-US" w:eastAsia="zh-CN" w:bidi="ar-SA"/>
              </w:rPr>
            </w:pPr>
          </w:p>
        </w:tc>
        <w:tc>
          <w:tcPr>
            <w:tcW w:w="2121" w:type="pct"/>
            <w:tcBorders>
              <w:top w:val="single" w:color="000000" w:sz="4" w:space="0"/>
              <w:left w:val="single" w:color="000000" w:sz="4" w:space="0"/>
              <w:bottom w:val="single" w:color="000000" w:sz="4" w:space="0"/>
              <w:right w:val="single" w:color="000000" w:sz="4" w:space="0"/>
            </w:tcBorders>
            <w:noWrap w:val="0"/>
            <w:vAlign w:val="center"/>
          </w:tcPr>
          <w:p w14:paraId="05504D38">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Times New Roman"/>
                <w:b/>
                <w:bCs/>
                <w:color w:val="auto"/>
                <w:kern w:val="2"/>
                <w:sz w:val="24"/>
                <w:szCs w:val="24"/>
                <w:highlight w:val="none"/>
                <w:u w:val="none" w:color="auto"/>
                <w:lang w:val="en-US" w:eastAsia="zh-CN" w:bidi="ar-SA"/>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258AAFE9">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Times New Roman"/>
                <w:b/>
                <w:bCs/>
                <w:color w:val="auto"/>
                <w:kern w:val="2"/>
                <w:sz w:val="24"/>
                <w:szCs w:val="24"/>
                <w:highlight w:val="none"/>
                <w:u w:val="none" w:color="auto"/>
                <w:lang w:val="en-US" w:eastAsia="zh-CN" w:bidi="ar-SA"/>
              </w:rPr>
            </w:pP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2C00383C">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Times New Roman"/>
                <w:b/>
                <w:bCs/>
                <w:color w:val="auto"/>
                <w:kern w:val="2"/>
                <w:sz w:val="24"/>
                <w:szCs w:val="24"/>
                <w:highlight w:val="none"/>
                <w:u w:val="none" w:color="auto"/>
                <w:lang w:val="en-US" w:eastAsia="zh-CN" w:bidi="ar-SA"/>
              </w:rPr>
            </w:pPr>
          </w:p>
        </w:tc>
        <w:tc>
          <w:tcPr>
            <w:tcW w:w="1146" w:type="pct"/>
            <w:tcBorders>
              <w:top w:val="single" w:color="000000" w:sz="4" w:space="0"/>
              <w:left w:val="single" w:color="000000" w:sz="4" w:space="0"/>
              <w:bottom w:val="single" w:color="000000" w:sz="4" w:space="0"/>
              <w:right w:val="single" w:color="000000" w:sz="4" w:space="0"/>
            </w:tcBorders>
            <w:noWrap w:val="0"/>
            <w:vAlign w:val="center"/>
          </w:tcPr>
          <w:p w14:paraId="5ED56F7B">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Times New Roman"/>
                <w:b/>
                <w:bCs/>
                <w:color w:val="auto"/>
                <w:kern w:val="2"/>
                <w:sz w:val="24"/>
                <w:szCs w:val="24"/>
                <w:highlight w:val="none"/>
                <w:u w:val="none" w:color="auto"/>
                <w:lang w:val="en-US" w:eastAsia="zh-CN" w:bidi="ar-SA"/>
              </w:rPr>
            </w:pPr>
          </w:p>
        </w:tc>
      </w:tr>
    </w:tbl>
    <w:p w14:paraId="4D9045BE">
      <w:pPr>
        <w:pStyle w:val="16"/>
        <w:snapToGrid w:val="0"/>
        <w:spacing w:line="480" w:lineRule="exact"/>
        <w:ind w:firstLine="494"/>
        <w:contextualSpacing/>
        <w:rPr>
          <w:rFonts w:hint="default" w:ascii="宋体" w:hAnsi="宋体" w:eastAsia="宋体"/>
          <w:color w:val="auto"/>
          <w:sz w:val="24"/>
          <w:highlight w:val="none"/>
          <w:u w:val="none" w:color="auto"/>
          <w:lang w:val="en-US" w:eastAsia="zh-CN"/>
        </w:rPr>
      </w:pPr>
      <w:r>
        <w:rPr>
          <w:rFonts w:hint="eastAsia" w:ascii="宋体" w:hAnsi="宋体"/>
          <w:color w:val="auto"/>
          <w:sz w:val="24"/>
          <w:highlight w:val="none"/>
          <w:u w:val="none" w:color="auto"/>
          <w:lang w:val="en-US" w:eastAsia="zh-CN"/>
        </w:rPr>
        <w:t>1、</w:t>
      </w:r>
      <w:r>
        <w:rPr>
          <w:rFonts w:hint="eastAsia" w:ascii="Times New Roman" w:hAnsi="Times New Roman" w:eastAsia="宋体" w:cs="Times New Roman"/>
          <w:b/>
          <w:bCs/>
          <w:color w:val="auto"/>
          <w:sz w:val="24"/>
          <w:szCs w:val="24"/>
          <w:highlight w:val="none"/>
          <w:u w:val="none" w:color="auto"/>
          <w:lang w:val="en-US" w:eastAsia="zh-CN"/>
        </w:rPr>
        <w:t>合同</w:t>
      </w:r>
      <w:r>
        <w:rPr>
          <w:rFonts w:hint="eastAsia" w:ascii="Times New Roman" w:hAnsi="Times New Roman" w:eastAsia="宋体" w:cs="Times New Roman"/>
          <w:b/>
          <w:bCs/>
          <w:color w:val="auto"/>
          <w:sz w:val="24"/>
          <w:szCs w:val="24"/>
          <w:highlight w:val="none"/>
          <w:u w:val="none" w:color="auto"/>
          <w:lang w:val="en-US" w:eastAsia="zh-CN"/>
        </w:rPr>
        <w:t>价格</w:t>
      </w:r>
      <w:r>
        <w:rPr>
          <w:rFonts w:hint="eastAsia" w:ascii="Times New Roman" w:hAnsi="Times New Roman" w:eastAsia="宋体"/>
          <w:b/>
          <w:bCs/>
          <w:color w:val="auto"/>
          <w:sz w:val="24"/>
          <w:szCs w:val="24"/>
          <w:highlight w:val="none"/>
          <w:u w:val="none" w:color="auto"/>
        </w:rPr>
        <w:t>包括为完成采购文件所列材料的全部费用（充分考虑包括原材料涨价在内的各种风险，报价中包含制作、运输至指定地点、上下车装卸费、检测费、税费及利润、</w:t>
      </w:r>
      <w:r>
        <w:rPr>
          <w:rFonts w:hint="eastAsia" w:ascii="Times New Roman" w:hAnsi="Times New Roman" w:eastAsia="宋体"/>
          <w:b/>
          <w:bCs/>
          <w:color w:val="auto"/>
          <w:sz w:val="24"/>
          <w:szCs w:val="24"/>
          <w:highlight w:val="none"/>
          <w:u w:val="none" w:color="auto"/>
          <w:lang w:val="en-US" w:eastAsia="zh-CN"/>
        </w:rPr>
        <w:t>服务费、</w:t>
      </w:r>
      <w:r>
        <w:rPr>
          <w:rFonts w:hint="eastAsia" w:ascii="Times New Roman" w:hAnsi="Times New Roman" w:eastAsia="宋体"/>
          <w:b/>
          <w:bCs/>
          <w:color w:val="auto"/>
          <w:sz w:val="24"/>
          <w:szCs w:val="24"/>
          <w:highlight w:val="none"/>
          <w:u w:val="none" w:color="auto"/>
        </w:rPr>
        <w:t>售后服务等全部费用和政策性文件规定及合同包含的所有风险、责任等各项应有费用，即</w:t>
      </w:r>
      <w:r>
        <w:rPr>
          <w:rFonts w:hint="eastAsia" w:ascii="Times New Roman" w:hAnsi="Times New Roman" w:eastAsia="宋体"/>
          <w:b/>
          <w:bCs/>
          <w:color w:val="auto"/>
          <w:sz w:val="24"/>
          <w:szCs w:val="24"/>
          <w:highlight w:val="none"/>
          <w:u w:val="none" w:color="auto"/>
          <w:lang w:val="en-US" w:eastAsia="zh-CN"/>
        </w:rPr>
        <w:t>为完成本项目</w:t>
      </w:r>
      <w:r>
        <w:rPr>
          <w:rFonts w:hint="eastAsia" w:ascii="Times New Roman" w:hAnsi="Times New Roman" w:eastAsia="宋体"/>
          <w:b/>
          <w:bCs/>
          <w:color w:val="auto"/>
          <w:sz w:val="24"/>
          <w:szCs w:val="24"/>
          <w:highlight w:val="none"/>
          <w:u w:val="none" w:color="auto"/>
        </w:rPr>
        <w:t>的</w:t>
      </w:r>
      <w:r>
        <w:rPr>
          <w:rFonts w:hint="eastAsia" w:ascii="Times New Roman" w:hAnsi="Times New Roman" w:eastAsia="宋体"/>
          <w:b/>
          <w:bCs/>
          <w:color w:val="auto"/>
          <w:sz w:val="24"/>
          <w:szCs w:val="24"/>
          <w:highlight w:val="none"/>
          <w:u w:val="none" w:color="auto"/>
        </w:rPr>
        <w:t>所有费用）。</w:t>
      </w:r>
      <w:r>
        <w:rPr>
          <w:rFonts w:hint="eastAsia" w:ascii="Times New Roman" w:hAnsi="Times New Roman" w:eastAsia="宋体"/>
          <w:b/>
          <w:bCs/>
          <w:color w:val="auto"/>
          <w:sz w:val="24"/>
          <w:szCs w:val="24"/>
          <w:highlight w:val="none"/>
          <w:u w:val="none" w:color="auto"/>
          <w:lang w:val="en-US" w:eastAsia="zh-CN"/>
        </w:rPr>
        <w:t>本合同为总价合同，结算时不调整任何费用。</w:t>
      </w:r>
    </w:p>
    <w:p w14:paraId="6ACD67C8">
      <w:pPr>
        <w:keepNext w:val="0"/>
        <w:keepLines w:val="0"/>
        <w:pageBreakBefore w:val="0"/>
        <w:widowControl w:val="0"/>
        <w:kinsoku/>
        <w:wordWrap/>
        <w:topLinePunct w:val="0"/>
        <w:bidi w:val="0"/>
        <w:adjustRightInd w:val="0"/>
        <w:snapToGrid w:val="0"/>
        <w:spacing w:line="48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color w:val="auto"/>
          <w:sz w:val="24"/>
          <w:highlight w:val="none"/>
          <w:lang w:val="en-US" w:eastAsia="zh-CN"/>
        </w:rPr>
        <w:t>2、</w:t>
      </w:r>
      <w:r>
        <w:rPr>
          <w:rFonts w:hint="eastAsia" w:ascii="宋体" w:hAnsi="宋体"/>
          <w:color w:val="auto"/>
          <w:sz w:val="24"/>
          <w:highlight w:val="none"/>
        </w:rPr>
        <w:t>本合同金额为含税价人民币大写：</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，小写：</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元。</w:t>
      </w:r>
    </w:p>
    <w:p w14:paraId="33BF50AB">
      <w:pPr>
        <w:keepNext w:val="0"/>
        <w:keepLines w:val="0"/>
        <w:pageBreakBefore w:val="0"/>
        <w:widowControl w:val="0"/>
        <w:kinsoku/>
        <w:wordWrap/>
        <w:topLinePunct w:val="0"/>
        <w:bidi w:val="0"/>
        <w:adjustRightInd w:val="0"/>
        <w:snapToGrid w:val="0"/>
        <w:spacing w:line="48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付款方式：</w:t>
      </w:r>
    </w:p>
    <w:p w14:paraId="20460008">
      <w:pPr>
        <w:keepNext w:val="0"/>
        <w:keepLines w:val="0"/>
        <w:pageBreakBefore w:val="0"/>
        <w:widowControl w:val="0"/>
        <w:kinsoku/>
        <w:wordWrap/>
        <w:topLinePunct w:val="0"/>
        <w:bidi w:val="0"/>
        <w:adjustRightInd w:val="0"/>
        <w:snapToGrid w:val="0"/>
        <w:spacing w:line="480" w:lineRule="exact"/>
        <w:ind w:firstLine="482" w:firstLineChars="200"/>
        <w:textAlignment w:val="auto"/>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①存储资源服务、数据保护和备份服务、数据分析服务三项服务在60日历天内全部上线，全部系统功能上线并正常投入运营一周后，由甲方组织验收，验收合格后10日内，甲方向乙方支付合同价款的50%；</w:t>
      </w:r>
    </w:p>
    <w:p w14:paraId="15F709FB">
      <w:pPr>
        <w:keepNext w:val="0"/>
        <w:keepLines w:val="0"/>
        <w:pageBreakBefore w:val="0"/>
        <w:widowControl w:val="0"/>
        <w:kinsoku/>
        <w:wordWrap/>
        <w:topLinePunct w:val="0"/>
        <w:bidi w:val="0"/>
        <w:adjustRightInd w:val="0"/>
        <w:snapToGrid w:val="0"/>
        <w:spacing w:line="480" w:lineRule="exact"/>
        <w:ind w:firstLine="482" w:firstLineChars="200"/>
        <w:textAlignment w:val="auto"/>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②服务期第二年开始10日内，甲方向乙方支付合同价款的40%；</w:t>
      </w:r>
    </w:p>
    <w:p w14:paraId="721A8D7F">
      <w:pPr>
        <w:keepNext w:val="0"/>
        <w:keepLines w:val="0"/>
        <w:pageBreakBefore w:val="0"/>
        <w:widowControl w:val="0"/>
        <w:kinsoku/>
        <w:wordWrap/>
        <w:topLinePunct w:val="0"/>
        <w:bidi w:val="0"/>
        <w:adjustRightInd w:val="0"/>
        <w:snapToGrid w:val="0"/>
        <w:spacing w:line="480" w:lineRule="exact"/>
        <w:ind w:firstLine="482" w:firstLineChars="200"/>
        <w:textAlignment w:val="auto"/>
        <w:rPr>
          <w:rFonts w:hint="default" w:ascii="宋体" w:hAnsi="宋体"/>
          <w:b/>
          <w:bCs/>
          <w:color w:val="auto"/>
          <w:sz w:val="24"/>
          <w:highlight w:val="none"/>
          <w:lang w:val="en-US" w:eastAsia="zh-CN"/>
        </w:rPr>
      </w:pPr>
      <w:r>
        <w:rPr>
          <w:rFonts w:hint="eastAsia" w:ascii="宋体" w:hAnsi="宋体"/>
          <w:b/>
          <w:bCs/>
          <w:color w:val="auto"/>
          <w:sz w:val="24"/>
          <w:highlight w:val="none"/>
          <w:lang w:val="en-US" w:eastAsia="zh-CN"/>
        </w:rPr>
        <w:t>③三年服务期结束，乙方向甲方开具残值发票后，并将所有设备产权转移至甲方后，甲方向乙方支付合同剩余款项。</w:t>
      </w:r>
    </w:p>
    <w:p w14:paraId="50FD6F62">
      <w:pPr>
        <w:keepNext w:val="0"/>
        <w:keepLines w:val="0"/>
        <w:pageBreakBefore w:val="0"/>
        <w:widowControl w:val="0"/>
        <w:kinsoku/>
        <w:wordWrap/>
        <w:topLinePunct w:val="0"/>
        <w:autoSpaceDE w:val="0"/>
        <w:autoSpaceDN w:val="0"/>
        <w:bidi w:val="0"/>
        <w:adjustRightInd w:val="0"/>
        <w:spacing w:line="480" w:lineRule="exact"/>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、发票由乙方按国家有关财税规定开具给甲方，</w:t>
      </w:r>
      <w:r>
        <w:rPr>
          <w:rFonts w:ascii="宋体" w:hAnsi="宋体"/>
          <w:color w:val="auto"/>
          <w:sz w:val="24"/>
          <w:highlight w:val="none"/>
        </w:rPr>
        <w:t>乙方账户信息为：</w:t>
      </w:r>
    </w:p>
    <w:p w14:paraId="468CB5A8">
      <w:pPr>
        <w:keepNext w:val="0"/>
        <w:keepLines w:val="0"/>
        <w:pageBreakBefore w:val="0"/>
        <w:widowControl w:val="0"/>
        <w:kinsoku/>
        <w:wordWrap/>
        <w:topLinePunct w:val="0"/>
        <w:autoSpaceDE w:val="0"/>
        <w:autoSpaceDN w:val="0"/>
        <w:bidi w:val="0"/>
        <w:adjustRightInd w:val="0"/>
        <w:spacing w:line="480" w:lineRule="exact"/>
        <w:ind w:firstLine="480" w:firstLineChars="200"/>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账户</w:t>
      </w:r>
      <w:r>
        <w:rPr>
          <w:rFonts w:hint="eastAsia" w:ascii="宋体" w:hAnsi="宋体"/>
          <w:color w:val="auto"/>
          <w:sz w:val="24"/>
          <w:highlight w:val="none"/>
        </w:rPr>
        <w:t>名称：</w:t>
      </w:r>
      <w:r>
        <w:rPr>
          <w:rFonts w:hint="eastAsia" w:ascii="宋体" w:hAnsi="宋体"/>
          <w:color w:val="auto"/>
          <w:sz w:val="24"/>
          <w:highlight w:val="none"/>
          <w:u w:val="single"/>
          <w:lang w:val="en-US" w:eastAsia="zh-CN"/>
        </w:rPr>
        <w:t xml:space="preserve">          </w:t>
      </w:r>
    </w:p>
    <w:p w14:paraId="03F0EB64">
      <w:pPr>
        <w:keepNext w:val="0"/>
        <w:keepLines w:val="0"/>
        <w:pageBreakBefore w:val="0"/>
        <w:widowControl w:val="0"/>
        <w:kinsoku/>
        <w:wordWrap/>
        <w:topLinePunct w:val="0"/>
        <w:autoSpaceDE w:val="0"/>
        <w:autoSpaceDN w:val="0"/>
        <w:bidi w:val="0"/>
        <w:adjustRightInd w:val="0"/>
        <w:spacing w:line="480" w:lineRule="exact"/>
        <w:ind w:firstLine="480" w:firstLineChars="200"/>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账号</w:t>
      </w:r>
      <w:r>
        <w:rPr>
          <w:rFonts w:hint="eastAsia" w:ascii="宋体" w:hAnsi="宋体"/>
          <w:color w:val="auto"/>
          <w:sz w:val="24"/>
          <w:highlight w:val="none"/>
        </w:rPr>
        <w:t>：</w:t>
      </w:r>
      <w:r>
        <w:rPr>
          <w:rFonts w:hint="eastAsia" w:ascii="宋体" w:hAnsi="宋体"/>
          <w:color w:val="auto"/>
          <w:sz w:val="24"/>
          <w:highlight w:val="none"/>
          <w:u w:val="single"/>
          <w:lang w:val="en-US" w:eastAsia="zh-CN"/>
        </w:rPr>
        <w:t xml:space="preserve">              </w:t>
      </w:r>
    </w:p>
    <w:p w14:paraId="2D00D2B8">
      <w:pPr>
        <w:keepNext w:val="0"/>
        <w:keepLines w:val="0"/>
        <w:pageBreakBefore w:val="0"/>
        <w:widowControl w:val="0"/>
        <w:kinsoku/>
        <w:wordWrap/>
        <w:topLinePunct w:val="0"/>
        <w:autoSpaceDE w:val="0"/>
        <w:autoSpaceDN w:val="0"/>
        <w:bidi w:val="0"/>
        <w:adjustRightInd w:val="0"/>
        <w:spacing w:line="480" w:lineRule="exact"/>
        <w:ind w:firstLine="480" w:firstLineChars="200"/>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rPr>
        <w:t>开户行：</w:t>
      </w:r>
      <w:r>
        <w:rPr>
          <w:rFonts w:hint="eastAsia" w:ascii="宋体" w:hAnsi="宋体"/>
          <w:color w:val="auto"/>
          <w:sz w:val="24"/>
          <w:highlight w:val="none"/>
          <w:u w:val="single"/>
          <w:lang w:val="en-US" w:eastAsia="zh-CN"/>
        </w:rPr>
        <w:t xml:space="preserve">            </w:t>
      </w:r>
    </w:p>
    <w:p w14:paraId="6B33345F">
      <w:pPr>
        <w:keepNext w:val="0"/>
        <w:keepLines w:val="0"/>
        <w:pageBreakBefore w:val="0"/>
        <w:widowControl w:val="0"/>
        <w:kinsoku/>
        <w:wordWrap/>
        <w:topLinePunct w:val="0"/>
        <w:autoSpaceDE w:val="0"/>
        <w:autoSpaceDN w:val="0"/>
        <w:bidi w:val="0"/>
        <w:adjustRightInd w:val="0"/>
        <w:spacing w:line="480" w:lineRule="exact"/>
        <w:ind w:firstLine="480" w:firstLineChars="200"/>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rPr>
        <w:t>联行号：</w:t>
      </w:r>
      <w:r>
        <w:rPr>
          <w:rFonts w:hint="eastAsia" w:ascii="宋体" w:hAnsi="宋体"/>
          <w:color w:val="auto"/>
          <w:sz w:val="24"/>
          <w:highlight w:val="none"/>
          <w:u w:val="single"/>
          <w:lang w:val="en-US" w:eastAsia="zh-CN"/>
        </w:rPr>
        <w:t xml:space="preserve">           </w:t>
      </w:r>
    </w:p>
    <w:p w14:paraId="473C71B5">
      <w:pPr>
        <w:keepNext w:val="0"/>
        <w:keepLines w:val="0"/>
        <w:pageBreakBefore w:val="0"/>
        <w:widowControl w:val="0"/>
        <w:numPr>
          <w:ilvl w:val="0"/>
          <w:numId w:val="4"/>
        </w:numPr>
        <w:kinsoku/>
        <w:wordWrap/>
        <w:topLinePunct w:val="0"/>
        <w:bidi w:val="0"/>
        <w:snapToGrid w:val="0"/>
        <w:spacing w:line="480" w:lineRule="exact"/>
        <w:jc w:val="left"/>
        <w:textAlignment w:val="auto"/>
        <w:rPr>
          <w:rFonts w:ascii="宋体" w:hAnsi="宋体"/>
          <w:b/>
          <w:color w:val="auto"/>
          <w:sz w:val="24"/>
          <w:highlight w:val="none"/>
        </w:rPr>
      </w:pPr>
      <w:r>
        <w:rPr>
          <w:rFonts w:hint="eastAsia" w:ascii="宋体" w:hAnsi="宋体"/>
          <w:b/>
          <w:color w:val="auto"/>
          <w:sz w:val="24"/>
          <w:highlight w:val="none"/>
        </w:rPr>
        <w:t>违约责任</w:t>
      </w:r>
    </w:p>
    <w:p w14:paraId="1CE9730C">
      <w:pPr>
        <w:pStyle w:val="5"/>
        <w:keepNext w:val="0"/>
        <w:keepLines w:val="0"/>
        <w:pageBreakBefore w:val="0"/>
        <w:widowControl w:val="0"/>
        <w:kinsoku/>
        <w:wordWrap/>
        <w:topLinePunct w:val="0"/>
        <w:bidi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合同一方不履行合同义务或者履行合同义务不符合约定的，应当承担继续履行、采取补救措施或者赔偿损失等违约责任。</w:t>
      </w:r>
    </w:p>
    <w:p w14:paraId="6E2DD206">
      <w:pPr>
        <w:keepNext w:val="0"/>
        <w:keepLines w:val="0"/>
        <w:pageBreakBefore w:val="0"/>
        <w:widowControl w:val="0"/>
        <w:kinsoku/>
        <w:wordWrap/>
        <w:topLinePunct w:val="0"/>
        <w:bidi w:val="0"/>
        <w:spacing w:line="480" w:lineRule="exact"/>
        <w:ind w:firstLine="354" w:firstLineChars="147"/>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甲方违约责任</w:t>
      </w:r>
    </w:p>
    <w:p w14:paraId="3544721E">
      <w:pPr>
        <w:pStyle w:val="5"/>
        <w:keepNext w:val="0"/>
        <w:keepLines w:val="0"/>
        <w:pageBreakBefore w:val="0"/>
        <w:widowControl w:val="0"/>
        <w:kinsoku/>
        <w:wordWrap/>
        <w:overflowPunct w:val="0"/>
        <w:topLinePunct w:val="0"/>
        <w:bidi w:val="0"/>
        <w:spacing w:line="48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1、在本合同生效后，甲方要求终止或解除合同的，应向乙方偿付本合同总价款的10%作为违约金，违约金不足以补偿损失的，乙方有权要求甲方补足。</w:t>
      </w:r>
    </w:p>
    <w:p w14:paraId="07A54DD1">
      <w:pPr>
        <w:pStyle w:val="5"/>
        <w:keepNext w:val="0"/>
        <w:keepLines w:val="0"/>
        <w:pageBreakBefore w:val="0"/>
        <w:widowControl w:val="0"/>
        <w:kinsoku/>
        <w:wordWrap/>
        <w:overflowPunct w:val="0"/>
        <w:topLinePunct w:val="0"/>
        <w:bidi w:val="0"/>
        <w:spacing w:line="48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2、在本合同生效后，</w:t>
      </w:r>
      <w:r>
        <w:rPr>
          <w:rFonts w:hint="eastAsia" w:ascii="宋体" w:hAnsi="宋体" w:eastAsia="宋体" w:cs="宋体"/>
          <w:color w:val="auto"/>
          <w:sz w:val="24"/>
          <w:szCs w:val="24"/>
          <w:highlight w:val="none"/>
        </w:rPr>
        <w:t>甲方应按本合同的约定及时向乙方支付合同所述款项。如违约，每逾期一天，甲方应向乙方支付合同金额的万分之三作为违约金，最高不超过本合同总价的5%。</w:t>
      </w:r>
    </w:p>
    <w:p w14:paraId="49F8448B">
      <w:pPr>
        <w:pStyle w:val="5"/>
        <w:keepNext w:val="0"/>
        <w:keepLines w:val="0"/>
        <w:pageBreakBefore w:val="0"/>
        <w:widowControl w:val="0"/>
        <w:kinsoku/>
        <w:wordWrap/>
        <w:overflowPunct w:val="0"/>
        <w:topLinePunct w:val="0"/>
        <w:bidi w:val="0"/>
        <w:spacing w:line="48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3、甲方违反本合同规定，无正当理由拒绝接收乙方交付的项目的，应当承担由此造成的乙方一切损失。</w:t>
      </w:r>
    </w:p>
    <w:p w14:paraId="150F4D9D">
      <w:pPr>
        <w:keepNext w:val="0"/>
        <w:keepLines w:val="0"/>
        <w:pageBreakBefore w:val="0"/>
        <w:widowControl w:val="0"/>
        <w:kinsoku/>
        <w:wordWrap/>
        <w:topLinePunct w:val="0"/>
        <w:bidi w:val="0"/>
        <w:spacing w:line="480" w:lineRule="exact"/>
        <w:ind w:firstLine="354" w:firstLineChars="147"/>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乙方违约责任</w:t>
      </w:r>
    </w:p>
    <w:p w14:paraId="3B5203E8">
      <w:pPr>
        <w:pStyle w:val="5"/>
        <w:keepNext w:val="0"/>
        <w:keepLines w:val="0"/>
        <w:pageBreakBefore w:val="0"/>
        <w:widowControl w:val="0"/>
        <w:numPr>
          <w:ilvl w:val="0"/>
          <w:numId w:val="6"/>
        </w:numPr>
        <w:kinsoku/>
        <w:wordWrap/>
        <w:overflowPunct w:val="0"/>
        <w:topLinePunct w:val="0"/>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在本合同生效后，乙方无正当理由要求终止本合同或解除合同的，应向甲方偿付合同总价款的10%作为违约金，违约金不足以补偿损失的，甲方有权要求乙方补足。</w:t>
      </w:r>
    </w:p>
    <w:p w14:paraId="31B540A2">
      <w:pPr>
        <w:pStyle w:val="5"/>
        <w:keepNext w:val="0"/>
        <w:keepLines w:val="0"/>
        <w:pageBreakBefore w:val="0"/>
        <w:widowControl w:val="0"/>
        <w:kinsoku/>
        <w:wordWrap/>
        <w:overflowPunct w:val="0"/>
        <w:topLinePunct w:val="0"/>
        <w:bidi w:val="0"/>
        <w:spacing w:line="48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在本合同生效后，</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方应按本合同的约定</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及时向乙方</w:t>
      </w:r>
      <w:r>
        <w:rPr>
          <w:rFonts w:hint="eastAsia" w:ascii="宋体" w:hAnsi="宋体" w:eastAsia="宋体" w:cs="宋体"/>
          <w:color w:val="auto"/>
          <w:sz w:val="24"/>
          <w:szCs w:val="24"/>
          <w:highlight w:val="none"/>
          <w:lang w:val="en-US" w:eastAsia="zh-CN"/>
        </w:rPr>
        <w:t>交付合同约定的建设内容，</w:t>
      </w:r>
      <w:r>
        <w:rPr>
          <w:rFonts w:hint="eastAsia" w:ascii="宋体" w:hAnsi="宋体" w:eastAsia="宋体" w:cs="宋体"/>
          <w:color w:val="auto"/>
          <w:sz w:val="24"/>
          <w:szCs w:val="24"/>
          <w:highlight w:val="none"/>
        </w:rPr>
        <w:t>如违约，每逾期一天，</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方应向</w:t>
      </w:r>
      <w:r>
        <w:rPr>
          <w:rFonts w:hint="eastAsia" w:ascii="宋体" w:hAnsi="宋体" w:eastAsia="宋体" w:cs="宋体"/>
          <w:color w:val="auto"/>
          <w:sz w:val="24"/>
          <w:szCs w:val="24"/>
          <w:highlight w:val="none"/>
          <w:lang w:val="en-US" w:eastAsia="zh-CN"/>
        </w:rPr>
        <w:t>甲</w:t>
      </w:r>
      <w:r>
        <w:rPr>
          <w:rFonts w:hint="eastAsia" w:ascii="宋体" w:hAnsi="宋体" w:eastAsia="宋体" w:cs="宋体"/>
          <w:color w:val="auto"/>
          <w:sz w:val="24"/>
          <w:szCs w:val="24"/>
          <w:highlight w:val="none"/>
        </w:rPr>
        <w:t>方支付合同金额的万分之三作为违约金，最高不超过本合同总价的5%。</w:t>
      </w:r>
    </w:p>
    <w:p w14:paraId="57DDD1D0">
      <w:pPr>
        <w:pStyle w:val="5"/>
        <w:keepNext w:val="0"/>
        <w:keepLines w:val="0"/>
        <w:pageBreakBefore w:val="0"/>
        <w:widowControl w:val="0"/>
        <w:kinsoku/>
        <w:wordWrap/>
        <w:overflowPunct w:val="0"/>
        <w:topLinePunct w:val="0"/>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、乙方提供的产品及服务不符合本合同要求的，甲方有权拒绝接收，同时要求乙方提供本合同约定的产品及服务，由此产生的损失全部由乙方承担。</w:t>
      </w:r>
    </w:p>
    <w:p w14:paraId="1A20314B">
      <w:pPr>
        <w:pStyle w:val="5"/>
        <w:keepNext w:val="0"/>
        <w:keepLines w:val="0"/>
        <w:pageBreakBefore w:val="0"/>
        <w:widowControl w:val="0"/>
        <w:kinsoku/>
        <w:wordWrap/>
        <w:overflowPunct w:val="0"/>
        <w:topLinePunct w:val="0"/>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、乙方在免费维保期内不履行本合同约定义务的，甲方有权要求乙方履行，乙方承担由此造成的损失和责任，并承担由此造成的甲方一切损失。</w:t>
      </w:r>
    </w:p>
    <w:p w14:paraId="1051F6C6">
      <w:pPr>
        <w:keepNext w:val="0"/>
        <w:keepLines w:val="0"/>
        <w:pageBreakBefore w:val="0"/>
        <w:widowControl w:val="0"/>
        <w:numPr>
          <w:ilvl w:val="0"/>
          <w:numId w:val="4"/>
        </w:numPr>
        <w:kinsoku/>
        <w:wordWrap/>
        <w:topLinePunct w:val="0"/>
        <w:bidi w:val="0"/>
        <w:snapToGrid w:val="0"/>
        <w:spacing w:line="480" w:lineRule="exact"/>
        <w:jc w:val="left"/>
        <w:textAlignment w:val="auto"/>
        <w:rPr>
          <w:rFonts w:ascii="宋体" w:hAnsi="宋体"/>
          <w:b/>
          <w:color w:val="auto"/>
          <w:sz w:val="24"/>
          <w:highlight w:val="none"/>
        </w:rPr>
      </w:pPr>
      <w:r>
        <w:rPr>
          <w:rFonts w:hint="eastAsia" w:ascii="宋体" w:hAnsi="宋体"/>
          <w:b/>
          <w:color w:val="auto"/>
          <w:sz w:val="24"/>
          <w:highlight w:val="none"/>
        </w:rPr>
        <w:t>保密条款</w:t>
      </w:r>
    </w:p>
    <w:p w14:paraId="569E7D8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乙方认真贯彻执行国家有关保密工作的法令、法规及各项方针、政策，积极协助甲方做好保密工作。</w:t>
      </w:r>
    </w:p>
    <w:p w14:paraId="5D6F60A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乙方对在工作过程中接触到的甲方的任何资料、文件、数据（无论是书面的还是电子的），以及对为甲方服务形成的任何交付物，负有为甲方保密的责任。未经甲方书面同意，乙方不得以任何方式向任何第三方提供或透露。</w:t>
      </w:r>
    </w:p>
    <w:p w14:paraId="746D7DB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乙方保证涉密信息控制在最小知悉人员范围内，涉密载体依照相关规定进行管理，涉密计算机严禁与互联网连接，做好涉密人员的保密教育并指出其应该承担的保密义务和法律责任。</w:t>
      </w:r>
    </w:p>
    <w:p w14:paraId="3DBCC46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乙方关于本次项目的商务、技术等全部资料，未经甲方许可，不得用于任何宣传、业绩证明等用途。</w:t>
      </w:r>
    </w:p>
    <w:p w14:paraId="6AD9C9A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本保密义务应在本协议期满、解除或终止后仍然有效。</w:t>
      </w:r>
    </w:p>
    <w:p w14:paraId="1116A031">
      <w:pPr>
        <w:keepNext w:val="0"/>
        <w:keepLines w:val="0"/>
        <w:pageBreakBefore w:val="0"/>
        <w:widowControl w:val="0"/>
        <w:numPr>
          <w:ilvl w:val="0"/>
          <w:numId w:val="4"/>
        </w:numPr>
        <w:kinsoku/>
        <w:wordWrap/>
        <w:topLinePunct w:val="0"/>
        <w:bidi w:val="0"/>
        <w:snapToGrid w:val="0"/>
        <w:spacing w:line="480" w:lineRule="exact"/>
        <w:jc w:val="left"/>
        <w:textAlignment w:val="auto"/>
        <w:rPr>
          <w:rFonts w:ascii="宋体" w:hAnsi="宋体"/>
          <w:b/>
          <w:color w:val="auto"/>
          <w:sz w:val="24"/>
          <w:highlight w:val="none"/>
        </w:rPr>
      </w:pPr>
      <w:r>
        <w:rPr>
          <w:rFonts w:hint="eastAsia" w:ascii="宋体" w:hAnsi="宋体"/>
          <w:b/>
          <w:color w:val="auto"/>
          <w:sz w:val="24"/>
          <w:highlight w:val="none"/>
        </w:rPr>
        <w:t>不可抗力</w:t>
      </w:r>
    </w:p>
    <w:p w14:paraId="4DF9C44C">
      <w:pPr>
        <w:keepNext w:val="0"/>
        <w:keepLines w:val="0"/>
        <w:pageBreakBefore w:val="0"/>
        <w:widowControl w:val="0"/>
        <w:kinsoku/>
        <w:wordWrap/>
        <w:topLinePunct w:val="0"/>
        <w:bidi w:val="0"/>
        <w:snapToGrid w:val="0"/>
        <w:spacing w:line="480" w:lineRule="exact"/>
        <w:ind w:firstLine="480"/>
        <w:textAlignment w:val="auto"/>
        <w:rPr>
          <w:rFonts w:ascii="宋体" w:hAnsi="宋体"/>
          <w:color w:val="auto"/>
          <w:sz w:val="24"/>
          <w:highlight w:val="none"/>
        </w:rPr>
      </w:pPr>
      <w:r>
        <w:rPr>
          <w:rFonts w:hint="eastAsia" w:ascii="宋体" w:hAnsi="宋体"/>
          <w:color w:val="auto"/>
          <w:sz w:val="24"/>
          <w:highlight w:val="none"/>
        </w:rPr>
        <w:t>因非乙方原因（包括但不限于甲方原因、现场不具备实施条件或者恶劣天气、影响公共卫生的传染性疾病等原因）工期如要适当顺延，应由乙方及时办理书面工期顺延的手续，并经提请甲方书面确认后才能顺延工期，在此情况下乙方无需承担相应责任。</w:t>
      </w:r>
    </w:p>
    <w:p w14:paraId="2CF8799B">
      <w:pPr>
        <w:keepNext w:val="0"/>
        <w:keepLines w:val="0"/>
        <w:pageBreakBefore w:val="0"/>
        <w:widowControl w:val="0"/>
        <w:numPr>
          <w:ilvl w:val="0"/>
          <w:numId w:val="4"/>
        </w:numPr>
        <w:kinsoku/>
        <w:wordWrap/>
        <w:topLinePunct w:val="0"/>
        <w:bidi w:val="0"/>
        <w:snapToGrid w:val="0"/>
        <w:spacing w:line="480" w:lineRule="exact"/>
        <w:jc w:val="left"/>
        <w:textAlignment w:val="auto"/>
        <w:rPr>
          <w:rFonts w:ascii="宋体" w:hAnsi="宋体"/>
          <w:b/>
          <w:color w:val="auto"/>
          <w:sz w:val="24"/>
          <w:highlight w:val="none"/>
        </w:rPr>
      </w:pPr>
      <w:r>
        <w:rPr>
          <w:rFonts w:hint="eastAsia" w:ascii="宋体" w:hAnsi="宋体"/>
          <w:b/>
          <w:color w:val="auto"/>
          <w:sz w:val="24"/>
          <w:highlight w:val="none"/>
        </w:rPr>
        <w:t>合同纠纷处理</w:t>
      </w:r>
    </w:p>
    <w:p w14:paraId="4095CCD2">
      <w:pPr>
        <w:keepNext w:val="0"/>
        <w:keepLines w:val="0"/>
        <w:pageBreakBefore w:val="0"/>
        <w:widowControl w:val="0"/>
        <w:kinsoku/>
        <w:wordWrap/>
        <w:topLinePunct w:val="0"/>
        <w:bidi w:val="0"/>
        <w:spacing w:line="48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w:t>
      </w:r>
      <w:r>
        <w:rPr>
          <w:rFonts w:hint="eastAsia" w:ascii="宋体" w:hAnsi="宋体"/>
          <w:color w:val="auto"/>
          <w:sz w:val="24"/>
          <w:highlight w:val="none"/>
        </w:rPr>
        <w:t>本合同适用中华人民共和国法律。</w:t>
      </w:r>
    </w:p>
    <w:p w14:paraId="66D4F101">
      <w:pPr>
        <w:keepNext w:val="0"/>
        <w:keepLines w:val="0"/>
        <w:pageBreakBefore w:val="0"/>
        <w:widowControl w:val="0"/>
        <w:kinsoku/>
        <w:wordWrap/>
        <w:topLinePunct w:val="0"/>
        <w:bidi w:val="0"/>
        <w:spacing w:line="48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w:t>
      </w:r>
      <w:r>
        <w:rPr>
          <w:rFonts w:hint="eastAsia" w:ascii="宋体" w:hAnsi="宋体"/>
          <w:color w:val="auto"/>
          <w:sz w:val="24"/>
          <w:highlight w:val="none"/>
        </w:rPr>
        <w:t>所有因本合同引起的或与本合同有关的任何争议将通过甲乙双方友好协商解决。如果甲乙双方不能通过友好协商解决争议，则甲乙任何一方均可采取下述</w:t>
      </w:r>
      <w:r>
        <w:rPr>
          <w:rFonts w:hint="eastAsia" w:ascii="宋体" w:hAnsi="宋体"/>
          <w:color w:val="auto"/>
          <w:sz w:val="24"/>
          <w:highlight w:val="none"/>
          <w:u w:val="single"/>
        </w:rPr>
        <w:t xml:space="preserve"> 第(</w:t>
      </w:r>
      <w:r>
        <w:rPr>
          <w:rFonts w:ascii="宋体" w:hAnsi="宋体"/>
          <w:color w:val="auto"/>
          <w:sz w:val="24"/>
          <w:highlight w:val="none"/>
          <w:u w:val="single"/>
        </w:rPr>
        <w:t>2)</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种争议解决方式：</w:t>
      </w:r>
    </w:p>
    <w:p w14:paraId="0E6B3E06">
      <w:pPr>
        <w:keepNext w:val="0"/>
        <w:keepLines w:val="0"/>
        <w:pageBreakBefore w:val="0"/>
        <w:widowControl w:val="0"/>
        <w:kinsoku/>
        <w:wordWrap/>
        <w:topLinePunct w:val="0"/>
        <w:bidi w:val="0"/>
        <w:spacing w:line="48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（1）将该争议提交南通仲裁委员会，按照申请仲裁时该会的仲裁规则进行仲裁。仲裁语言为中文。仲裁裁决是终局的，对双方均有约束力。仲裁费用由败诉方承担。</w:t>
      </w:r>
    </w:p>
    <w:p w14:paraId="4BED3919">
      <w:pPr>
        <w:keepNext w:val="0"/>
        <w:keepLines w:val="0"/>
        <w:pageBreakBefore w:val="0"/>
        <w:widowControl w:val="0"/>
        <w:kinsoku/>
        <w:wordWrap/>
        <w:topLinePunct w:val="0"/>
        <w:bidi w:val="0"/>
        <w:spacing w:line="48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（2）向甲方所在地的人民法院起诉。</w:t>
      </w:r>
    </w:p>
    <w:p w14:paraId="29ACD1B4">
      <w:pPr>
        <w:keepNext w:val="0"/>
        <w:keepLines w:val="0"/>
        <w:pageBreakBefore w:val="0"/>
        <w:widowControl w:val="0"/>
        <w:kinsoku/>
        <w:wordWrap/>
        <w:topLinePunct w:val="0"/>
        <w:bidi w:val="0"/>
        <w:spacing w:line="48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3、仲裁或诉讼进行过程中，甲乙双方将继续履行本合同未涉仲裁或诉讼的其它部分。</w:t>
      </w:r>
    </w:p>
    <w:p w14:paraId="0D8D23AC">
      <w:pPr>
        <w:keepNext w:val="0"/>
        <w:keepLines w:val="0"/>
        <w:pageBreakBefore w:val="0"/>
        <w:widowControl w:val="0"/>
        <w:numPr>
          <w:ilvl w:val="0"/>
          <w:numId w:val="4"/>
        </w:numPr>
        <w:kinsoku/>
        <w:wordWrap/>
        <w:topLinePunct w:val="0"/>
        <w:bidi w:val="0"/>
        <w:snapToGrid w:val="0"/>
        <w:spacing w:line="480" w:lineRule="exact"/>
        <w:jc w:val="left"/>
        <w:textAlignment w:val="auto"/>
        <w:rPr>
          <w:rFonts w:ascii="宋体" w:hAnsi="宋体"/>
          <w:b/>
          <w:color w:val="auto"/>
          <w:sz w:val="24"/>
          <w:highlight w:val="none"/>
        </w:rPr>
      </w:pPr>
      <w:r>
        <w:rPr>
          <w:rFonts w:hint="eastAsia" w:ascii="宋体" w:hAnsi="宋体"/>
          <w:b/>
          <w:color w:val="auto"/>
          <w:sz w:val="24"/>
          <w:highlight w:val="none"/>
        </w:rPr>
        <w:t>其它约定事项</w:t>
      </w:r>
    </w:p>
    <w:p w14:paraId="16672E10">
      <w:pPr>
        <w:keepNext w:val="0"/>
        <w:keepLines w:val="0"/>
        <w:pageBreakBefore w:val="0"/>
        <w:widowControl w:val="0"/>
        <w:kinsoku/>
        <w:wordWrap/>
        <w:topLinePunct w:val="0"/>
        <w:bidi w:val="0"/>
        <w:adjustRightInd w:val="0"/>
        <w:snapToGrid w:val="0"/>
        <w:spacing w:line="480" w:lineRule="exact"/>
        <w:ind w:firstLine="482" w:firstLineChars="200"/>
        <w:jc w:val="left"/>
        <w:textAlignment w:val="auto"/>
        <w:rPr>
          <w:rFonts w:ascii="宋体" w:hAnsi="宋体"/>
          <w:b/>
          <w:color w:val="auto"/>
          <w:sz w:val="24"/>
          <w:highlight w:val="none"/>
        </w:rPr>
      </w:pP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一</w:t>
      </w:r>
      <w:r>
        <w:rPr>
          <w:rFonts w:hint="eastAsia" w:ascii="宋体" w:hAnsi="宋体"/>
          <w:b/>
          <w:color w:val="auto"/>
          <w:sz w:val="24"/>
          <w:highlight w:val="none"/>
          <w:lang w:eastAsia="zh-CN"/>
        </w:rPr>
        <w:t>）</w:t>
      </w:r>
      <w:r>
        <w:rPr>
          <w:rFonts w:hint="eastAsia" w:ascii="宋体" w:hAnsi="宋体"/>
          <w:b/>
          <w:color w:val="auto"/>
          <w:sz w:val="24"/>
          <w:highlight w:val="none"/>
        </w:rPr>
        <w:t>工程</w:t>
      </w:r>
      <w:r>
        <w:rPr>
          <w:rFonts w:ascii="宋体" w:hAnsi="宋体"/>
          <w:b/>
          <w:color w:val="auto"/>
          <w:sz w:val="24"/>
          <w:highlight w:val="none"/>
        </w:rPr>
        <w:t>变更</w:t>
      </w:r>
    </w:p>
    <w:p w14:paraId="05C1437E">
      <w:pPr>
        <w:keepNext w:val="0"/>
        <w:keepLines w:val="0"/>
        <w:pageBreakBefore w:val="0"/>
        <w:widowControl w:val="0"/>
        <w:kinsoku/>
        <w:wordWrap/>
        <w:topLinePunct w:val="0"/>
        <w:autoSpaceDE w:val="0"/>
        <w:autoSpaceDN w:val="0"/>
        <w:bidi w:val="0"/>
        <w:adjustRightInd w:val="0"/>
        <w:spacing w:line="480" w:lineRule="exact"/>
        <w:ind w:firstLine="420"/>
        <w:textAlignment w:val="auto"/>
        <w:rPr>
          <w:rFonts w:ascii="宋体" w:hAnsi="宋体"/>
          <w:color w:val="auto"/>
          <w:sz w:val="24"/>
          <w:highlight w:val="none"/>
        </w:rPr>
      </w:pPr>
      <w:r>
        <w:rPr>
          <w:rFonts w:hint="eastAsia" w:ascii="宋体" w:hAnsi="宋体"/>
          <w:color w:val="auto"/>
          <w:sz w:val="24"/>
          <w:highlight w:val="none"/>
        </w:rPr>
        <w:t>1、工程变更及工作量变更、签证及项目管理按照建设部相关文件执行。</w:t>
      </w:r>
    </w:p>
    <w:p w14:paraId="139AA76D">
      <w:pPr>
        <w:keepNext w:val="0"/>
        <w:keepLines w:val="0"/>
        <w:pageBreakBefore w:val="0"/>
        <w:widowControl w:val="0"/>
        <w:kinsoku/>
        <w:wordWrap/>
        <w:topLinePunct w:val="0"/>
        <w:autoSpaceDE w:val="0"/>
        <w:autoSpaceDN w:val="0"/>
        <w:bidi w:val="0"/>
        <w:adjustRightInd w:val="0"/>
        <w:spacing w:line="480" w:lineRule="exact"/>
        <w:ind w:firstLine="420"/>
        <w:textAlignment w:val="auto"/>
        <w:rPr>
          <w:rFonts w:ascii="宋体" w:hAnsi="宋体"/>
          <w:color w:val="auto"/>
          <w:sz w:val="24"/>
          <w:highlight w:val="none"/>
        </w:rPr>
      </w:pPr>
      <w:r>
        <w:rPr>
          <w:rFonts w:hint="eastAsia" w:ascii="宋体" w:hAnsi="宋体"/>
          <w:color w:val="auto"/>
          <w:sz w:val="24"/>
          <w:highlight w:val="none"/>
        </w:rPr>
        <w:t>2、根据项目技术进步原因，经甲乙双方共同书面确认、签字后可以对本项目部分系统进行基于采购需求的正向变更及技术方案的调整，合同价格不予调整。</w:t>
      </w:r>
    </w:p>
    <w:p w14:paraId="795DBF68">
      <w:pPr>
        <w:keepNext w:val="0"/>
        <w:keepLines w:val="0"/>
        <w:pageBreakBefore w:val="0"/>
        <w:widowControl w:val="0"/>
        <w:kinsoku/>
        <w:wordWrap/>
        <w:topLinePunct w:val="0"/>
        <w:autoSpaceDE w:val="0"/>
        <w:autoSpaceDN w:val="0"/>
        <w:bidi w:val="0"/>
        <w:adjustRightInd w:val="0"/>
        <w:spacing w:line="480" w:lineRule="exact"/>
        <w:ind w:firstLine="420"/>
        <w:textAlignment w:val="auto"/>
        <w:rPr>
          <w:rFonts w:hint="eastAsia" w:ascii="宋体" w:hAnsi="宋体"/>
          <w:color w:val="auto"/>
          <w:sz w:val="24"/>
          <w:highlight w:val="none"/>
        </w:rPr>
      </w:pPr>
      <w:r>
        <w:rPr>
          <w:rFonts w:hint="eastAsia" w:ascii="宋体" w:hAnsi="宋体"/>
          <w:color w:val="auto"/>
          <w:sz w:val="24"/>
          <w:highlight w:val="none"/>
        </w:rPr>
        <w:t>3、因客观情况或特殊原因变更或者增补的设备、系统，</w:t>
      </w:r>
      <w:r>
        <w:rPr>
          <w:rFonts w:hint="eastAsia" w:ascii="宋体" w:hAnsi="宋体"/>
          <w:color w:val="auto"/>
          <w:sz w:val="24"/>
          <w:highlight w:val="none"/>
        </w:rPr>
        <w:t>经甲乙双方共同书面确认后可以</w:t>
      </w:r>
      <w:r>
        <w:rPr>
          <w:rFonts w:hint="eastAsia" w:ascii="宋体" w:hAnsi="宋体"/>
          <w:color w:val="auto"/>
          <w:sz w:val="24"/>
          <w:highlight w:val="none"/>
        </w:rPr>
        <w:t>对本</w:t>
      </w:r>
      <w:r>
        <w:rPr>
          <w:rFonts w:hint="eastAsia" w:ascii="宋体" w:hAnsi="宋体"/>
          <w:color w:val="auto"/>
          <w:sz w:val="24"/>
          <w:highlight w:val="none"/>
          <w:lang w:val="en-US" w:eastAsia="zh-CN"/>
        </w:rPr>
        <w:t>服务</w:t>
      </w:r>
      <w:r>
        <w:rPr>
          <w:rFonts w:hint="eastAsia" w:ascii="宋体" w:hAnsi="宋体"/>
          <w:color w:val="auto"/>
          <w:sz w:val="24"/>
          <w:highlight w:val="none"/>
        </w:rPr>
        <w:t>项目部分</w:t>
      </w:r>
      <w:r>
        <w:rPr>
          <w:rFonts w:hint="eastAsia" w:ascii="宋体" w:hAnsi="宋体"/>
          <w:color w:val="auto"/>
          <w:sz w:val="24"/>
          <w:highlight w:val="none"/>
          <w:lang w:val="en-US" w:eastAsia="zh-CN"/>
        </w:rPr>
        <w:t>内容进行变更，但是价格不调整</w:t>
      </w:r>
      <w:r>
        <w:rPr>
          <w:rFonts w:hint="eastAsia" w:ascii="宋体" w:hAnsi="宋体"/>
          <w:color w:val="auto"/>
          <w:sz w:val="24"/>
          <w:highlight w:val="none"/>
        </w:rPr>
        <w:t>。</w:t>
      </w:r>
    </w:p>
    <w:p w14:paraId="7A3D1820">
      <w:pPr>
        <w:keepNext w:val="0"/>
        <w:keepLines w:val="0"/>
        <w:pageBreakBefore w:val="0"/>
        <w:widowControl w:val="0"/>
        <w:kinsoku/>
        <w:wordWrap/>
        <w:topLinePunct w:val="0"/>
        <w:autoSpaceDE w:val="0"/>
        <w:autoSpaceDN w:val="0"/>
        <w:bidi w:val="0"/>
        <w:adjustRightInd w:val="0"/>
        <w:spacing w:line="480" w:lineRule="exact"/>
        <w:ind w:firstLine="420"/>
        <w:textAlignment w:val="auto"/>
        <w:rPr>
          <w:rFonts w:ascii="宋体" w:hAnsi="宋体"/>
          <w:b/>
          <w:color w:val="auto"/>
          <w:sz w:val="24"/>
          <w:highlight w:val="none"/>
        </w:rPr>
      </w:pP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二</w:t>
      </w:r>
      <w:r>
        <w:rPr>
          <w:rFonts w:hint="eastAsia" w:ascii="宋体" w:hAnsi="宋体"/>
          <w:b/>
          <w:color w:val="auto"/>
          <w:sz w:val="24"/>
          <w:highlight w:val="none"/>
          <w:lang w:eastAsia="zh-CN"/>
        </w:rPr>
        <w:t>）</w:t>
      </w:r>
      <w:r>
        <w:rPr>
          <w:rFonts w:hint="eastAsia" w:ascii="宋体" w:hAnsi="宋体"/>
          <w:b/>
          <w:color w:val="auto"/>
          <w:sz w:val="24"/>
          <w:highlight w:val="none"/>
        </w:rPr>
        <w:t>技术培训</w:t>
      </w:r>
    </w:p>
    <w:p w14:paraId="5C19B4D7">
      <w:pPr>
        <w:keepNext w:val="0"/>
        <w:keepLines w:val="0"/>
        <w:pageBreakBefore w:val="0"/>
        <w:widowControl w:val="0"/>
        <w:kinsoku/>
        <w:wordWrap/>
        <w:topLinePunct w:val="0"/>
        <w:bidi w:val="0"/>
        <w:spacing w:line="480" w:lineRule="exact"/>
        <w:ind w:firstLine="480" w:firstLineChars="200"/>
        <w:textAlignment w:val="auto"/>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w:t>
      </w:r>
      <w:r>
        <w:rPr>
          <w:rFonts w:ascii="宋体" w:hAnsi="宋体"/>
          <w:color w:val="auto"/>
          <w:sz w:val="24"/>
          <w:highlight w:val="none"/>
        </w:rPr>
        <w:t>甲方认为可以培训的前一周</w:t>
      </w:r>
      <w:r>
        <w:rPr>
          <w:rFonts w:hint="eastAsia" w:ascii="宋体" w:hAnsi="宋体"/>
          <w:color w:val="auto"/>
          <w:sz w:val="24"/>
          <w:highlight w:val="none"/>
        </w:rPr>
        <w:t>提出需求，由乙方提供</w:t>
      </w:r>
      <w:r>
        <w:rPr>
          <w:rFonts w:ascii="宋体" w:hAnsi="宋体"/>
          <w:color w:val="auto"/>
          <w:sz w:val="24"/>
          <w:highlight w:val="none"/>
        </w:rPr>
        <w:t>培训计划</w:t>
      </w:r>
      <w:r>
        <w:rPr>
          <w:rFonts w:hint="eastAsia" w:ascii="宋体" w:hAnsi="宋体"/>
          <w:color w:val="auto"/>
          <w:sz w:val="24"/>
          <w:highlight w:val="none"/>
        </w:rPr>
        <w:t>及</w:t>
      </w:r>
      <w:r>
        <w:rPr>
          <w:rFonts w:ascii="宋体" w:hAnsi="宋体"/>
          <w:color w:val="auto"/>
          <w:sz w:val="24"/>
          <w:highlight w:val="none"/>
        </w:rPr>
        <w:t>资料</w:t>
      </w:r>
      <w:r>
        <w:rPr>
          <w:rFonts w:hint="eastAsia" w:ascii="宋体" w:hAnsi="宋体"/>
          <w:color w:val="auto"/>
          <w:sz w:val="24"/>
          <w:highlight w:val="none"/>
        </w:rPr>
        <w:t>进行</w:t>
      </w:r>
      <w:r>
        <w:rPr>
          <w:rFonts w:ascii="宋体" w:hAnsi="宋体"/>
          <w:color w:val="auto"/>
          <w:sz w:val="24"/>
          <w:highlight w:val="none"/>
        </w:rPr>
        <w:t>培训</w:t>
      </w:r>
      <w:r>
        <w:rPr>
          <w:rFonts w:hint="eastAsia" w:ascii="宋体" w:hAnsi="宋体"/>
          <w:color w:val="auto"/>
          <w:sz w:val="24"/>
          <w:highlight w:val="none"/>
        </w:rPr>
        <w:t>，确保甲方培训</w:t>
      </w:r>
      <w:r>
        <w:rPr>
          <w:rFonts w:ascii="宋体" w:hAnsi="宋体"/>
          <w:color w:val="auto"/>
          <w:sz w:val="24"/>
          <w:highlight w:val="none"/>
        </w:rPr>
        <w:t>后能熟练操作、了解构造原理、日常维护、排除一般故障。</w:t>
      </w:r>
    </w:p>
    <w:p w14:paraId="539DF412">
      <w:pPr>
        <w:keepNext w:val="0"/>
        <w:keepLines w:val="0"/>
        <w:pageBreakBefore w:val="0"/>
        <w:widowControl w:val="0"/>
        <w:kinsoku/>
        <w:wordWrap/>
        <w:topLinePunct w:val="0"/>
        <w:bidi w:val="0"/>
        <w:spacing w:line="480" w:lineRule="exact"/>
        <w:textAlignment w:val="auto"/>
        <w:rPr>
          <w:rFonts w:ascii="宋体" w:hAnsi="宋体"/>
          <w:color w:val="auto"/>
          <w:sz w:val="24"/>
          <w:highlight w:val="none"/>
        </w:rPr>
      </w:pPr>
      <w:r>
        <w:rPr>
          <w:rFonts w:hint="eastAsia" w:ascii="宋体" w:hAnsi="宋体"/>
          <w:color w:val="auto"/>
          <w:sz w:val="24"/>
          <w:highlight w:val="none"/>
        </w:rPr>
        <w:t>培训时间地点由甲乙双方另行协商确定。</w:t>
      </w:r>
    </w:p>
    <w:p w14:paraId="1008CC4E">
      <w:pPr>
        <w:keepNext w:val="0"/>
        <w:keepLines w:val="0"/>
        <w:pageBreakBefore w:val="0"/>
        <w:widowControl w:val="0"/>
        <w:kinsoku/>
        <w:wordWrap/>
        <w:topLinePunct w:val="0"/>
        <w:bidi w:val="0"/>
        <w:spacing w:line="480" w:lineRule="exact"/>
        <w:ind w:firstLine="482" w:firstLineChars="200"/>
        <w:textAlignment w:val="auto"/>
        <w:rPr>
          <w:rFonts w:ascii="宋体" w:hAnsi="宋体"/>
          <w:color w:val="auto"/>
          <w:sz w:val="24"/>
          <w:highlight w:val="none"/>
        </w:rPr>
      </w:pP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三</w:t>
      </w:r>
      <w:r>
        <w:rPr>
          <w:rFonts w:hint="eastAsia" w:ascii="宋体" w:hAnsi="宋体"/>
          <w:b/>
          <w:color w:val="auto"/>
          <w:sz w:val="24"/>
          <w:highlight w:val="none"/>
          <w:lang w:eastAsia="zh-CN"/>
        </w:rPr>
        <w:t>）</w:t>
      </w:r>
      <w:r>
        <w:rPr>
          <w:rFonts w:hint="eastAsia" w:ascii="宋体" w:hAnsi="宋体"/>
          <w:b/>
          <w:color w:val="auto"/>
          <w:sz w:val="24"/>
          <w:highlight w:val="none"/>
        </w:rPr>
        <w:t>检验</w:t>
      </w:r>
      <w:r>
        <w:rPr>
          <w:rFonts w:ascii="宋体" w:hAnsi="宋体"/>
          <w:b/>
          <w:color w:val="auto"/>
          <w:sz w:val="24"/>
          <w:highlight w:val="none"/>
        </w:rPr>
        <w:t>和验收</w:t>
      </w:r>
    </w:p>
    <w:p w14:paraId="7775F540">
      <w:pPr>
        <w:keepNext w:val="0"/>
        <w:keepLines w:val="0"/>
        <w:pageBreakBefore w:val="0"/>
        <w:widowControl w:val="0"/>
        <w:kinsoku/>
        <w:wordWrap/>
        <w:topLinePunct w:val="0"/>
        <w:bidi w:val="0"/>
        <w:spacing w:line="480" w:lineRule="exact"/>
        <w:ind w:firstLine="480" w:firstLineChars="200"/>
        <w:jc w:val="left"/>
        <w:textAlignment w:val="auto"/>
        <w:rPr>
          <w:rFonts w:hint="eastAsia" w:ascii="宋体" w:hAnsi="宋体" w:cs="宋体"/>
          <w:color w:val="auto"/>
          <w:sz w:val="24"/>
          <w:highlight w:val="none"/>
          <w:lang w:val="zh-CN"/>
        </w:rPr>
      </w:pPr>
      <w:r>
        <w:rPr>
          <w:rFonts w:ascii="宋体" w:hAnsi="宋体"/>
          <w:color w:val="auto"/>
          <w:sz w:val="24"/>
          <w:highlight w:val="none"/>
        </w:rPr>
        <w:t>1</w:t>
      </w:r>
      <w:r>
        <w:rPr>
          <w:rFonts w:hint="eastAsia" w:ascii="宋体" w:hAnsi="宋体"/>
          <w:color w:val="auto"/>
          <w:sz w:val="24"/>
          <w:highlight w:val="none"/>
        </w:rPr>
        <w:t>、</w:t>
      </w:r>
      <w:r>
        <w:rPr>
          <w:rFonts w:hint="eastAsia" w:ascii="宋体" w:hAnsi="宋体" w:cs="宋体"/>
          <w:color w:val="auto"/>
          <w:sz w:val="24"/>
          <w:highlight w:val="none"/>
          <w:lang w:val="zh-CN"/>
        </w:rPr>
        <w:t>设备检验在每批设备到达甲方指定的项目实施地点后，由甲乙双方在7个工作日内共同进行检验（具体到货设备以乙方提供的设备检验单为准），</w:t>
      </w:r>
      <w:r>
        <w:rPr>
          <w:rFonts w:hint="eastAsia" w:ascii="宋体" w:hAnsi="宋体" w:cs="宋体"/>
          <w:color w:val="auto"/>
          <w:sz w:val="24"/>
          <w:highlight w:val="none"/>
          <w:lang w:val="en-US" w:eastAsia="zh-CN"/>
        </w:rPr>
        <w:t>未经验收合格的设备，不得用于本项目</w:t>
      </w:r>
      <w:r>
        <w:rPr>
          <w:rFonts w:hint="eastAsia" w:ascii="宋体" w:hAnsi="宋体" w:cs="宋体"/>
          <w:color w:val="auto"/>
          <w:sz w:val="24"/>
          <w:highlight w:val="none"/>
          <w:lang w:val="zh-CN"/>
        </w:rPr>
        <w:t>。</w:t>
      </w:r>
    </w:p>
    <w:p w14:paraId="624F3AF0">
      <w:pPr>
        <w:keepNext w:val="0"/>
        <w:keepLines w:val="0"/>
        <w:pageBreakBefore w:val="0"/>
        <w:widowControl w:val="0"/>
        <w:kinsoku/>
        <w:wordWrap/>
        <w:topLinePunct w:val="0"/>
        <w:bidi w:val="0"/>
        <w:spacing w:line="480" w:lineRule="exact"/>
        <w:ind w:firstLine="480" w:firstLineChars="200"/>
        <w:jc w:val="left"/>
        <w:textAlignment w:val="auto"/>
        <w:rPr>
          <w:rFonts w:ascii="宋体" w:hAnsi="宋体"/>
          <w:color w:val="auto"/>
          <w:sz w:val="24"/>
          <w:highlight w:val="none"/>
        </w:rPr>
      </w:pPr>
      <w:r>
        <w:rPr>
          <w:rFonts w:ascii="宋体" w:hAnsi="宋体"/>
          <w:color w:val="auto"/>
          <w:sz w:val="24"/>
          <w:highlight w:val="none"/>
          <w:lang w:val="zh-CN"/>
        </w:rPr>
        <w:t>2</w:t>
      </w:r>
      <w:r>
        <w:rPr>
          <w:rFonts w:hint="eastAsia" w:ascii="宋体" w:hAnsi="宋体"/>
          <w:color w:val="auto"/>
          <w:sz w:val="24"/>
          <w:highlight w:val="none"/>
          <w:lang w:val="zh-CN"/>
        </w:rPr>
        <w:t>、所涉项目内容实施完成或</w:t>
      </w:r>
      <w:r>
        <w:rPr>
          <w:rFonts w:hint="eastAsia" w:ascii="宋体" w:hAnsi="宋体" w:cs="宋体"/>
          <w:color w:val="auto"/>
          <w:sz w:val="24"/>
          <w:highlight w:val="none"/>
          <w:lang w:val="zh-CN"/>
        </w:rPr>
        <w:t>者相关功能系统实施完成后进入30天的试运行期，试运行期结束，进行项目初验，初验合格，乙方提交验收申请及相关工程资料、验收资料后20日内，甲方针对乙方已完成项目开展竣工验收，并邀请相关专家</w:t>
      </w:r>
      <w:r>
        <w:rPr>
          <w:rFonts w:ascii="宋体" w:hAnsi="宋体" w:cs="宋体"/>
          <w:color w:val="auto"/>
          <w:sz w:val="24"/>
          <w:highlight w:val="none"/>
          <w:lang w:val="zh-CN"/>
        </w:rPr>
        <w:t>根据合同</w:t>
      </w:r>
      <w:r>
        <w:rPr>
          <w:rFonts w:ascii="宋体" w:hAnsi="宋体"/>
          <w:color w:val="auto"/>
          <w:sz w:val="24"/>
          <w:highlight w:val="none"/>
        </w:rPr>
        <w:t>规定的内容和验收标准</w:t>
      </w:r>
      <w:r>
        <w:rPr>
          <w:rFonts w:hint="eastAsia" w:ascii="宋体" w:hAnsi="宋体"/>
          <w:color w:val="auto"/>
          <w:sz w:val="24"/>
          <w:highlight w:val="none"/>
        </w:rPr>
        <w:t>对已完工项目进行竣工验收，竣工验收合格的出具验收合格通知书。</w:t>
      </w:r>
    </w:p>
    <w:p w14:paraId="730E5471">
      <w:pPr>
        <w:keepNext w:val="0"/>
        <w:keepLines w:val="0"/>
        <w:pageBreakBefore w:val="0"/>
        <w:widowControl w:val="0"/>
        <w:kinsoku/>
        <w:wordWrap/>
        <w:topLinePunct w:val="0"/>
        <w:bidi w:val="0"/>
        <w:spacing w:line="480" w:lineRule="exact"/>
        <w:ind w:firstLine="480" w:firstLineChars="200"/>
        <w:jc w:val="left"/>
        <w:textAlignment w:val="auto"/>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、对经甲方认可的暂时不具备实施条件的及暂缓实施的部分不列入验收范围，待具备实施条件后另行组织实施，完工后进行30天的试运行，试运行结束后</w:t>
      </w:r>
      <w:r>
        <w:rPr>
          <w:rFonts w:ascii="宋体" w:hAnsi="宋体"/>
          <w:color w:val="auto"/>
          <w:sz w:val="24"/>
          <w:highlight w:val="none"/>
        </w:rPr>
        <w:t>10</w:t>
      </w:r>
      <w:r>
        <w:rPr>
          <w:rFonts w:hint="eastAsia" w:ascii="宋体" w:hAnsi="宋体"/>
          <w:color w:val="auto"/>
          <w:sz w:val="24"/>
          <w:highlight w:val="none"/>
        </w:rPr>
        <w:t>日内，甲方进行竣工验收，竣工验收合格的出具验收合格通知书。</w:t>
      </w:r>
    </w:p>
    <w:p w14:paraId="4703A206">
      <w:pPr>
        <w:keepNext w:val="0"/>
        <w:keepLines w:val="0"/>
        <w:pageBreakBefore w:val="0"/>
        <w:widowControl w:val="0"/>
        <w:kinsoku/>
        <w:wordWrap/>
        <w:topLinePunct w:val="0"/>
        <w:bidi w:val="0"/>
        <w:spacing w:line="480" w:lineRule="exact"/>
        <w:ind w:firstLine="480" w:firstLineChars="200"/>
        <w:jc w:val="left"/>
        <w:textAlignment w:val="auto"/>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、对于暂缓实施的及所需增补的工作量，由甲方出具项目增补点位清单，乙方根据甲方出具的增补清单进行设备采购并安排实施。</w:t>
      </w:r>
    </w:p>
    <w:p w14:paraId="060B049C">
      <w:pPr>
        <w:keepNext w:val="0"/>
        <w:keepLines w:val="0"/>
        <w:pageBreakBefore w:val="0"/>
        <w:widowControl w:val="0"/>
        <w:numPr>
          <w:ilvl w:val="0"/>
          <w:numId w:val="4"/>
        </w:numPr>
        <w:kinsoku/>
        <w:wordWrap/>
        <w:topLinePunct w:val="0"/>
        <w:bidi w:val="0"/>
        <w:snapToGrid w:val="0"/>
        <w:spacing w:line="480" w:lineRule="exact"/>
        <w:jc w:val="left"/>
        <w:textAlignment w:val="auto"/>
        <w:rPr>
          <w:rFonts w:ascii="宋体" w:hAnsi="宋体"/>
          <w:b/>
          <w:color w:val="auto"/>
          <w:sz w:val="24"/>
          <w:highlight w:val="none"/>
        </w:rPr>
      </w:pPr>
      <w:r>
        <w:rPr>
          <w:rFonts w:hint="eastAsia" w:ascii="宋体" w:hAnsi="宋体"/>
          <w:b/>
          <w:color w:val="auto"/>
          <w:sz w:val="24"/>
          <w:highlight w:val="none"/>
        </w:rPr>
        <w:t>合同生效</w:t>
      </w:r>
    </w:p>
    <w:p w14:paraId="0FA9B289">
      <w:pPr>
        <w:keepNext w:val="0"/>
        <w:keepLines w:val="0"/>
        <w:pageBreakBefore w:val="0"/>
        <w:widowControl w:val="0"/>
        <w:kinsoku/>
        <w:wordWrap/>
        <w:topLinePunct w:val="0"/>
        <w:bidi w:val="0"/>
        <w:adjustRightInd w:val="0"/>
        <w:snapToGrid w:val="0"/>
        <w:spacing w:line="480" w:lineRule="exact"/>
        <w:ind w:firstLine="600"/>
        <w:jc w:val="left"/>
        <w:textAlignment w:val="auto"/>
        <w:rPr>
          <w:rFonts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本合同经双方盖章签字后生效，如有变动，必须经双方协商一致后，方可</w:t>
      </w:r>
      <w:r>
        <w:rPr>
          <w:rFonts w:hint="eastAsia" w:ascii="宋体" w:hAnsi="宋体"/>
          <w:color w:val="auto"/>
          <w:sz w:val="24"/>
          <w:highlight w:val="none"/>
        </w:rPr>
        <w:t>更改。本合同一式肆份，甲方贰份，乙方贰份。</w:t>
      </w:r>
    </w:p>
    <w:p w14:paraId="485C6A2F">
      <w:pPr>
        <w:keepNext w:val="0"/>
        <w:keepLines w:val="0"/>
        <w:pageBreakBefore w:val="0"/>
        <w:widowControl w:val="0"/>
        <w:kinsoku/>
        <w:wordWrap/>
        <w:topLinePunct w:val="0"/>
        <w:bidi w:val="0"/>
        <w:adjustRightInd w:val="0"/>
        <w:snapToGrid w:val="0"/>
        <w:spacing w:line="480" w:lineRule="exact"/>
        <w:ind w:firstLine="600"/>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其他未尽事宜，参照相关法律，双方协商解决。</w:t>
      </w:r>
    </w:p>
    <w:p w14:paraId="2AC9EB9D">
      <w:pPr>
        <w:keepNext w:val="0"/>
        <w:keepLines w:val="0"/>
        <w:pageBreakBefore w:val="0"/>
        <w:widowControl w:val="0"/>
        <w:kinsoku/>
        <w:wordWrap/>
        <w:topLinePunct w:val="0"/>
        <w:bidi w:val="0"/>
        <w:adjustRightInd w:val="0"/>
        <w:snapToGrid w:val="0"/>
        <w:spacing w:line="480" w:lineRule="exact"/>
        <w:ind w:firstLine="600"/>
        <w:jc w:val="left"/>
        <w:textAlignment w:val="auto"/>
        <w:rPr>
          <w:rFonts w:hint="default" w:ascii="Times New Roman" w:hAnsi="Times New Roman" w:eastAsia="宋体" w:cs="Times New Roman"/>
          <w:b w:val="0"/>
          <w:bCs w:val="0"/>
          <w:color w:val="auto"/>
          <w:kern w:val="2"/>
          <w:sz w:val="24"/>
          <w:szCs w:val="24"/>
          <w:highlight w:val="none"/>
          <w:u w:val="none" w:color="auto"/>
          <w:lang w:val="en-US" w:eastAsia="zh-CN" w:bidi="ar-SA"/>
        </w:rPr>
      </w:pPr>
      <w:r>
        <w:rPr>
          <w:rFonts w:hint="eastAsia" w:ascii="Times New Roman" w:hAnsi="Times New Roman" w:eastAsia="宋体" w:cs="Times New Roman"/>
          <w:b w:val="0"/>
          <w:bCs w:val="0"/>
          <w:color w:val="auto"/>
          <w:kern w:val="2"/>
          <w:sz w:val="24"/>
          <w:szCs w:val="24"/>
          <w:highlight w:val="none"/>
          <w:u w:val="none" w:color="auto"/>
          <w:lang w:val="en-US" w:eastAsia="zh-CN" w:bidi="ar-SA"/>
        </w:rPr>
        <w:t>3、补充条款：本项目的竞争性磋商文件、乙方磋商响应文件以及竞争性磋商澄清答疑文件（如有）、成交通知书等均为合同的组成部分。</w:t>
      </w:r>
    </w:p>
    <w:p w14:paraId="15073614">
      <w:pPr>
        <w:adjustRightInd w:val="0"/>
        <w:snapToGrid w:val="0"/>
        <w:rPr>
          <w:rFonts w:ascii="宋体" w:hAnsi="宋体"/>
          <w:color w:val="auto"/>
          <w:sz w:val="24"/>
          <w:highlight w:val="none"/>
        </w:rPr>
      </w:pPr>
    </w:p>
    <w:p w14:paraId="2FC42344">
      <w:pPr>
        <w:adjustRightInd w:val="0"/>
        <w:snapToGrid w:val="0"/>
        <w:rPr>
          <w:rFonts w:ascii="宋体" w:hAnsi="宋体"/>
          <w:color w:val="auto"/>
          <w:sz w:val="24"/>
          <w:highlight w:val="none"/>
        </w:rPr>
      </w:pPr>
    </w:p>
    <w:p w14:paraId="70DC9777">
      <w:pPr>
        <w:adjustRightInd w:val="0"/>
        <w:snapToGrid w:val="0"/>
        <w:rPr>
          <w:rFonts w:ascii="宋体" w:hAnsi="宋体"/>
          <w:color w:val="auto"/>
          <w:sz w:val="24"/>
          <w:highlight w:val="none"/>
        </w:rPr>
      </w:pPr>
      <w:r>
        <w:rPr>
          <w:rFonts w:hint="eastAsia" w:ascii="宋体" w:hAnsi="宋体"/>
          <w:color w:val="auto"/>
          <w:sz w:val="24"/>
          <w:highlight w:val="none"/>
        </w:rPr>
        <w:t>甲方：单位名称（章）：               乙方：单位名称（章）：</w:t>
      </w:r>
    </w:p>
    <w:p w14:paraId="6F9F2CC1">
      <w:pPr>
        <w:adjustRightInd w:val="0"/>
        <w:snapToGrid w:val="0"/>
        <w:ind w:firstLine="480" w:firstLineChars="200"/>
        <w:rPr>
          <w:rFonts w:ascii="宋体" w:hAnsi="宋体"/>
          <w:color w:val="auto"/>
          <w:sz w:val="24"/>
          <w:highlight w:val="none"/>
        </w:rPr>
      </w:pPr>
    </w:p>
    <w:p w14:paraId="7C4DCDA0">
      <w:pPr>
        <w:adjustRightInd w:val="0"/>
        <w:snapToGrid w:val="0"/>
        <w:rPr>
          <w:rFonts w:ascii="宋体" w:hAnsi="宋体"/>
          <w:color w:val="auto"/>
          <w:sz w:val="24"/>
          <w:highlight w:val="none"/>
        </w:rPr>
      </w:pPr>
      <w:r>
        <w:rPr>
          <w:rFonts w:hint="eastAsia" w:ascii="宋体" w:hAnsi="宋体"/>
          <w:color w:val="auto"/>
          <w:sz w:val="24"/>
          <w:highlight w:val="none"/>
        </w:rPr>
        <w:t xml:space="preserve">法定代表人/授权代表人：             法定代表人/授权代表人： </w:t>
      </w:r>
    </w:p>
    <w:p w14:paraId="39D18C1A">
      <w:pPr>
        <w:adjustRightInd w:val="0"/>
        <w:snapToGrid w:val="0"/>
        <w:ind w:firstLine="480" w:firstLineChars="200"/>
        <w:rPr>
          <w:rFonts w:ascii="宋体" w:hAnsi="宋体"/>
          <w:color w:val="auto"/>
          <w:sz w:val="24"/>
          <w:highlight w:val="none"/>
        </w:rPr>
      </w:pPr>
    </w:p>
    <w:p w14:paraId="09819B0A">
      <w:pPr>
        <w:rPr>
          <w:rFonts w:hint="eastAsia" w:asciiTheme="minorEastAsia" w:hAnsiTheme="minorEastAsia" w:eastAsiaTheme="minorEastAsia"/>
          <w:b/>
          <w:color w:val="auto"/>
          <w:sz w:val="36"/>
          <w:szCs w:val="36"/>
          <w:highlight w:val="none"/>
        </w:rPr>
      </w:pPr>
      <w:r>
        <w:rPr>
          <w:rFonts w:hint="eastAsia" w:ascii="宋体" w:hAnsi="宋体"/>
          <w:color w:val="auto"/>
          <w:sz w:val="24"/>
          <w:highlight w:val="none"/>
        </w:rPr>
        <w:t>日  期：                            日  期：</w:t>
      </w:r>
      <w:r>
        <w:rPr>
          <w:rFonts w:hint="eastAsia" w:asciiTheme="minorEastAsia" w:hAnsiTheme="minorEastAsia" w:eastAsiaTheme="minorEastAsia"/>
          <w:b/>
          <w:color w:val="auto"/>
          <w:sz w:val="36"/>
          <w:szCs w:val="36"/>
          <w:highlight w:val="none"/>
        </w:rPr>
        <w:br w:type="page"/>
      </w:r>
    </w:p>
    <w:p w14:paraId="70C5D75A">
      <w:pPr>
        <w:snapToGrid w:val="0"/>
        <w:spacing w:line="400" w:lineRule="atLeast"/>
        <w:jc w:val="center"/>
        <w:outlineLvl w:val="0"/>
        <w:rPr>
          <w:rFonts w:asciiTheme="minorEastAsia" w:hAnsiTheme="minorEastAsia" w:eastAsiaTheme="minorEastAsia"/>
          <w:b/>
          <w:color w:val="auto"/>
          <w:sz w:val="36"/>
          <w:szCs w:val="36"/>
          <w:highlight w:val="none"/>
        </w:rPr>
      </w:pPr>
      <w:r>
        <w:rPr>
          <w:rFonts w:hint="eastAsia" w:asciiTheme="minorEastAsia" w:hAnsiTheme="minorEastAsia" w:eastAsiaTheme="minorEastAsia"/>
          <w:b/>
          <w:color w:val="auto"/>
          <w:sz w:val="36"/>
          <w:szCs w:val="36"/>
          <w:highlight w:val="none"/>
        </w:rPr>
        <w:t>第六部分  质疑提出和处理</w:t>
      </w:r>
    </w:p>
    <w:p w14:paraId="3687B531">
      <w:pPr>
        <w:pStyle w:val="7"/>
        <w:snapToGrid w:val="0"/>
        <w:spacing w:line="400" w:lineRule="atLeast"/>
        <w:ind w:left="0" w:leftChars="0" w:firstLine="640" w:firstLineChars="200"/>
        <w:contextualSpacing/>
        <w:rPr>
          <w:rFonts w:ascii="仿宋_GB2312" w:hAnsi="宋体" w:eastAsia="仿宋_GB2312"/>
          <w:color w:val="auto"/>
          <w:sz w:val="32"/>
          <w:szCs w:val="32"/>
          <w:highlight w:val="none"/>
        </w:rPr>
      </w:pPr>
    </w:p>
    <w:p w14:paraId="4ECEF918">
      <w:pPr>
        <w:pStyle w:val="7"/>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一、质疑的提出</w:t>
      </w:r>
    </w:p>
    <w:p w14:paraId="7205FFCB">
      <w:pPr>
        <w:pStyle w:val="7"/>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(一)质疑人的身份要求</w:t>
      </w:r>
    </w:p>
    <w:p w14:paraId="602A9653">
      <w:pPr>
        <w:pStyle w:val="7"/>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1.提出质疑的供应商应当是参与所质疑项目采购活动的供应商。</w:t>
      </w:r>
    </w:p>
    <w:p w14:paraId="0633AA66">
      <w:pPr>
        <w:pStyle w:val="7"/>
        <w:snapToGrid w:val="0"/>
        <w:spacing w:line="480" w:lineRule="exact"/>
        <w:ind w:left="0" w:leftChars="0" w:firstLine="480" w:firstLineChars="200"/>
        <w:contextualSpacing/>
        <w:rPr>
          <w:color w:val="auto"/>
          <w:sz w:val="24"/>
          <w:highlight w:val="none"/>
        </w:rPr>
      </w:pPr>
      <w:r>
        <w:rPr>
          <w:color w:val="auto"/>
          <w:sz w:val="24"/>
          <w:highlight w:val="none"/>
          <w:lang w:val="zh-CN"/>
        </w:rPr>
        <w:t>2.潜在供应商已依法获取其可质疑的采购文件的，可以对该文件提出质疑。对采购文件提出质疑的，应当在获取采购文件或者采购文件公告期限届满之日起7个工作日内提出。</w:t>
      </w:r>
    </w:p>
    <w:p w14:paraId="7D41D498">
      <w:pPr>
        <w:pStyle w:val="7"/>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 xml:space="preserve"> (二)质疑提出的格式要求</w:t>
      </w:r>
    </w:p>
    <w:p w14:paraId="787E0EA8">
      <w:pPr>
        <w:pStyle w:val="7"/>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1.质疑必须按《政府采购法》、《政府采购法实施条例》及《江苏省政府采购供应商监督管理暂行办法》的相关规定提交，质疑实行实名制，不得进行虚假、恶意质疑，未按上述要求提交的质疑函，</w:t>
      </w:r>
      <w:r>
        <w:rPr>
          <w:color w:val="auto"/>
          <w:sz w:val="24"/>
          <w:highlight w:val="none"/>
        </w:rPr>
        <w:t>采购代理机构</w:t>
      </w:r>
      <w:r>
        <w:rPr>
          <w:color w:val="auto"/>
          <w:sz w:val="24"/>
          <w:highlight w:val="none"/>
          <w:lang w:val="zh-CN"/>
        </w:rPr>
        <w:t>有权不予受理。</w:t>
      </w:r>
    </w:p>
    <w:p w14:paraId="055035BF">
      <w:pPr>
        <w:pStyle w:val="7"/>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2.质疑函应包括：</w:t>
      </w:r>
    </w:p>
    <w:p w14:paraId="37FEDA4C">
      <w:pPr>
        <w:pStyle w:val="7"/>
        <w:snapToGrid w:val="0"/>
        <w:spacing w:line="480" w:lineRule="exact"/>
        <w:ind w:left="0" w:leftChars="0" w:firstLine="480" w:firstLineChars="200"/>
        <w:contextualSpacing/>
        <w:rPr>
          <w:rFonts w:ascii="宋体" w:hAnsi="宋体"/>
          <w:color w:val="auto"/>
          <w:sz w:val="24"/>
          <w:highlight w:val="none"/>
        </w:rPr>
      </w:pPr>
      <w:r>
        <w:rPr>
          <w:rFonts w:hint="eastAsia" w:ascii="宋体" w:hAnsi="宋体"/>
          <w:color w:val="auto"/>
          <w:sz w:val="24"/>
          <w:highlight w:val="none"/>
        </w:rPr>
        <w:t>（1）质疑人的名称、地址、邮编、联系人及联系电话；</w:t>
      </w:r>
    </w:p>
    <w:p w14:paraId="61249854">
      <w:pPr>
        <w:pStyle w:val="7"/>
        <w:snapToGrid w:val="0"/>
        <w:spacing w:line="480" w:lineRule="exact"/>
        <w:ind w:left="0" w:leftChars="0" w:firstLine="480" w:firstLineChars="200"/>
        <w:contextualSpacing/>
        <w:rPr>
          <w:rFonts w:ascii="宋体" w:hAnsi="宋体"/>
          <w:color w:val="auto"/>
          <w:sz w:val="24"/>
          <w:highlight w:val="none"/>
        </w:rPr>
      </w:pPr>
      <w:r>
        <w:rPr>
          <w:rFonts w:hint="eastAsia" w:ascii="宋体" w:hAnsi="宋体"/>
          <w:color w:val="auto"/>
          <w:sz w:val="24"/>
          <w:highlight w:val="none"/>
        </w:rPr>
        <w:t>（2）质疑项目的名称、编号；</w:t>
      </w:r>
    </w:p>
    <w:p w14:paraId="0C1ACEFD">
      <w:pPr>
        <w:pStyle w:val="7"/>
        <w:snapToGrid w:val="0"/>
        <w:spacing w:line="480" w:lineRule="exact"/>
        <w:ind w:left="0" w:leftChars="0" w:firstLine="480" w:firstLineChars="200"/>
        <w:contextualSpacing/>
        <w:rPr>
          <w:rFonts w:ascii="宋体" w:hAnsi="宋体"/>
          <w:color w:val="auto"/>
          <w:sz w:val="24"/>
          <w:highlight w:val="none"/>
        </w:rPr>
      </w:pPr>
      <w:r>
        <w:rPr>
          <w:rFonts w:hint="eastAsia" w:ascii="宋体" w:hAnsi="宋体"/>
          <w:color w:val="auto"/>
          <w:sz w:val="24"/>
          <w:highlight w:val="none"/>
        </w:rPr>
        <w:t>（3）具体、明确的质疑事项和与质疑事项相关的请求；</w:t>
      </w:r>
    </w:p>
    <w:p w14:paraId="0372657A">
      <w:pPr>
        <w:pStyle w:val="7"/>
        <w:snapToGrid w:val="0"/>
        <w:spacing w:line="480" w:lineRule="exact"/>
        <w:ind w:left="0" w:leftChars="0" w:firstLine="480" w:firstLineChars="200"/>
        <w:contextualSpacing/>
        <w:rPr>
          <w:rFonts w:ascii="宋体" w:hAnsi="宋体"/>
          <w:color w:val="auto"/>
          <w:sz w:val="24"/>
          <w:highlight w:val="none"/>
        </w:rPr>
      </w:pPr>
      <w:r>
        <w:rPr>
          <w:rFonts w:hint="eastAsia" w:ascii="宋体" w:hAnsi="宋体"/>
          <w:color w:val="auto"/>
          <w:sz w:val="24"/>
          <w:highlight w:val="none"/>
        </w:rPr>
        <w:t>（4）事实依据；</w:t>
      </w:r>
    </w:p>
    <w:p w14:paraId="5C2EEA90">
      <w:pPr>
        <w:pStyle w:val="7"/>
        <w:snapToGrid w:val="0"/>
        <w:spacing w:line="480" w:lineRule="exact"/>
        <w:ind w:left="0" w:leftChars="0" w:firstLine="480" w:firstLineChars="200"/>
        <w:contextualSpacing/>
        <w:rPr>
          <w:rFonts w:ascii="宋体" w:hAnsi="宋体"/>
          <w:color w:val="auto"/>
          <w:sz w:val="24"/>
          <w:highlight w:val="none"/>
        </w:rPr>
      </w:pPr>
      <w:r>
        <w:rPr>
          <w:rFonts w:hint="eastAsia" w:ascii="宋体" w:hAnsi="宋体"/>
          <w:color w:val="auto"/>
          <w:sz w:val="24"/>
          <w:highlight w:val="none"/>
        </w:rPr>
        <w:t xml:space="preserve">（5）必要的法律依据；                          </w:t>
      </w:r>
    </w:p>
    <w:p w14:paraId="597E09B7">
      <w:pPr>
        <w:pStyle w:val="7"/>
        <w:snapToGrid w:val="0"/>
        <w:spacing w:line="480" w:lineRule="exact"/>
        <w:ind w:left="0" w:leftChars="0" w:firstLine="480" w:firstLineChars="200"/>
        <w:contextualSpacing/>
        <w:rPr>
          <w:rFonts w:ascii="宋体" w:hAnsi="宋体"/>
          <w:color w:val="auto"/>
          <w:sz w:val="24"/>
          <w:highlight w:val="none"/>
        </w:rPr>
      </w:pPr>
      <w:r>
        <w:rPr>
          <w:rFonts w:hint="eastAsia" w:ascii="宋体" w:hAnsi="宋体"/>
          <w:color w:val="auto"/>
          <w:sz w:val="24"/>
          <w:highlight w:val="none"/>
        </w:rPr>
        <w:t>（6）提出质疑的日期。</w:t>
      </w:r>
    </w:p>
    <w:p w14:paraId="73537646">
      <w:pPr>
        <w:pStyle w:val="7"/>
        <w:snapToGrid w:val="0"/>
        <w:spacing w:line="480" w:lineRule="exact"/>
        <w:ind w:left="0" w:leftChars="0" w:firstLine="480" w:firstLineChars="200"/>
        <w:contextualSpacing/>
        <w:rPr>
          <w:color w:val="auto"/>
          <w:sz w:val="24"/>
          <w:highlight w:val="none"/>
          <w:lang w:val="zh-CN"/>
        </w:rPr>
      </w:pPr>
      <w:r>
        <w:rPr>
          <w:rFonts w:hint="eastAsia" w:ascii="宋体" w:hAnsi="宋体"/>
          <w:color w:val="auto"/>
          <w:sz w:val="24"/>
          <w:highlight w:val="none"/>
        </w:rPr>
        <w:t>（7）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代理机构将不予受理。质疑人委托代理质疑的，应当向采购代理机构提交授权委托书，并载明委托代理的具体权限和事项。</w:t>
      </w:r>
    </w:p>
    <w:p w14:paraId="642098C0">
      <w:pPr>
        <w:pStyle w:val="7"/>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3.质疑函需遵循的原则：</w:t>
      </w:r>
    </w:p>
    <w:p w14:paraId="0F66A27F">
      <w:pPr>
        <w:pStyle w:val="7"/>
        <w:snapToGrid w:val="0"/>
        <w:spacing w:line="480" w:lineRule="exact"/>
        <w:ind w:left="0" w:leftChars="0" w:firstLine="480" w:firstLineChars="200"/>
        <w:contextualSpacing/>
        <w:rPr>
          <w:rFonts w:ascii="宋体" w:hAnsi="宋体"/>
          <w:color w:val="auto"/>
          <w:sz w:val="24"/>
          <w:highlight w:val="none"/>
          <w:lang w:val="zh-CN"/>
        </w:rPr>
      </w:pPr>
      <w:r>
        <w:rPr>
          <w:rFonts w:hint="eastAsia" w:ascii="宋体" w:hAnsi="宋体"/>
          <w:color w:val="auto"/>
          <w:sz w:val="24"/>
          <w:highlight w:val="none"/>
          <w:lang w:val="zh-CN"/>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28131010">
      <w:pPr>
        <w:pStyle w:val="7"/>
        <w:snapToGrid w:val="0"/>
        <w:spacing w:line="480" w:lineRule="exact"/>
        <w:ind w:left="0" w:leftChars="0" w:firstLine="480" w:firstLineChars="200"/>
        <w:contextualSpacing/>
        <w:rPr>
          <w:rFonts w:ascii="宋体" w:hAnsi="宋体"/>
          <w:color w:val="auto"/>
          <w:sz w:val="24"/>
          <w:highlight w:val="none"/>
          <w:lang w:val="zh-CN"/>
        </w:rPr>
      </w:pPr>
      <w:r>
        <w:rPr>
          <w:rFonts w:hint="eastAsia" w:ascii="宋体" w:hAnsi="宋体"/>
          <w:color w:val="auto"/>
          <w:sz w:val="24"/>
          <w:highlight w:val="none"/>
          <w:lang w:val="zh-CN"/>
        </w:rPr>
        <w:t>（三）质疑提出的时效要求</w:t>
      </w:r>
    </w:p>
    <w:p w14:paraId="4697559B">
      <w:pPr>
        <w:pStyle w:val="7"/>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1.供应商认为采购文件、采购过程和采购结果使自己的权益受到损害的，可以在知道或应知其权益受到损害之日起七个工作日内，以书面形式向</w:t>
      </w:r>
      <w:r>
        <w:rPr>
          <w:color w:val="auto"/>
          <w:sz w:val="24"/>
          <w:highlight w:val="none"/>
        </w:rPr>
        <w:t>采购代理机构</w:t>
      </w:r>
      <w:r>
        <w:rPr>
          <w:color w:val="auto"/>
          <w:sz w:val="24"/>
          <w:highlight w:val="none"/>
          <w:lang w:val="zh-CN"/>
        </w:rPr>
        <w:t>或采购人提出质疑。上述应知其权益受到损害之日，是指：</w:t>
      </w:r>
    </w:p>
    <w:p w14:paraId="4A796C08">
      <w:pPr>
        <w:pStyle w:val="7"/>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（1）对可以质疑的采购文件提出质疑的，为收到采购文件之日或者采购文件公告期限届满之日；</w:t>
      </w:r>
    </w:p>
    <w:p w14:paraId="62CF1126">
      <w:pPr>
        <w:pStyle w:val="7"/>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（2）对采购过程提出质疑的，为各采购程序环节结束之日；</w:t>
      </w:r>
    </w:p>
    <w:p w14:paraId="5E1993A7">
      <w:pPr>
        <w:pStyle w:val="7"/>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（3）对成交或者成交结果提出质疑的，为成交或者成交结果公告期限届满之日。</w:t>
      </w:r>
    </w:p>
    <w:p w14:paraId="37EB509A">
      <w:pPr>
        <w:pStyle w:val="7"/>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供应商认为采购文件使自己的权益受到损害的，可以按照</w:t>
      </w:r>
      <w:r>
        <w:rPr>
          <w:rFonts w:hint="eastAsia"/>
          <w:color w:val="auto"/>
          <w:sz w:val="24"/>
          <w:highlight w:val="none"/>
          <w:lang w:val="zh-CN"/>
        </w:rPr>
        <w:t>磋商</w:t>
      </w:r>
      <w:r>
        <w:rPr>
          <w:color w:val="auto"/>
          <w:sz w:val="24"/>
          <w:highlight w:val="none"/>
          <w:lang w:val="zh-CN"/>
        </w:rPr>
        <w:t>公告第</w:t>
      </w:r>
      <w:r>
        <w:rPr>
          <w:rFonts w:hint="eastAsia"/>
          <w:color w:val="auto"/>
          <w:sz w:val="24"/>
          <w:highlight w:val="none"/>
          <w:lang w:val="zh-CN"/>
        </w:rPr>
        <w:t>七</w:t>
      </w:r>
      <w:r>
        <w:rPr>
          <w:color w:val="auto"/>
          <w:sz w:val="24"/>
          <w:highlight w:val="none"/>
          <w:lang w:val="zh-CN"/>
        </w:rPr>
        <w:t>项</w:t>
      </w:r>
      <w:r>
        <w:rPr>
          <w:rFonts w:hint="eastAsia"/>
          <w:color w:val="auto"/>
          <w:sz w:val="24"/>
          <w:highlight w:val="none"/>
          <w:lang w:val="zh-CN"/>
        </w:rPr>
        <w:t>第四点</w:t>
      </w:r>
      <w:r>
        <w:rPr>
          <w:color w:val="auto"/>
          <w:sz w:val="24"/>
          <w:highlight w:val="none"/>
          <w:lang w:val="zh-CN"/>
        </w:rPr>
        <w:t>要求向采购人提出质疑；供应商认为采购过程和采购结果使自己的权益受到损害的，可以以书面形式向</w:t>
      </w:r>
      <w:r>
        <w:rPr>
          <w:color w:val="auto"/>
          <w:sz w:val="24"/>
          <w:highlight w:val="none"/>
        </w:rPr>
        <w:t>采购代理机构</w:t>
      </w:r>
      <w:r>
        <w:rPr>
          <w:color w:val="auto"/>
          <w:sz w:val="24"/>
          <w:highlight w:val="none"/>
          <w:lang w:val="zh-CN"/>
        </w:rPr>
        <w:t>或采购人提出质疑。</w:t>
      </w:r>
    </w:p>
    <w:p w14:paraId="5B82C76A">
      <w:pPr>
        <w:pStyle w:val="7"/>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 xml:space="preserve">2.供应商应在法定质疑期一次性提出针对同一采购程序环节的质疑。                         </w:t>
      </w:r>
    </w:p>
    <w:p w14:paraId="468E5DCC">
      <w:pPr>
        <w:pStyle w:val="7"/>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二、《质疑函》的受理和答复</w:t>
      </w:r>
    </w:p>
    <w:p w14:paraId="63739321">
      <w:pPr>
        <w:pStyle w:val="7"/>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 xml:space="preserve">1. </w:t>
      </w:r>
      <w:r>
        <w:rPr>
          <w:rFonts w:hint="eastAsia"/>
          <w:color w:val="auto"/>
          <w:sz w:val="24"/>
          <w:highlight w:val="none"/>
          <w:lang w:val="zh-CN"/>
        </w:rPr>
        <w:t>采购代理机构或采购人收到质疑函后，将对质疑的形式和内容进行审查，如质疑函内容、格式不符合规定，采购代理机构需告知质疑人进行补正。</w:t>
      </w:r>
    </w:p>
    <w:p w14:paraId="21FD0A65">
      <w:pPr>
        <w:pStyle w:val="7"/>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2. 质疑人应当在法定质疑期限内进行补正并重新提交质疑函，拒不补正或者在法定期限内未重新提交质疑函的，为无效质疑，不予受理。</w:t>
      </w:r>
    </w:p>
    <w:p w14:paraId="329C4F44">
      <w:pPr>
        <w:pStyle w:val="7"/>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3.采购人或采购代理机构答复供应商质疑应当采用书面方式并依法送达，质疑供应商或其委托代理人拒绝签收的视为已经送达。</w:t>
      </w:r>
    </w:p>
    <w:p w14:paraId="2559F1E0">
      <w:pPr>
        <w:pStyle w:val="7"/>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三、质疑处理</w:t>
      </w:r>
    </w:p>
    <w:p w14:paraId="7E2E64B3">
      <w:pPr>
        <w:pStyle w:val="7"/>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1. 质疑成立的处理</w:t>
      </w:r>
    </w:p>
    <w:p w14:paraId="007B8119">
      <w:pPr>
        <w:pStyle w:val="7"/>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 xml:space="preserve">（1）对于内容、格式符合规定的质疑函，采购代理机构或采购人在收到供应商的书面质疑后七个工作日内作出书面答复，但答复的内容不得涉及商业秘密。                       </w:t>
      </w:r>
    </w:p>
    <w:p w14:paraId="7CF99CF4">
      <w:pPr>
        <w:pStyle w:val="7"/>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（2）对采购文件提出的质疑，依法通过澄清或者修改可以继续开展采购活动的，澄清或者修改采购文件后继续开展采购活动；否则应当修改采购文件后重新开展采购活动。</w:t>
      </w:r>
    </w:p>
    <w:p w14:paraId="78CD5A91">
      <w:pPr>
        <w:pStyle w:val="7"/>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（3）对采购过程、成交结果提出的质疑，合格供应商符合法定数量时，可以从合格的候选人中另行确定成交供应商的，应当依法另行确定成交供应商；否则应当重新开展采购活动。</w:t>
      </w:r>
    </w:p>
    <w:p w14:paraId="073D2427">
      <w:pPr>
        <w:pStyle w:val="7"/>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质疑答复导致成交结果改变的，采购人或者采购代理机构应当将有关情况书面报告上级部门。</w:t>
      </w:r>
    </w:p>
    <w:p w14:paraId="1A10803F">
      <w:pPr>
        <w:pStyle w:val="7"/>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2.质疑不成立的处理</w:t>
      </w:r>
    </w:p>
    <w:p w14:paraId="4548E639">
      <w:pPr>
        <w:pStyle w:val="7"/>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 xml:space="preserve">若质疑不成立，或者成立未对成交结果构成影响的，继续开展采购活动。                  </w:t>
      </w:r>
    </w:p>
    <w:p w14:paraId="3253B9F4">
      <w:pPr>
        <w:pStyle w:val="7"/>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 xml:space="preserve">3.虚假质疑的处理          </w:t>
      </w:r>
    </w:p>
    <w:p w14:paraId="4FEF7E0F">
      <w:pPr>
        <w:pStyle w:val="7"/>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 xml:space="preserve">（1）供应商提出书面质疑必须有理、有据，不得恶意质疑或提交虚假质疑。否则，一经查实，采购人有权依据采购的有关规定，报请采购监管部门对该供应商进行相应的行政处罚。                          </w:t>
      </w:r>
    </w:p>
    <w:p w14:paraId="1D489FC8">
      <w:pPr>
        <w:pStyle w:val="7"/>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（2）在江苏省范围内一年累计三次以上质疑，均查无实据的供应商将按失信行为记入该注册供应商诚信档案中。</w:t>
      </w:r>
    </w:p>
    <w:p w14:paraId="6A0BB87E">
      <w:pPr>
        <w:pStyle w:val="7"/>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（3）采购代理机构或采购人受理质疑和答复相关咨询，联系电话详见竞争性磋商公告。</w:t>
      </w:r>
    </w:p>
    <w:p w14:paraId="189CFBC3">
      <w:pPr>
        <w:autoSpaceDE w:val="0"/>
        <w:autoSpaceDN w:val="0"/>
        <w:adjustRightInd w:val="0"/>
        <w:snapToGrid w:val="0"/>
        <w:spacing w:line="300" w:lineRule="auto"/>
        <w:ind w:left="4513" w:right="210" w:hanging="4513"/>
        <w:jc w:val="center"/>
        <w:rPr>
          <w:rFonts w:asciiTheme="minorEastAsia" w:hAnsiTheme="minorEastAsia" w:eastAsiaTheme="minorEastAsia"/>
          <w:b/>
          <w:bCs/>
          <w:color w:val="auto"/>
          <w:sz w:val="36"/>
          <w:szCs w:val="36"/>
          <w:highlight w:val="none"/>
          <w:lang w:val="zh-CN"/>
        </w:rPr>
      </w:pPr>
      <w:r>
        <w:rPr>
          <w:rFonts w:hint="eastAsia" w:ascii="仿宋_GB2312" w:eastAsia="仿宋_GB2312"/>
          <w:b/>
          <w:bCs/>
          <w:color w:val="auto"/>
          <w:sz w:val="36"/>
          <w:szCs w:val="36"/>
          <w:highlight w:val="none"/>
          <w:lang w:val="zh-CN"/>
        </w:rPr>
        <w:br w:type="page"/>
      </w:r>
      <w:r>
        <w:rPr>
          <w:rFonts w:hint="eastAsia" w:asciiTheme="minorEastAsia" w:hAnsiTheme="minorEastAsia" w:eastAsiaTheme="minorEastAsia"/>
          <w:b/>
          <w:bCs/>
          <w:color w:val="auto"/>
          <w:sz w:val="36"/>
          <w:szCs w:val="36"/>
          <w:highlight w:val="none"/>
          <w:lang w:val="zh-CN"/>
        </w:rPr>
        <w:t>第七部分  响应文件组成</w:t>
      </w:r>
    </w:p>
    <w:p w14:paraId="3DEFFD3A">
      <w:pPr>
        <w:snapToGrid w:val="0"/>
        <w:spacing w:line="480" w:lineRule="exact"/>
        <w:ind w:firstLine="482" w:firstLineChars="200"/>
        <w:jc w:val="left"/>
        <w:rPr>
          <w:b/>
          <w:color w:val="auto"/>
          <w:sz w:val="24"/>
          <w:highlight w:val="none"/>
        </w:rPr>
      </w:pPr>
      <w:r>
        <w:rPr>
          <w:b/>
          <w:color w:val="auto"/>
          <w:sz w:val="24"/>
          <w:highlight w:val="none"/>
        </w:rPr>
        <w:t>响应文件由资格审查</w:t>
      </w:r>
      <w:r>
        <w:rPr>
          <w:rFonts w:hint="eastAsia"/>
          <w:b/>
          <w:color w:val="auto"/>
          <w:sz w:val="24"/>
          <w:highlight w:val="none"/>
        </w:rPr>
        <w:t>文件</w:t>
      </w:r>
      <w:r>
        <w:rPr>
          <w:b/>
          <w:color w:val="auto"/>
          <w:sz w:val="24"/>
          <w:highlight w:val="none"/>
        </w:rPr>
        <w:t>、商务技术文件</w:t>
      </w:r>
      <w:r>
        <w:rPr>
          <w:rFonts w:hint="eastAsia"/>
          <w:b/>
          <w:color w:val="auto"/>
          <w:sz w:val="24"/>
          <w:highlight w:val="none"/>
        </w:rPr>
        <w:t>、报价</w:t>
      </w:r>
      <w:r>
        <w:rPr>
          <w:b/>
          <w:color w:val="auto"/>
          <w:sz w:val="24"/>
          <w:highlight w:val="none"/>
        </w:rPr>
        <w:t>文件</w:t>
      </w:r>
      <w:r>
        <w:rPr>
          <w:rFonts w:hint="eastAsia"/>
          <w:b/>
          <w:color w:val="auto"/>
          <w:sz w:val="24"/>
          <w:highlight w:val="none"/>
          <w:lang w:val="en-US" w:eastAsia="zh-CN"/>
        </w:rPr>
        <w:t>三</w:t>
      </w:r>
      <w:r>
        <w:rPr>
          <w:b/>
          <w:color w:val="auto"/>
          <w:sz w:val="24"/>
          <w:highlight w:val="none"/>
        </w:rPr>
        <w:t>部分组成</w:t>
      </w:r>
      <w:r>
        <w:rPr>
          <w:rFonts w:hint="eastAsia" w:ascii="宋体" w:hAnsi="宋体"/>
          <w:b/>
          <w:color w:val="auto"/>
          <w:sz w:val="24"/>
          <w:highlight w:val="none"/>
        </w:rPr>
        <w:t>，相关</w:t>
      </w:r>
      <w:r>
        <w:rPr>
          <w:rFonts w:hint="eastAsia" w:ascii="宋体" w:hAnsi="宋体"/>
          <w:b/>
          <w:color w:val="auto"/>
          <w:sz w:val="24"/>
          <w:highlight w:val="none"/>
          <w:lang w:val="zh-CN"/>
        </w:rPr>
        <w:t>格式参见附件</w:t>
      </w:r>
      <w:r>
        <w:rPr>
          <w:rFonts w:hint="eastAsia" w:ascii="宋体" w:hAnsi="宋体"/>
          <w:b/>
          <w:color w:val="auto"/>
          <w:sz w:val="24"/>
          <w:highlight w:val="none"/>
        </w:rPr>
        <w:t>。</w:t>
      </w:r>
    </w:p>
    <w:p w14:paraId="232449E4">
      <w:pPr>
        <w:snapToGrid w:val="0"/>
        <w:spacing w:line="480" w:lineRule="exact"/>
        <w:ind w:firstLine="472" w:firstLineChars="196"/>
        <w:contextualSpacing/>
        <w:rPr>
          <w:b/>
          <w:color w:val="auto"/>
          <w:sz w:val="24"/>
          <w:highlight w:val="none"/>
        </w:rPr>
      </w:pPr>
      <w:r>
        <w:rPr>
          <w:b/>
          <w:color w:val="auto"/>
          <w:sz w:val="24"/>
          <w:highlight w:val="none"/>
        </w:rPr>
        <w:t>一、资格审查</w:t>
      </w:r>
      <w:r>
        <w:rPr>
          <w:rFonts w:hint="eastAsia"/>
          <w:b/>
          <w:color w:val="auto"/>
          <w:sz w:val="24"/>
          <w:highlight w:val="none"/>
        </w:rPr>
        <w:t>文件</w:t>
      </w:r>
      <w:r>
        <w:rPr>
          <w:b/>
          <w:color w:val="auto"/>
          <w:sz w:val="24"/>
          <w:highlight w:val="none"/>
        </w:rPr>
        <w:t>（</w:t>
      </w:r>
      <w:r>
        <w:rPr>
          <w:rFonts w:hint="eastAsia"/>
          <w:b/>
          <w:color w:val="auto"/>
          <w:sz w:val="24"/>
          <w:highlight w:val="none"/>
          <w:lang w:val="en-US" w:eastAsia="zh-CN"/>
        </w:rPr>
        <w:t>单独密封，</w:t>
      </w:r>
      <w:r>
        <w:rPr>
          <w:b/>
          <w:color w:val="auto"/>
          <w:sz w:val="24"/>
          <w:highlight w:val="none"/>
        </w:rPr>
        <w:t>不能出现报价、商务技术标）</w:t>
      </w:r>
    </w:p>
    <w:p w14:paraId="6F921917">
      <w:pPr>
        <w:snapToGrid w:val="0"/>
        <w:spacing w:line="480" w:lineRule="exact"/>
        <w:ind w:firstLine="480" w:firstLineChars="200"/>
        <w:rPr>
          <w:color w:val="auto"/>
          <w:sz w:val="24"/>
          <w:highlight w:val="none"/>
        </w:rPr>
      </w:pPr>
      <w:r>
        <w:rPr>
          <w:color w:val="auto"/>
          <w:sz w:val="24"/>
          <w:highlight w:val="none"/>
        </w:rPr>
        <w:t>1、</w:t>
      </w:r>
      <w:r>
        <w:rPr>
          <w:rFonts w:hint="eastAsia"/>
          <w:color w:val="auto"/>
          <w:sz w:val="24"/>
          <w:highlight w:val="none"/>
          <w:lang w:val="en-US" w:eastAsia="zh-CN"/>
        </w:rPr>
        <w:t>供应商</w:t>
      </w:r>
      <w:r>
        <w:rPr>
          <w:rFonts w:hint="eastAsia"/>
          <w:color w:val="auto"/>
          <w:sz w:val="24"/>
          <w:highlight w:val="none"/>
        </w:rPr>
        <w:t>声明函</w:t>
      </w:r>
      <w:r>
        <w:rPr>
          <w:color w:val="auto"/>
          <w:sz w:val="24"/>
          <w:highlight w:val="none"/>
        </w:rPr>
        <w:t>；</w:t>
      </w:r>
    </w:p>
    <w:p w14:paraId="30E64532">
      <w:pPr>
        <w:pStyle w:val="16"/>
        <w:snapToGrid w:val="0"/>
        <w:spacing w:line="480" w:lineRule="exact"/>
        <w:ind w:firstLine="480" w:firstLineChars="200"/>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2、法定代表人身份证明书</w:t>
      </w:r>
      <w:r>
        <w:rPr>
          <w:rFonts w:eastAsia="宋体"/>
          <w:color w:val="auto"/>
          <w:sz w:val="24"/>
          <w:highlight w:val="none"/>
          <w:lang w:val="zh-CN"/>
        </w:rPr>
        <w:t>；</w:t>
      </w:r>
    </w:p>
    <w:p w14:paraId="41B87B88">
      <w:pPr>
        <w:tabs>
          <w:tab w:val="left" w:pos="3375"/>
        </w:tabs>
        <w:autoSpaceDE w:val="0"/>
        <w:autoSpaceDN w:val="0"/>
        <w:adjustRightInd w:val="0"/>
        <w:snapToGrid w:val="0"/>
        <w:spacing w:line="480" w:lineRule="exact"/>
        <w:ind w:left="1" w:firstLine="480" w:firstLineChars="200"/>
        <w:rPr>
          <w:color w:val="auto"/>
          <w:sz w:val="24"/>
          <w:highlight w:val="none"/>
          <w:lang w:val="zh-CN"/>
        </w:rPr>
      </w:pPr>
      <w:r>
        <w:rPr>
          <w:color w:val="auto"/>
          <w:sz w:val="24"/>
          <w:highlight w:val="none"/>
          <w:lang w:val="zh-CN"/>
        </w:rPr>
        <w:t>3、法定代表人授权委托书原件，磋商代表本人身份证复印件（</w:t>
      </w:r>
      <w:r>
        <w:rPr>
          <w:rFonts w:hint="eastAsia"/>
          <w:color w:val="auto"/>
          <w:sz w:val="24"/>
          <w:highlight w:val="none"/>
          <w:lang w:val="en-US" w:eastAsia="zh-CN"/>
        </w:rPr>
        <w:t>如有授权</w:t>
      </w:r>
      <w:r>
        <w:rPr>
          <w:color w:val="auto"/>
          <w:sz w:val="24"/>
          <w:highlight w:val="none"/>
          <w:lang w:val="zh-CN"/>
        </w:rPr>
        <w:t>）；</w:t>
      </w:r>
    </w:p>
    <w:p w14:paraId="4852BC86">
      <w:pPr>
        <w:snapToGrid w:val="0"/>
        <w:spacing w:line="480" w:lineRule="exact"/>
        <w:ind w:firstLine="480" w:firstLineChars="200"/>
        <w:rPr>
          <w:color w:val="auto"/>
          <w:sz w:val="24"/>
          <w:highlight w:val="none"/>
        </w:rPr>
      </w:pPr>
      <w:r>
        <w:rPr>
          <w:color w:val="auto"/>
          <w:sz w:val="24"/>
          <w:highlight w:val="none"/>
        </w:rPr>
        <w:t>4、</w:t>
      </w:r>
      <w:r>
        <w:rPr>
          <w:rFonts w:hint="eastAsia"/>
          <w:color w:val="auto"/>
          <w:sz w:val="24"/>
          <w:highlight w:val="none"/>
          <w:lang w:val="en-US" w:eastAsia="zh-CN"/>
        </w:rPr>
        <w:t>供应商</w:t>
      </w:r>
      <w:r>
        <w:rPr>
          <w:rFonts w:hint="eastAsia"/>
          <w:color w:val="auto"/>
          <w:sz w:val="24"/>
          <w:highlight w:val="none"/>
        </w:rPr>
        <w:t>信用承诺书；</w:t>
      </w:r>
    </w:p>
    <w:p w14:paraId="5BEC4981">
      <w:pPr>
        <w:tabs>
          <w:tab w:val="left" w:pos="3375"/>
        </w:tabs>
        <w:autoSpaceDE w:val="0"/>
        <w:autoSpaceDN w:val="0"/>
        <w:adjustRightInd w:val="0"/>
        <w:snapToGrid w:val="0"/>
        <w:spacing w:line="480" w:lineRule="exact"/>
        <w:ind w:left="1" w:firstLine="480" w:firstLineChars="200"/>
        <w:rPr>
          <w:color w:val="auto"/>
          <w:sz w:val="24"/>
          <w:highlight w:val="none"/>
        </w:rPr>
      </w:pPr>
      <w:r>
        <w:rPr>
          <w:rFonts w:hint="eastAsia"/>
          <w:color w:val="auto"/>
          <w:sz w:val="24"/>
          <w:highlight w:val="none"/>
        </w:rPr>
        <w:t>5、</w:t>
      </w:r>
      <w:r>
        <w:rPr>
          <w:color w:val="auto"/>
          <w:sz w:val="24"/>
          <w:highlight w:val="none"/>
        </w:rPr>
        <w:t>竞争性磋商公告资格要求提供相应的佐证材料</w:t>
      </w:r>
      <w:r>
        <w:rPr>
          <w:color w:val="auto"/>
          <w:sz w:val="24"/>
          <w:highlight w:val="none"/>
          <w:lang w:val="zh-CN"/>
        </w:rPr>
        <w:t>；</w:t>
      </w:r>
    </w:p>
    <w:p w14:paraId="17EF50AA">
      <w:pPr>
        <w:tabs>
          <w:tab w:val="left" w:pos="3375"/>
        </w:tabs>
        <w:autoSpaceDE w:val="0"/>
        <w:autoSpaceDN w:val="0"/>
        <w:adjustRightInd w:val="0"/>
        <w:snapToGrid w:val="0"/>
        <w:spacing w:line="480" w:lineRule="exact"/>
        <w:ind w:left="1" w:firstLine="480" w:firstLineChars="200"/>
        <w:rPr>
          <w:color w:val="auto"/>
          <w:sz w:val="24"/>
          <w:highlight w:val="none"/>
        </w:rPr>
      </w:pPr>
      <w:r>
        <w:rPr>
          <w:rFonts w:hint="eastAsia"/>
          <w:color w:val="auto"/>
          <w:sz w:val="24"/>
          <w:highlight w:val="none"/>
          <w:lang w:val="en-US" w:eastAsia="zh-CN"/>
        </w:rPr>
        <w:t>6</w:t>
      </w:r>
      <w:r>
        <w:rPr>
          <w:b/>
          <w:color w:val="auto"/>
          <w:sz w:val="24"/>
          <w:highlight w:val="none"/>
        </w:rPr>
        <w:t>、</w:t>
      </w:r>
      <w:r>
        <w:rPr>
          <w:rFonts w:hint="eastAsia"/>
          <w:b w:val="0"/>
          <w:bCs/>
          <w:color w:val="auto"/>
          <w:sz w:val="24"/>
          <w:highlight w:val="none"/>
          <w:lang w:eastAsia="zh-CN"/>
        </w:rPr>
        <w:t>其他需要</w:t>
      </w:r>
      <w:r>
        <w:rPr>
          <w:b w:val="0"/>
          <w:bCs/>
          <w:color w:val="auto"/>
          <w:sz w:val="24"/>
          <w:highlight w:val="none"/>
        </w:rPr>
        <w:t>提交</w:t>
      </w:r>
      <w:r>
        <w:rPr>
          <w:color w:val="auto"/>
          <w:sz w:val="24"/>
          <w:highlight w:val="none"/>
        </w:rPr>
        <w:t>的资格审查证明材料。</w:t>
      </w:r>
    </w:p>
    <w:p w14:paraId="287133CA">
      <w:pPr>
        <w:tabs>
          <w:tab w:val="left" w:pos="3375"/>
        </w:tabs>
        <w:autoSpaceDE w:val="0"/>
        <w:autoSpaceDN w:val="0"/>
        <w:adjustRightInd w:val="0"/>
        <w:snapToGrid w:val="0"/>
        <w:spacing w:line="480" w:lineRule="exact"/>
        <w:ind w:left="1" w:firstLine="480" w:firstLineChars="200"/>
        <w:rPr>
          <w:rFonts w:hint="eastAsia"/>
          <w:color w:val="auto"/>
          <w:sz w:val="24"/>
          <w:highlight w:val="none"/>
        </w:rPr>
      </w:pPr>
      <w:r>
        <w:rPr>
          <w:rFonts w:hint="eastAsia"/>
          <w:color w:val="auto"/>
          <w:sz w:val="24"/>
          <w:highlight w:val="none"/>
          <w:lang w:val="en-US" w:eastAsia="zh-CN"/>
        </w:rPr>
        <w:t>7</w:t>
      </w:r>
      <w:r>
        <w:rPr>
          <w:rFonts w:hint="eastAsia"/>
          <w:color w:val="auto"/>
          <w:sz w:val="24"/>
          <w:highlight w:val="none"/>
        </w:rPr>
        <w:t>、</w:t>
      </w:r>
      <w:r>
        <w:rPr>
          <w:rFonts w:hint="eastAsia"/>
          <w:color w:val="auto"/>
          <w:sz w:val="24"/>
          <w:highlight w:val="none"/>
          <w:lang w:val="en-US" w:eastAsia="zh-CN"/>
        </w:rPr>
        <w:t>供应商</w:t>
      </w:r>
      <w:r>
        <w:rPr>
          <w:rFonts w:hint="eastAsia"/>
          <w:color w:val="auto"/>
          <w:sz w:val="24"/>
          <w:highlight w:val="none"/>
        </w:rPr>
        <w:t>有效的营业执照复印件。</w:t>
      </w:r>
    </w:p>
    <w:p w14:paraId="74374424">
      <w:pPr>
        <w:pStyle w:val="16"/>
        <w:snapToGrid w:val="0"/>
        <w:spacing w:line="480" w:lineRule="exact"/>
        <w:ind w:firstLine="482" w:firstLineChars="200"/>
        <w:rPr>
          <w:rFonts w:ascii="Times New Roman" w:hAnsi="Times New Roman" w:eastAsia="宋体"/>
          <w:b/>
          <w:bCs/>
          <w:color w:val="auto"/>
          <w:kern w:val="0"/>
          <w:sz w:val="24"/>
          <w:szCs w:val="24"/>
          <w:highlight w:val="none"/>
          <w:lang w:val="zh-CN"/>
        </w:rPr>
      </w:pPr>
      <w:r>
        <w:rPr>
          <w:rFonts w:ascii="Times New Roman" w:hAnsi="Times New Roman" w:eastAsia="宋体"/>
          <w:b/>
          <w:color w:val="auto"/>
          <w:sz w:val="24"/>
          <w:szCs w:val="24"/>
          <w:highlight w:val="none"/>
        </w:rPr>
        <w:t>二、商务技术文件</w:t>
      </w:r>
      <w:r>
        <w:rPr>
          <w:rFonts w:ascii="Times New Roman" w:hAnsi="Times New Roman" w:eastAsia="宋体"/>
          <w:b/>
          <w:bCs/>
          <w:color w:val="auto"/>
          <w:kern w:val="0"/>
          <w:sz w:val="24"/>
          <w:szCs w:val="24"/>
          <w:highlight w:val="none"/>
          <w:lang w:val="zh-CN"/>
        </w:rPr>
        <w:t>（</w:t>
      </w:r>
      <w:r>
        <w:rPr>
          <w:rFonts w:hint="eastAsia" w:ascii="Times New Roman" w:hAnsi="Times New Roman" w:eastAsia="宋体"/>
          <w:b/>
          <w:bCs/>
          <w:color w:val="auto"/>
          <w:kern w:val="0"/>
          <w:sz w:val="24"/>
          <w:szCs w:val="24"/>
          <w:highlight w:val="none"/>
          <w:lang w:val="en-US" w:eastAsia="zh-CN"/>
        </w:rPr>
        <w:t>单独密封，</w:t>
      </w:r>
      <w:r>
        <w:rPr>
          <w:rFonts w:ascii="Times New Roman" w:hAnsi="Times New Roman" w:eastAsia="宋体"/>
          <w:b/>
          <w:bCs/>
          <w:color w:val="auto"/>
          <w:kern w:val="0"/>
          <w:sz w:val="24"/>
          <w:szCs w:val="24"/>
          <w:highlight w:val="none"/>
          <w:lang w:val="zh-CN"/>
        </w:rPr>
        <w:t>不能出现报价）</w:t>
      </w:r>
    </w:p>
    <w:p w14:paraId="5DD11725">
      <w:pPr>
        <w:pStyle w:val="16"/>
        <w:snapToGrid w:val="0"/>
        <w:spacing w:line="480" w:lineRule="exact"/>
        <w:ind w:firstLine="480" w:firstLineChars="200"/>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1、</w:t>
      </w:r>
      <w:r>
        <w:rPr>
          <w:rFonts w:hint="eastAsia" w:ascii="宋体" w:eastAsia="宋体" w:cs="宋体"/>
          <w:b/>
          <w:bCs/>
          <w:color w:val="auto"/>
          <w:sz w:val="24"/>
          <w:highlight w:val="none"/>
        </w:rPr>
        <w:t>竞争性磋商响应函</w:t>
      </w:r>
      <w:r>
        <w:rPr>
          <w:rFonts w:hint="eastAsia" w:ascii="宋体" w:eastAsia="宋体"/>
          <w:color w:val="auto"/>
          <w:kern w:val="0"/>
          <w:sz w:val="24"/>
          <w:highlight w:val="none"/>
          <w:lang w:val="zh-CN"/>
        </w:rPr>
        <w:t>；</w:t>
      </w:r>
    </w:p>
    <w:p w14:paraId="3E807071">
      <w:pPr>
        <w:snapToGrid w:val="0"/>
        <w:spacing w:line="480" w:lineRule="exact"/>
        <w:ind w:firstLine="480" w:firstLineChars="200"/>
        <w:contextualSpacing/>
        <w:rPr>
          <w:color w:val="auto"/>
          <w:kern w:val="0"/>
          <w:sz w:val="24"/>
          <w:highlight w:val="none"/>
          <w:lang w:val="zh-CN"/>
        </w:rPr>
      </w:pPr>
      <w:r>
        <w:rPr>
          <w:color w:val="auto"/>
          <w:kern w:val="0"/>
          <w:sz w:val="24"/>
          <w:highlight w:val="none"/>
          <w:lang w:val="zh-CN"/>
        </w:rPr>
        <w:t>2、</w:t>
      </w:r>
      <w:r>
        <w:rPr>
          <w:b/>
          <w:color w:val="auto"/>
          <w:sz w:val="24"/>
          <w:highlight w:val="none"/>
        </w:rPr>
        <w:t>技术部分正负偏离表</w:t>
      </w:r>
      <w:r>
        <w:rPr>
          <w:rFonts w:hint="eastAsia"/>
          <w:color w:val="auto"/>
          <w:kern w:val="0"/>
          <w:sz w:val="24"/>
          <w:highlight w:val="none"/>
          <w:lang w:val="zh-CN"/>
        </w:rPr>
        <w:t>；</w:t>
      </w:r>
    </w:p>
    <w:p w14:paraId="3386AF15">
      <w:pPr>
        <w:snapToGrid w:val="0"/>
        <w:spacing w:line="480" w:lineRule="exact"/>
        <w:ind w:firstLine="480" w:firstLineChars="200"/>
        <w:contextualSpacing/>
        <w:rPr>
          <w:color w:val="auto"/>
          <w:kern w:val="0"/>
          <w:sz w:val="24"/>
          <w:highlight w:val="none"/>
          <w:lang w:val="zh-CN"/>
        </w:rPr>
      </w:pPr>
      <w:r>
        <w:rPr>
          <w:color w:val="auto"/>
          <w:kern w:val="0"/>
          <w:sz w:val="24"/>
          <w:highlight w:val="none"/>
          <w:lang w:val="zh-CN"/>
        </w:rPr>
        <w:t>3、</w:t>
      </w:r>
      <w:r>
        <w:rPr>
          <w:b/>
          <w:bCs/>
          <w:color w:val="auto"/>
          <w:sz w:val="24"/>
          <w:highlight w:val="none"/>
        </w:rPr>
        <w:t>商务部分正负偏离表</w:t>
      </w:r>
      <w:r>
        <w:rPr>
          <w:rFonts w:hint="eastAsia"/>
          <w:color w:val="auto"/>
          <w:kern w:val="0"/>
          <w:sz w:val="24"/>
          <w:highlight w:val="none"/>
          <w:lang w:val="zh-CN"/>
        </w:rPr>
        <w:t>；</w:t>
      </w:r>
    </w:p>
    <w:p w14:paraId="70BA18A9">
      <w:pPr>
        <w:snapToGrid w:val="0"/>
        <w:spacing w:line="480" w:lineRule="exact"/>
        <w:ind w:firstLine="480" w:firstLineChars="200"/>
        <w:contextualSpacing/>
        <w:rPr>
          <w:color w:val="auto"/>
          <w:kern w:val="0"/>
          <w:sz w:val="24"/>
          <w:highlight w:val="none"/>
          <w:lang w:val="zh-CN"/>
        </w:rPr>
      </w:pPr>
      <w:r>
        <w:rPr>
          <w:color w:val="auto"/>
          <w:kern w:val="0"/>
          <w:sz w:val="24"/>
          <w:highlight w:val="none"/>
          <w:lang w:val="zh-CN"/>
        </w:rPr>
        <w:t>4、供应商一般情况表</w:t>
      </w:r>
      <w:r>
        <w:rPr>
          <w:rFonts w:hint="eastAsia"/>
          <w:color w:val="auto"/>
          <w:kern w:val="0"/>
          <w:sz w:val="24"/>
          <w:highlight w:val="none"/>
          <w:lang w:val="zh-CN"/>
        </w:rPr>
        <w:t>；</w:t>
      </w:r>
    </w:p>
    <w:p w14:paraId="577F750B">
      <w:pPr>
        <w:snapToGrid w:val="0"/>
        <w:spacing w:line="480" w:lineRule="exact"/>
        <w:ind w:firstLine="480" w:firstLineChars="200"/>
        <w:contextualSpacing/>
        <w:rPr>
          <w:rFonts w:hint="eastAsia"/>
          <w:color w:val="auto"/>
          <w:kern w:val="0"/>
          <w:sz w:val="24"/>
          <w:highlight w:val="none"/>
          <w:lang w:val="zh-CN"/>
        </w:rPr>
      </w:pPr>
      <w:r>
        <w:rPr>
          <w:rFonts w:hint="eastAsia"/>
          <w:color w:val="auto"/>
          <w:kern w:val="0"/>
          <w:sz w:val="24"/>
          <w:highlight w:val="none"/>
          <w:lang w:val="en-US" w:eastAsia="zh-CN"/>
        </w:rPr>
        <w:t>5、</w:t>
      </w:r>
      <w:r>
        <w:rPr>
          <w:rFonts w:hint="eastAsia"/>
          <w:color w:val="auto"/>
          <w:kern w:val="0"/>
          <w:sz w:val="24"/>
          <w:highlight w:val="none"/>
          <w:lang w:val="zh-CN"/>
        </w:rPr>
        <w:t>评审标准</w:t>
      </w:r>
      <w:r>
        <w:rPr>
          <w:rFonts w:hint="eastAsia"/>
          <w:color w:val="auto"/>
          <w:kern w:val="0"/>
          <w:sz w:val="24"/>
          <w:highlight w:val="none"/>
          <w:lang w:val="en-US" w:eastAsia="zh-CN"/>
        </w:rPr>
        <w:t>商务技术</w:t>
      </w:r>
      <w:r>
        <w:rPr>
          <w:rFonts w:hint="eastAsia"/>
          <w:color w:val="auto"/>
          <w:kern w:val="0"/>
          <w:sz w:val="24"/>
          <w:highlight w:val="none"/>
          <w:lang w:val="zh-CN"/>
        </w:rPr>
        <w:t>分中所涉及的事项需提供的所有资料；</w:t>
      </w:r>
    </w:p>
    <w:p w14:paraId="77E49C78">
      <w:pPr>
        <w:snapToGrid w:val="0"/>
        <w:spacing w:line="480" w:lineRule="exact"/>
        <w:ind w:firstLine="480" w:firstLineChars="200"/>
        <w:contextualSpacing/>
        <w:rPr>
          <w:color w:val="auto"/>
          <w:sz w:val="24"/>
          <w:highlight w:val="none"/>
        </w:rPr>
      </w:pPr>
      <w:r>
        <w:rPr>
          <w:rFonts w:hint="eastAsia"/>
          <w:color w:val="auto"/>
          <w:kern w:val="0"/>
          <w:sz w:val="24"/>
          <w:highlight w:val="none"/>
          <w:lang w:val="en-US" w:eastAsia="zh-CN"/>
        </w:rPr>
        <w:t>6</w:t>
      </w:r>
      <w:r>
        <w:rPr>
          <w:color w:val="auto"/>
          <w:kern w:val="0"/>
          <w:sz w:val="24"/>
          <w:highlight w:val="none"/>
          <w:lang w:val="zh-CN"/>
        </w:rPr>
        <w:t>、</w:t>
      </w:r>
      <w:r>
        <w:rPr>
          <w:color w:val="auto"/>
          <w:sz w:val="24"/>
          <w:highlight w:val="none"/>
        </w:rPr>
        <w:t>为方便评委评审，请供应商按评审办法中所涉及的事项顺序进行编制，可以补充相关材料</w:t>
      </w:r>
      <w:r>
        <w:rPr>
          <w:rFonts w:hint="eastAsia"/>
          <w:color w:val="auto"/>
          <w:sz w:val="24"/>
          <w:highlight w:val="none"/>
        </w:rPr>
        <w:t>；</w:t>
      </w:r>
    </w:p>
    <w:p w14:paraId="61928E66">
      <w:pPr>
        <w:pStyle w:val="16"/>
        <w:snapToGrid w:val="0"/>
        <w:spacing w:line="480" w:lineRule="exact"/>
        <w:ind w:firstLine="480" w:firstLineChars="200"/>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lang w:val="en-US" w:eastAsia="zh-CN"/>
        </w:rPr>
        <w:t>7</w:t>
      </w:r>
      <w:r>
        <w:rPr>
          <w:rFonts w:ascii="Times New Roman" w:hAnsi="Times New Roman" w:eastAsia="宋体"/>
          <w:color w:val="auto"/>
          <w:sz w:val="24"/>
          <w:szCs w:val="24"/>
          <w:highlight w:val="none"/>
        </w:rPr>
        <w:t>、评审办法中未涉及的事项，供应商认为需要提交的其他资料。</w:t>
      </w:r>
    </w:p>
    <w:p w14:paraId="50C4E976">
      <w:pPr>
        <w:pStyle w:val="16"/>
        <w:snapToGrid w:val="0"/>
        <w:spacing w:line="48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zh-CN"/>
        </w:rPr>
        <w:t>供应商应认真阅读仔细研究</w:t>
      </w:r>
      <w:r>
        <w:rPr>
          <w:rFonts w:hint="eastAsia" w:ascii="Times New Roman" w:hAnsi="Times New Roman" w:eastAsia="宋体" w:cs="Times New Roman"/>
          <w:color w:val="auto"/>
          <w:sz w:val="24"/>
          <w:szCs w:val="24"/>
          <w:highlight w:val="none"/>
          <w:lang w:val="en-US" w:eastAsia="zh-CN"/>
        </w:rPr>
        <w:t>采购文件</w:t>
      </w:r>
      <w:r>
        <w:rPr>
          <w:rFonts w:hint="eastAsia" w:ascii="Times New Roman" w:hAnsi="Times New Roman" w:eastAsia="宋体" w:cs="Times New Roman"/>
          <w:color w:val="auto"/>
          <w:sz w:val="24"/>
          <w:szCs w:val="24"/>
          <w:highlight w:val="none"/>
          <w:lang w:val="zh-CN"/>
        </w:rPr>
        <w:t>第三部分项目需求中的内容，在理解的基础上结合本</w:t>
      </w:r>
      <w:r>
        <w:rPr>
          <w:rFonts w:hint="eastAsia" w:ascii="Times New Roman" w:hAnsi="Times New Roman" w:eastAsia="宋体" w:cs="Times New Roman"/>
          <w:color w:val="auto"/>
          <w:sz w:val="24"/>
          <w:szCs w:val="24"/>
          <w:highlight w:val="none"/>
          <w:lang w:val="en-US" w:eastAsia="zh-CN"/>
        </w:rPr>
        <w:t>采购</w:t>
      </w:r>
      <w:r>
        <w:rPr>
          <w:rFonts w:hint="eastAsia" w:ascii="Times New Roman" w:hAnsi="Times New Roman" w:eastAsia="宋体" w:cs="Times New Roman"/>
          <w:color w:val="auto"/>
          <w:sz w:val="24"/>
          <w:szCs w:val="24"/>
          <w:highlight w:val="none"/>
          <w:lang w:val="zh-CN"/>
        </w:rPr>
        <w:t>文件第四部分中的商务技术分评分细则进行技术文件的编写。</w:t>
      </w:r>
    </w:p>
    <w:p w14:paraId="34D67E2D">
      <w:pPr>
        <w:pStyle w:val="16"/>
        <w:snapToGrid w:val="0"/>
        <w:spacing w:line="480" w:lineRule="exact"/>
        <w:ind w:firstLine="482" w:firstLineChars="200"/>
        <w:rPr>
          <w:rFonts w:hint="eastAsia" w:ascii="Times New Roman" w:hAnsi="Times New Roman" w:eastAsia="宋体"/>
          <w:b/>
          <w:color w:val="auto"/>
          <w:sz w:val="24"/>
          <w:szCs w:val="24"/>
          <w:highlight w:val="none"/>
          <w:lang w:eastAsia="zh-CN"/>
        </w:rPr>
      </w:pPr>
      <w:r>
        <w:rPr>
          <w:rFonts w:ascii="Times New Roman" w:hAnsi="Times New Roman" w:eastAsia="宋体"/>
          <w:b/>
          <w:color w:val="auto"/>
          <w:sz w:val="24"/>
          <w:szCs w:val="24"/>
          <w:highlight w:val="none"/>
        </w:rPr>
        <w:t>三、</w:t>
      </w:r>
      <w:r>
        <w:rPr>
          <w:rFonts w:hint="eastAsia" w:ascii="Times New Roman" w:hAnsi="Times New Roman" w:eastAsia="宋体"/>
          <w:b/>
          <w:color w:val="auto"/>
          <w:sz w:val="24"/>
          <w:szCs w:val="24"/>
          <w:highlight w:val="none"/>
        </w:rPr>
        <w:t>报价</w:t>
      </w:r>
      <w:r>
        <w:rPr>
          <w:rFonts w:ascii="Times New Roman" w:hAnsi="Times New Roman" w:eastAsia="宋体"/>
          <w:b/>
          <w:color w:val="auto"/>
          <w:sz w:val="24"/>
          <w:szCs w:val="24"/>
          <w:highlight w:val="none"/>
        </w:rPr>
        <w:t>文件</w:t>
      </w:r>
      <w:r>
        <w:rPr>
          <w:rFonts w:hint="eastAsia" w:ascii="Times New Roman" w:hAnsi="Times New Roman" w:eastAsia="宋体"/>
          <w:b/>
          <w:color w:val="auto"/>
          <w:sz w:val="24"/>
          <w:szCs w:val="24"/>
          <w:highlight w:val="none"/>
          <w:lang w:eastAsia="zh-CN"/>
        </w:rPr>
        <w:t>（</w:t>
      </w:r>
      <w:r>
        <w:rPr>
          <w:rFonts w:hint="eastAsia" w:ascii="Times New Roman" w:hAnsi="Times New Roman" w:eastAsia="宋体"/>
          <w:b/>
          <w:color w:val="auto"/>
          <w:sz w:val="24"/>
          <w:szCs w:val="24"/>
          <w:highlight w:val="none"/>
          <w:lang w:val="en-US" w:eastAsia="zh-CN"/>
        </w:rPr>
        <w:t>单独密封</w:t>
      </w:r>
      <w:r>
        <w:rPr>
          <w:rFonts w:hint="eastAsia" w:ascii="Times New Roman" w:hAnsi="Times New Roman" w:eastAsia="宋体"/>
          <w:b/>
          <w:color w:val="auto"/>
          <w:sz w:val="24"/>
          <w:szCs w:val="24"/>
          <w:highlight w:val="none"/>
          <w:lang w:eastAsia="zh-CN"/>
        </w:rPr>
        <w:t>）</w:t>
      </w:r>
    </w:p>
    <w:p w14:paraId="7CA8732B">
      <w:pPr>
        <w:tabs>
          <w:tab w:val="left" w:pos="3375"/>
        </w:tabs>
        <w:autoSpaceDE w:val="0"/>
        <w:autoSpaceDN w:val="0"/>
        <w:adjustRightInd w:val="0"/>
        <w:snapToGrid w:val="0"/>
        <w:spacing w:line="480" w:lineRule="exact"/>
        <w:ind w:left="1"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1、磋商报价总表；</w:t>
      </w:r>
    </w:p>
    <w:p w14:paraId="7353ED7E">
      <w:pPr>
        <w:tabs>
          <w:tab w:val="left" w:pos="3375"/>
        </w:tabs>
        <w:autoSpaceDE w:val="0"/>
        <w:autoSpaceDN w:val="0"/>
        <w:adjustRightInd w:val="0"/>
        <w:snapToGrid w:val="0"/>
        <w:spacing w:line="480" w:lineRule="exact"/>
        <w:ind w:left="1"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w:t>
      </w:r>
      <w:r>
        <w:rPr>
          <w:rFonts w:hint="eastAsia" w:cs="Times New Roman"/>
          <w:color w:val="auto"/>
          <w:sz w:val="24"/>
          <w:highlight w:val="none"/>
          <w:lang w:val="en-US" w:eastAsia="zh-CN"/>
        </w:rPr>
        <w:t>品牌选用表</w:t>
      </w:r>
      <w:r>
        <w:rPr>
          <w:rFonts w:hint="eastAsia" w:ascii="Times New Roman" w:hAnsi="Times New Roman" w:eastAsia="宋体" w:cs="Times New Roman"/>
          <w:color w:val="auto"/>
          <w:sz w:val="24"/>
          <w:highlight w:val="none"/>
          <w:lang w:val="en-US" w:eastAsia="zh-CN"/>
        </w:rPr>
        <w:t>；</w:t>
      </w:r>
    </w:p>
    <w:p w14:paraId="6421462D">
      <w:pPr>
        <w:spacing w:line="360" w:lineRule="auto"/>
        <w:ind w:firstLine="643" w:firstLineChars="200"/>
        <w:rPr>
          <w:rFonts w:hint="eastAsia" w:ascii="Calibri" w:hAnsi="Calibri" w:eastAsia="宋体"/>
          <w:b/>
          <w:bCs/>
          <w:color w:val="auto"/>
          <w:sz w:val="32"/>
          <w:szCs w:val="32"/>
          <w:highlight w:val="none"/>
          <w:lang w:eastAsia="zh-CN"/>
        </w:rPr>
      </w:pPr>
      <w:r>
        <w:rPr>
          <w:rFonts w:ascii="Calibri" w:hAnsi="Calibri"/>
          <w:b/>
          <w:bCs/>
          <w:color w:val="auto"/>
          <w:sz w:val="32"/>
          <w:szCs w:val="32"/>
          <w:highlight w:val="none"/>
        </w:rPr>
        <w:br w:type="page"/>
      </w:r>
      <w:r>
        <w:rPr>
          <w:rFonts w:hint="eastAsia" w:ascii="Calibri" w:hAnsi="Calibri"/>
          <w:b/>
          <w:bCs/>
          <w:color w:val="auto"/>
          <w:sz w:val="32"/>
          <w:szCs w:val="32"/>
          <w:highlight w:val="none"/>
        </w:rPr>
        <w:t>附件：</w:t>
      </w:r>
    </w:p>
    <w:p w14:paraId="322C147E">
      <w:pPr>
        <w:pStyle w:val="4"/>
        <w:rPr>
          <w:rFonts w:hint="eastAsia"/>
          <w:color w:val="auto"/>
          <w:highlight w:val="none"/>
          <w:lang w:eastAsia="zh-CN"/>
        </w:rPr>
      </w:pPr>
    </w:p>
    <w:p w14:paraId="3F1F4D04">
      <w:pPr>
        <w:spacing w:line="360" w:lineRule="auto"/>
        <w:ind w:firstLine="480" w:firstLineChars="200"/>
        <w:rPr>
          <w:rFonts w:ascii="宋体" w:hAnsi="宋体" w:cs="宋体"/>
          <w:color w:val="auto"/>
          <w:sz w:val="24"/>
          <w:highlight w:val="none"/>
        </w:rPr>
      </w:pPr>
    </w:p>
    <w:p w14:paraId="520177B8">
      <w:pPr>
        <w:spacing w:line="360" w:lineRule="auto"/>
        <w:ind w:firstLine="480" w:firstLineChars="200"/>
        <w:rPr>
          <w:rFonts w:ascii="宋体" w:hAnsi="宋体" w:cs="宋体"/>
          <w:color w:val="auto"/>
          <w:sz w:val="24"/>
          <w:highlight w:val="none"/>
        </w:rPr>
      </w:pPr>
    </w:p>
    <w:p w14:paraId="5B2FC9F5">
      <w:pPr>
        <w:spacing w:line="360" w:lineRule="auto"/>
        <w:jc w:val="center"/>
        <w:rPr>
          <w:rFonts w:ascii="宋体" w:hAnsi="宋体" w:cs="宋体"/>
          <w:b/>
          <w:color w:val="auto"/>
          <w:sz w:val="24"/>
          <w:highlight w:val="none"/>
          <w:u w:val="single"/>
        </w:rPr>
      </w:pPr>
      <w:r>
        <w:rPr>
          <w:rFonts w:hint="eastAsia" w:ascii="宋体" w:hAnsi="宋体" w:cs="宋体"/>
          <w:b/>
          <w:color w:val="auto"/>
          <w:sz w:val="24"/>
          <w:highlight w:val="none"/>
          <w:u w:val="single"/>
        </w:rPr>
        <w:t xml:space="preserve">项目名称 </w:t>
      </w:r>
    </w:p>
    <w:p w14:paraId="1570A31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项目编号：</w:t>
      </w:r>
    </w:p>
    <w:p w14:paraId="49A409F8">
      <w:pPr>
        <w:spacing w:line="360" w:lineRule="auto"/>
        <w:ind w:firstLine="2400" w:firstLineChars="1000"/>
        <w:rPr>
          <w:rFonts w:ascii="宋体" w:hAnsi="宋体" w:cs="宋体"/>
          <w:color w:val="auto"/>
          <w:sz w:val="24"/>
          <w:highlight w:val="none"/>
        </w:rPr>
      </w:pPr>
    </w:p>
    <w:p w14:paraId="53E19822">
      <w:pPr>
        <w:spacing w:line="360" w:lineRule="auto"/>
        <w:rPr>
          <w:rFonts w:ascii="宋体" w:hAnsi="宋体" w:cs="宋体"/>
          <w:color w:val="auto"/>
          <w:sz w:val="24"/>
          <w:highlight w:val="none"/>
        </w:rPr>
      </w:pPr>
    </w:p>
    <w:p w14:paraId="590786FC">
      <w:pPr>
        <w:spacing w:line="360" w:lineRule="auto"/>
        <w:rPr>
          <w:rFonts w:ascii="宋体" w:hAnsi="宋体" w:cs="宋体"/>
          <w:color w:val="auto"/>
          <w:sz w:val="24"/>
          <w:highlight w:val="none"/>
        </w:rPr>
      </w:pPr>
    </w:p>
    <w:p w14:paraId="15272091">
      <w:pPr>
        <w:spacing w:line="360" w:lineRule="auto"/>
        <w:rPr>
          <w:rFonts w:ascii="宋体" w:hAnsi="宋体" w:cs="宋体"/>
          <w:color w:val="auto"/>
          <w:sz w:val="24"/>
          <w:highlight w:val="none"/>
        </w:rPr>
      </w:pPr>
    </w:p>
    <w:p w14:paraId="3F7950BC">
      <w:pPr>
        <w:spacing w:line="360" w:lineRule="auto"/>
        <w:rPr>
          <w:rFonts w:ascii="宋体" w:hAnsi="宋体" w:cs="宋体"/>
          <w:color w:val="auto"/>
          <w:sz w:val="24"/>
          <w:highlight w:val="none"/>
        </w:rPr>
      </w:pPr>
    </w:p>
    <w:p w14:paraId="73A219E8">
      <w:pPr>
        <w:spacing w:line="360" w:lineRule="auto"/>
        <w:rPr>
          <w:rFonts w:ascii="宋体" w:hAnsi="宋体" w:cs="宋体"/>
          <w:color w:val="auto"/>
          <w:sz w:val="24"/>
          <w:highlight w:val="none"/>
        </w:rPr>
      </w:pPr>
    </w:p>
    <w:p w14:paraId="73996BEF">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磋商响应文件</w:t>
      </w:r>
    </w:p>
    <w:p w14:paraId="240F0C02">
      <w:pPr>
        <w:spacing w:line="360" w:lineRule="auto"/>
        <w:rPr>
          <w:rFonts w:ascii="宋体" w:hAnsi="宋体" w:cs="宋体"/>
          <w:color w:val="auto"/>
          <w:sz w:val="24"/>
          <w:highlight w:val="none"/>
        </w:rPr>
      </w:pPr>
    </w:p>
    <w:p w14:paraId="39396E25">
      <w:pPr>
        <w:spacing w:line="360" w:lineRule="auto"/>
        <w:ind w:firstLine="2400" w:firstLineChars="1000"/>
        <w:rPr>
          <w:rFonts w:ascii="宋体" w:hAnsi="宋体" w:cs="宋体"/>
          <w:color w:val="auto"/>
          <w:sz w:val="24"/>
          <w:highlight w:val="none"/>
        </w:rPr>
      </w:pPr>
      <w:r>
        <w:rPr>
          <w:rFonts w:hint="eastAsia" w:ascii="宋体" w:hAnsi="宋体" w:cs="宋体"/>
          <w:color w:val="auto"/>
          <w:sz w:val="24"/>
          <w:highlight w:val="none"/>
        </w:rPr>
        <w:t>对应</w:t>
      </w:r>
      <w:r>
        <w:rPr>
          <w:rFonts w:hint="eastAsia" w:ascii="宋体" w:hAnsi="宋体" w:cs="宋体"/>
          <w:bCs/>
          <w:color w:val="auto"/>
          <w:sz w:val="24"/>
          <w:highlight w:val="none"/>
        </w:rPr>
        <w:t>磋商响应文件</w:t>
      </w:r>
      <w:r>
        <w:rPr>
          <w:rFonts w:hint="eastAsia" w:ascii="宋体" w:hAnsi="宋体" w:cs="宋体"/>
          <w:color w:val="auto"/>
          <w:sz w:val="24"/>
          <w:highlight w:val="none"/>
        </w:rPr>
        <w:t>填写：资格审查文件</w:t>
      </w:r>
    </w:p>
    <w:p w14:paraId="1C69C476">
      <w:pPr>
        <w:spacing w:line="360" w:lineRule="auto"/>
        <w:jc w:val="center"/>
        <w:rPr>
          <w:rFonts w:ascii="宋体" w:hAnsi="宋体" w:cs="宋体"/>
          <w:bCs/>
          <w:color w:val="auto"/>
          <w:sz w:val="24"/>
          <w:highlight w:val="none"/>
        </w:rPr>
      </w:pPr>
      <w:r>
        <w:rPr>
          <w:rFonts w:hint="eastAsia" w:ascii="宋体" w:hAnsi="宋体" w:cs="宋体"/>
          <w:color w:val="auto"/>
          <w:sz w:val="24"/>
          <w:highlight w:val="none"/>
        </w:rPr>
        <w:t xml:space="preserve"> 对应</w:t>
      </w:r>
      <w:r>
        <w:rPr>
          <w:rFonts w:hint="eastAsia" w:ascii="宋体" w:hAnsi="宋体" w:cs="宋体"/>
          <w:bCs/>
          <w:color w:val="auto"/>
          <w:sz w:val="24"/>
          <w:highlight w:val="none"/>
        </w:rPr>
        <w:t>磋商响应文件</w:t>
      </w:r>
      <w:r>
        <w:rPr>
          <w:rFonts w:hint="eastAsia" w:ascii="宋体" w:hAnsi="宋体" w:cs="宋体"/>
          <w:color w:val="auto"/>
          <w:sz w:val="24"/>
          <w:highlight w:val="none"/>
        </w:rPr>
        <w:t>填写：商务技术文件</w:t>
      </w:r>
    </w:p>
    <w:p w14:paraId="31B09483">
      <w:pPr>
        <w:spacing w:line="360" w:lineRule="auto"/>
        <w:ind w:firstLine="2400" w:firstLineChars="1000"/>
        <w:rPr>
          <w:rFonts w:hint="eastAsia" w:ascii="宋体" w:hAnsi="宋体" w:cs="宋体"/>
          <w:color w:val="auto"/>
          <w:sz w:val="24"/>
          <w:highlight w:val="none"/>
        </w:rPr>
      </w:pPr>
      <w:r>
        <w:rPr>
          <w:rFonts w:hint="eastAsia" w:ascii="宋体" w:hAnsi="宋体" w:cs="宋体"/>
          <w:color w:val="auto"/>
          <w:sz w:val="24"/>
          <w:highlight w:val="none"/>
        </w:rPr>
        <w:t>对应</w:t>
      </w:r>
      <w:r>
        <w:rPr>
          <w:rFonts w:hint="eastAsia" w:ascii="宋体" w:hAnsi="宋体" w:cs="宋体"/>
          <w:bCs/>
          <w:color w:val="auto"/>
          <w:sz w:val="24"/>
          <w:highlight w:val="none"/>
        </w:rPr>
        <w:t>磋商响应文件</w:t>
      </w:r>
      <w:r>
        <w:rPr>
          <w:rFonts w:hint="eastAsia" w:ascii="宋体" w:hAnsi="宋体" w:cs="宋体"/>
          <w:color w:val="auto"/>
          <w:sz w:val="24"/>
          <w:highlight w:val="none"/>
        </w:rPr>
        <w:t>填写：报价文件</w:t>
      </w:r>
    </w:p>
    <w:p w14:paraId="01494279">
      <w:pPr>
        <w:spacing w:line="360" w:lineRule="auto"/>
        <w:ind w:firstLine="2400" w:firstLineChars="1000"/>
        <w:rPr>
          <w:rFonts w:hint="eastAsia" w:ascii="宋体" w:hAnsi="宋体" w:cs="宋体"/>
          <w:color w:val="auto"/>
          <w:sz w:val="24"/>
          <w:highlight w:val="none"/>
        </w:rPr>
      </w:pPr>
    </w:p>
    <w:p w14:paraId="58DF6960">
      <w:pPr>
        <w:jc w:val="center"/>
        <w:rPr>
          <w:rFonts w:ascii="宋体" w:hAnsi="宋体" w:cs="宋体"/>
          <w:b/>
          <w:color w:val="auto"/>
          <w:sz w:val="24"/>
          <w:highlight w:val="none"/>
        </w:rPr>
      </w:pPr>
      <w:r>
        <w:rPr>
          <w:rFonts w:hint="eastAsia" w:ascii="宋体" w:hAnsi="宋体" w:cs="宋体"/>
          <w:b/>
          <w:color w:val="auto"/>
          <w:sz w:val="24"/>
          <w:highlight w:val="none"/>
        </w:rPr>
        <w:t>（资格后审）</w:t>
      </w:r>
    </w:p>
    <w:p w14:paraId="64764C42">
      <w:pPr>
        <w:jc w:val="center"/>
        <w:rPr>
          <w:rFonts w:ascii="宋体" w:hAnsi="宋体" w:cs="宋体"/>
          <w:b/>
          <w:color w:val="auto"/>
          <w:sz w:val="24"/>
          <w:highlight w:val="none"/>
        </w:rPr>
      </w:pPr>
    </w:p>
    <w:p w14:paraId="05F104F2">
      <w:pPr>
        <w:snapToGrid w:val="0"/>
        <w:spacing w:line="520" w:lineRule="exact"/>
        <w:jc w:val="center"/>
        <w:rPr>
          <w:rFonts w:ascii="宋体" w:hAnsi="宋体" w:cs="宋体"/>
          <w:b/>
          <w:color w:val="auto"/>
          <w:sz w:val="24"/>
          <w:highlight w:val="none"/>
        </w:rPr>
      </w:pPr>
    </w:p>
    <w:p w14:paraId="53F48C9F">
      <w:pPr>
        <w:spacing w:line="360" w:lineRule="auto"/>
        <w:rPr>
          <w:rFonts w:ascii="宋体" w:hAnsi="宋体" w:cs="宋体"/>
          <w:color w:val="auto"/>
          <w:sz w:val="24"/>
          <w:highlight w:val="none"/>
        </w:rPr>
      </w:pPr>
    </w:p>
    <w:p w14:paraId="6F3E1183">
      <w:pPr>
        <w:spacing w:line="360" w:lineRule="auto"/>
        <w:rPr>
          <w:rFonts w:ascii="宋体" w:hAnsi="宋体" w:cs="宋体"/>
          <w:color w:val="auto"/>
          <w:sz w:val="24"/>
          <w:highlight w:val="none"/>
        </w:rPr>
      </w:pPr>
    </w:p>
    <w:p w14:paraId="59193E4B">
      <w:pPr>
        <w:spacing w:line="360" w:lineRule="auto"/>
        <w:rPr>
          <w:rFonts w:ascii="宋体" w:hAnsi="宋体" w:cs="宋体"/>
          <w:color w:val="auto"/>
          <w:sz w:val="24"/>
          <w:highlight w:val="none"/>
        </w:rPr>
      </w:pPr>
    </w:p>
    <w:p w14:paraId="11A9A5E6">
      <w:pPr>
        <w:spacing w:line="360" w:lineRule="auto"/>
        <w:rPr>
          <w:rFonts w:ascii="宋体" w:hAnsi="宋体" w:cs="宋体"/>
          <w:color w:val="auto"/>
          <w:sz w:val="24"/>
          <w:highlight w:val="none"/>
        </w:rPr>
      </w:pPr>
    </w:p>
    <w:p w14:paraId="267C938D">
      <w:pPr>
        <w:spacing w:line="360" w:lineRule="auto"/>
        <w:ind w:firstLine="1440" w:firstLineChars="600"/>
        <w:rPr>
          <w:rFonts w:ascii="宋体" w:hAnsi="宋体" w:cs="宋体"/>
          <w:color w:val="auto"/>
          <w:sz w:val="24"/>
          <w:highlight w:val="none"/>
        </w:rPr>
      </w:pPr>
      <w:r>
        <w:rPr>
          <w:rFonts w:hint="eastAsia" w:ascii="宋体" w:hAnsi="宋体" w:cs="宋体"/>
          <w:color w:val="auto"/>
          <w:sz w:val="24"/>
          <w:highlight w:val="none"/>
        </w:rPr>
        <w:t>响应供应商：参加供应商全称（公章）</w:t>
      </w:r>
    </w:p>
    <w:p w14:paraId="4606ADD6">
      <w:pPr>
        <w:spacing w:line="360" w:lineRule="auto"/>
        <w:ind w:firstLine="1440" w:firstLineChars="600"/>
        <w:rPr>
          <w:rFonts w:ascii="宋体" w:hAnsi="宋体" w:cs="宋体"/>
          <w:color w:val="auto"/>
          <w:sz w:val="24"/>
          <w:highlight w:val="none"/>
        </w:rPr>
      </w:pPr>
      <w:r>
        <w:rPr>
          <w:rFonts w:hint="eastAsia" w:ascii="宋体" w:hAnsi="宋体" w:cs="宋体"/>
          <w:color w:val="auto"/>
          <w:sz w:val="24"/>
          <w:highlight w:val="none"/>
        </w:rPr>
        <w:t>日  期：      年  月  日</w:t>
      </w:r>
    </w:p>
    <w:p w14:paraId="3F3633A7">
      <w:pPr>
        <w:jc w:val="left"/>
        <w:rPr>
          <w:rFonts w:ascii="宋体" w:hAnsi="宋体" w:cs="宋体"/>
          <w:b/>
          <w:bCs/>
          <w:color w:val="auto"/>
          <w:sz w:val="24"/>
          <w:highlight w:val="none"/>
        </w:rPr>
      </w:pPr>
      <w:r>
        <w:rPr>
          <w:rFonts w:ascii="宋体" w:hAnsi="宋体" w:cs="宋体"/>
          <w:color w:val="auto"/>
          <w:sz w:val="24"/>
          <w:highlight w:val="none"/>
        </w:rPr>
        <w:br w:type="page"/>
      </w:r>
      <w:r>
        <w:rPr>
          <w:rFonts w:hint="eastAsia" w:ascii="宋体" w:hAnsi="宋体" w:cs="宋体"/>
          <w:b/>
          <w:bCs/>
          <w:color w:val="auto"/>
          <w:sz w:val="24"/>
          <w:highlight w:val="none"/>
        </w:rPr>
        <w:t>一、资格审查文件相关的格式文件及表格</w:t>
      </w:r>
    </w:p>
    <w:p w14:paraId="36BD16D0">
      <w:pPr>
        <w:snapToGrid w:val="0"/>
        <w:spacing w:line="360" w:lineRule="auto"/>
        <w:jc w:val="center"/>
        <w:outlineLvl w:val="4"/>
        <w:rPr>
          <w:rFonts w:ascii="宋体" w:hAnsi="宋体" w:cs="宋体"/>
          <w:b/>
          <w:bCs/>
          <w:color w:val="auto"/>
          <w:sz w:val="24"/>
          <w:highlight w:val="none"/>
        </w:rPr>
      </w:pPr>
    </w:p>
    <w:p w14:paraId="2F6D3428">
      <w:pPr>
        <w:pStyle w:val="17"/>
        <w:spacing w:line="56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1、</w:t>
      </w:r>
      <w:r>
        <w:rPr>
          <w:rFonts w:hint="eastAsia" w:ascii="宋体" w:hAnsi="宋体" w:cs="宋体"/>
          <w:b/>
          <w:bCs/>
          <w:color w:val="auto"/>
          <w:sz w:val="32"/>
          <w:szCs w:val="32"/>
          <w:highlight w:val="none"/>
          <w:lang w:val="en-US" w:eastAsia="zh-CN"/>
        </w:rPr>
        <w:t>供应商</w:t>
      </w:r>
      <w:r>
        <w:rPr>
          <w:rFonts w:hint="eastAsia" w:ascii="宋体" w:hAnsi="宋体" w:cs="宋体"/>
          <w:b/>
          <w:bCs/>
          <w:color w:val="auto"/>
          <w:sz w:val="32"/>
          <w:szCs w:val="32"/>
          <w:highlight w:val="none"/>
        </w:rPr>
        <w:t>声明函</w:t>
      </w:r>
    </w:p>
    <w:p w14:paraId="021F0672">
      <w:pPr>
        <w:spacing w:line="460" w:lineRule="exact"/>
        <w:rPr>
          <w:b/>
          <w:bCs/>
          <w:color w:val="auto"/>
          <w:sz w:val="44"/>
          <w:szCs w:val="44"/>
          <w:highlight w:val="none"/>
        </w:rPr>
      </w:pPr>
      <w:r>
        <w:rPr>
          <w:b/>
          <w:bCs/>
          <w:color w:val="auto"/>
          <w:sz w:val="24"/>
          <w:szCs w:val="21"/>
          <w:highlight w:val="none"/>
        </w:rPr>
        <w:t xml:space="preserve">                       </w:t>
      </w:r>
      <w:r>
        <w:rPr>
          <w:b/>
          <w:bCs/>
          <w:color w:val="auto"/>
          <w:sz w:val="44"/>
          <w:szCs w:val="44"/>
          <w:highlight w:val="none"/>
        </w:rPr>
        <w:t xml:space="preserve">   </w:t>
      </w:r>
    </w:p>
    <w:p w14:paraId="0FD71412">
      <w:pPr>
        <w:spacing w:line="520" w:lineRule="exact"/>
        <w:ind w:firstLine="480" w:firstLineChars="200"/>
        <w:rPr>
          <w:b/>
          <w:bCs/>
          <w:color w:val="auto"/>
          <w:sz w:val="24"/>
          <w:highlight w:val="none"/>
        </w:rPr>
      </w:pPr>
      <w:r>
        <w:rPr>
          <w:bCs/>
          <w:color w:val="auto"/>
          <w:sz w:val="24"/>
          <w:highlight w:val="none"/>
        </w:rPr>
        <w:t>我单位参加</w:t>
      </w:r>
      <w:r>
        <w:rPr>
          <w:bCs/>
          <w:color w:val="auto"/>
          <w:sz w:val="24"/>
          <w:szCs w:val="21"/>
          <w:highlight w:val="none"/>
          <w:u w:val="single"/>
        </w:rPr>
        <w:t xml:space="preserve">            </w:t>
      </w:r>
      <w:r>
        <w:rPr>
          <w:bCs/>
          <w:color w:val="auto"/>
          <w:sz w:val="24"/>
          <w:szCs w:val="21"/>
          <w:highlight w:val="none"/>
        </w:rPr>
        <w:t>（项目名称）</w:t>
      </w:r>
      <w:r>
        <w:rPr>
          <w:rFonts w:hint="eastAsia"/>
          <w:bCs/>
          <w:color w:val="auto"/>
          <w:sz w:val="24"/>
          <w:szCs w:val="21"/>
          <w:highlight w:val="none"/>
          <w:lang w:val="en-US" w:eastAsia="zh-CN"/>
        </w:rPr>
        <w:t>采购</w:t>
      </w:r>
      <w:r>
        <w:rPr>
          <w:bCs/>
          <w:color w:val="auto"/>
          <w:sz w:val="24"/>
          <w:szCs w:val="21"/>
          <w:highlight w:val="none"/>
        </w:rPr>
        <w:t>活动。</w:t>
      </w:r>
      <w:r>
        <w:rPr>
          <w:bCs/>
          <w:color w:val="auto"/>
          <w:sz w:val="24"/>
          <w:highlight w:val="none"/>
        </w:rPr>
        <w:t>我单位</w:t>
      </w:r>
      <w:r>
        <w:rPr>
          <w:bCs/>
          <w:color w:val="auto"/>
          <w:sz w:val="24"/>
          <w:szCs w:val="21"/>
          <w:highlight w:val="none"/>
        </w:rPr>
        <w:t>声明如下：</w:t>
      </w:r>
    </w:p>
    <w:p w14:paraId="12D1E40A">
      <w:pPr>
        <w:numPr>
          <w:ilvl w:val="0"/>
          <w:numId w:val="7"/>
        </w:numPr>
        <w:snapToGrid w:val="0"/>
        <w:spacing w:line="460" w:lineRule="exact"/>
        <w:ind w:firstLine="480" w:firstLineChars="200"/>
        <w:contextualSpacing/>
        <w:rPr>
          <w:color w:val="auto"/>
          <w:kern w:val="0"/>
          <w:sz w:val="24"/>
          <w:highlight w:val="none"/>
          <w:lang w:val="zh-CN"/>
        </w:rPr>
      </w:pPr>
      <w:r>
        <w:rPr>
          <w:color w:val="auto"/>
          <w:kern w:val="0"/>
          <w:sz w:val="24"/>
          <w:highlight w:val="none"/>
          <w:lang w:val="zh-CN"/>
        </w:rPr>
        <w:t>我单位具有独立承担民事责任的能力；</w:t>
      </w:r>
    </w:p>
    <w:p w14:paraId="01F59EF3">
      <w:pPr>
        <w:numPr>
          <w:ilvl w:val="0"/>
          <w:numId w:val="7"/>
        </w:numPr>
        <w:snapToGrid w:val="0"/>
        <w:spacing w:line="460" w:lineRule="exact"/>
        <w:ind w:firstLine="480" w:firstLineChars="200"/>
        <w:contextualSpacing/>
        <w:rPr>
          <w:color w:val="auto"/>
          <w:kern w:val="0"/>
          <w:sz w:val="24"/>
          <w:highlight w:val="none"/>
          <w:lang w:val="zh-CN"/>
        </w:rPr>
      </w:pPr>
      <w:r>
        <w:rPr>
          <w:color w:val="auto"/>
          <w:kern w:val="0"/>
          <w:sz w:val="24"/>
          <w:highlight w:val="none"/>
          <w:lang w:val="zh-CN"/>
        </w:rPr>
        <w:t>我单位具有良好的商业信誉和健全的财务会计制度；</w:t>
      </w:r>
    </w:p>
    <w:p w14:paraId="53660B5F">
      <w:pPr>
        <w:numPr>
          <w:ilvl w:val="0"/>
          <w:numId w:val="7"/>
        </w:numPr>
        <w:snapToGrid w:val="0"/>
        <w:spacing w:line="460" w:lineRule="exact"/>
        <w:ind w:firstLine="480" w:firstLineChars="200"/>
        <w:contextualSpacing/>
        <w:rPr>
          <w:color w:val="auto"/>
          <w:kern w:val="0"/>
          <w:sz w:val="24"/>
          <w:highlight w:val="none"/>
          <w:lang w:val="zh-CN"/>
        </w:rPr>
      </w:pPr>
      <w:r>
        <w:rPr>
          <w:color w:val="auto"/>
          <w:kern w:val="0"/>
          <w:sz w:val="24"/>
          <w:highlight w:val="none"/>
          <w:lang w:val="zh-CN"/>
        </w:rPr>
        <w:t xml:space="preserve">我单位具有履行合同所必需的设备和专业技术能力； </w:t>
      </w:r>
    </w:p>
    <w:p w14:paraId="288D2EFF">
      <w:pPr>
        <w:numPr>
          <w:ilvl w:val="0"/>
          <w:numId w:val="7"/>
        </w:numPr>
        <w:snapToGrid w:val="0"/>
        <w:spacing w:line="460" w:lineRule="exact"/>
        <w:ind w:firstLine="480" w:firstLineChars="200"/>
        <w:contextualSpacing/>
        <w:rPr>
          <w:color w:val="auto"/>
          <w:kern w:val="0"/>
          <w:sz w:val="24"/>
          <w:highlight w:val="none"/>
          <w:lang w:val="zh-CN"/>
        </w:rPr>
      </w:pPr>
      <w:r>
        <w:rPr>
          <w:color w:val="auto"/>
          <w:kern w:val="0"/>
          <w:sz w:val="24"/>
          <w:highlight w:val="none"/>
          <w:lang w:val="zh-CN"/>
        </w:rPr>
        <w:t>我单位有依法缴纳税收和社会保障资金的良好记录；</w:t>
      </w:r>
    </w:p>
    <w:p w14:paraId="577E426E">
      <w:pPr>
        <w:numPr>
          <w:ilvl w:val="0"/>
          <w:numId w:val="7"/>
        </w:numPr>
        <w:snapToGrid w:val="0"/>
        <w:spacing w:line="460" w:lineRule="exact"/>
        <w:ind w:firstLine="480" w:firstLineChars="200"/>
        <w:contextualSpacing/>
        <w:rPr>
          <w:color w:val="auto"/>
          <w:kern w:val="0"/>
          <w:sz w:val="24"/>
          <w:highlight w:val="none"/>
          <w:lang w:val="zh-CN"/>
        </w:rPr>
      </w:pPr>
      <w:r>
        <w:rPr>
          <w:color w:val="auto"/>
          <w:kern w:val="0"/>
          <w:sz w:val="24"/>
          <w:highlight w:val="none"/>
          <w:lang w:val="zh-CN"/>
        </w:rPr>
        <w:t>我单位参加采购活动前三年内，在经营活动中没有重大违法记录；在</w:t>
      </w:r>
      <w:r>
        <w:rPr>
          <w:rFonts w:hint="eastAsia"/>
          <w:color w:val="auto"/>
          <w:kern w:val="0"/>
          <w:sz w:val="24"/>
          <w:highlight w:val="none"/>
          <w:lang w:val="en-US" w:eastAsia="zh-CN"/>
        </w:rPr>
        <w:t>递交响应文件</w:t>
      </w:r>
      <w:r>
        <w:rPr>
          <w:color w:val="auto"/>
          <w:kern w:val="0"/>
          <w:sz w:val="24"/>
          <w:highlight w:val="none"/>
          <w:lang w:val="zh-CN"/>
        </w:rPr>
        <w:t>截止时间节点，没有被“信用中国”网站（www.creditchina.gov.cn）列入失信被执行人、重大税收违法案件当事人名单；</w:t>
      </w:r>
    </w:p>
    <w:p w14:paraId="5813F207">
      <w:pPr>
        <w:numPr>
          <w:ilvl w:val="0"/>
          <w:numId w:val="7"/>
        </w:numPr>
        <w:snapToGrid w:val="0"/>
        <w:spacing w:line="460" w:lineRule="exact"/>
        <w:ind w:firstLine="480" w:firstLineChars="200"/>
        <w:contextualSpacing/>
        <w:rPr>
          <w:color w:val="auto"/>
          <w:kern w:val="0"/>
          <w:sz w:val="24"/>
          <w:highlight w:val="none"/>
          <w:lang w:val="zh-CN"/>
        </w:rPr>
      </w:pPr>
      <w:r>
        <w:rPr>
          <w:color w:val="auto"/>
          <w:kern w:val="0"/>
          <w:sz w:val="24"/>
          <w:highlight w:val="none"/>
          <w:lang w:val="zh-CN"/>
        </w:rPr>
        <w:t>我单位满足法律、行政法规规定的其他条件。</w:t>
      </w:r>
    </w:p>
    <w:p w14:paraId="60B39ABB">
      <w:pPr>
        <w:spacing w:line="500" w:lineRule="exact"/>
        <w:ind w:firstLine="482"/>
        <w:rPr>
          <w:color w:val="auto"/>
          <w:sz w:val="24"/>
          <w:highlight w:val="none"/>
        </w:rPr>
      </w:pPr>
    </w:p>
    <w:p w14:paraId="25E346BA">
      <w:pPr>
        <w:spacing w:line="460" w:lineRule="exact"/>
        <w:jc w:val="center"/>
        <w:rPr>
          <w:bCs/>
          <w:color w:val="auto"/>
          <w:sz w:val="24"/>
          <w:szCs w:val="21"/>
          <w:highlight w:val="none"/>
        </w:rPr>
      </w:pPr>
      <w:r>
        <w:rPr>
          <w:bCs/>
          <w:color w:val="auto"/>
          <w:sz w:val="24"/>
          <w:szCs w:val="21"/>
          <w:highlight w:val="none"/>
        </w:rPr>
        <w:t xml:space="preserve">                                     承诺人名称（盖单位公章）：</w:t>
      </w:r>
    </w:p>
    <w:p w14:paraId="02E2FECB">
      <w:pPr>
        <w:spacing w:line="460" w:lineRule="exact"/>
        <w:jc w:val="right"/>
        <w:rPr>
          <w:bCs/>
          <w:color w:val="auto"/>
          <w:sz w:val="24"/>
          <w:szCs w:val="21"/>
          <w:highlight w:val="none"/>
        </w:rPr>
      </w:pPr>
      <w:r>
        <w:rPr>
          <w:bCs/>
          <w:color w:val="auto"/>
          <w:sz w:val="24"/>
          <w:szCs w:val="21"/>
          <w:highlight w:val="none"/>
        </w:rPr>
        <w:t xml:space="preserve">  </w:t>
      </w:r>
    </w:p>
    <w:p w14:paraId="5A02DCBA">
      <w:pPr>
        <w:spacing w:line="360" w:lineRule="auto"/>
        <w:ind w:firstLine="1320" w:firstLineChars="550"/>
        <w:jc w:val="right"/>
        <w:rPr>
          <w:rFonts w:ascii="宋体" w:hAnsi="宋体" w:cs="宋体"/>
          <w:color w:val="auto"/>
          <w:sz w:val="24"/>
          <w:highlight w:val="none"/>
        </w:rPr>
      </w:pPr>
      <w:r>
        <w:rPr>
          <w:bCs/>
          <w:color w:val="auto"/>
          <w:sz w:val="24"/>
          <w:szCs w:val="21"/>
          <w:highlight w:val="none"/>
        </w:rPr>
        <w:t xml:space="preserve">                              日期：______年</w:t>
      </w:r>
      <w:r>
        <w:rPr>
          <w:bCs/>
          <w:color w:val="auto"/>
          <w:sz w:val="24"/>
          <w:szCs w:val="21"/>
          <w:highlight w:val="none"/>
          <w:u w:val="single"/>
        </w:rPr>
        <w:t xml:space="preserve">    </w:t>
      </w:r>
      <w:r>
        <w:rPr>
          <w:bCs/>
          <w:color w:val="auto"/>
          <w:sz w:val="24"/>
          <w:szCs w:val="21"/>
          <w:highlight w:val="none"/>
        </w:rPr>
        <w:t>月</w:t>
      </w:r>
      <w:r>
        <w:rPr>
          <w:bCs/>
          <w:color w:val="auto"/>
          <w:sz w:val="24"/>
          <w:szCs w:val="21"/>
          <w:highlight w:val="none"/>
          <w:u w:val="single"/>
        </w:rPr>
        <w:t xml:space="preserve">    </w:t>
      </w:r>
      <w:r>
        <w:rPr>
          <w:bCs/>
          <w:color w:val="auto"/>
          <w:sz w:val="24"/>
          <w:szCs w:val="21"/>
          <w:highlight w:val="none"/>
        </w:rPr>
        <w:t>日</w:t>
      </w:r>
    </w:p>
    <w:p w14:paraId="6B8D6D31">
      <w:pPr>
        <w:spacing w:line="360" w:lineRule="auto"/>
        <w:jc w:val="center"/>
        <w:rPr>
          <w:rFonts w:ascii="宋体" w:hAnsi="宋体" w:cs="宋体"/>
          <w:b/>
          <w:bCs/>
          <w:color w:val="auto"/>
          <w:sz w:val="24"/>
          <w:highlight w:val="none"/>
        </w:rPr>
      </w:pPr>
      <w:r>
        <w:rPr>
          <w:rFonts w:ascii="宋体" w:hAnsi="宋体" w:cs="宋体"/>
          <w:b/>
          <w:bCs/>
          <w:color w:val="auto"/>
          <w:sz w:val="24"/>
          <w:highlight w:val="none"/>
        </w:rPr>
        <w:br w:type="page"/>
      </w:r>
      <w:r>
        <w:rPr>
          <w:rFonts w:hint="eastAsia" w:ascii="宋体" w:hAnsi="宋体" w:cs="宋体"/>
          <w:b/>
          <w:bCs/>
          <w:color w:val="auto"/>
          <w:sz w:val="24"/>
          <w:highlight w:val="none"/>
        </w:rPr>
        <w:t>2、法定代表人身份证明</w:t>
      </w:r>
    </w:p>
    <w:p w14:paraId="5D621B94">
      <w:pPr>
        <w:spacing w:line="360" w:lineRule="auto"/>
        <w:jc w:val="center"/>
        <w:rPr>
          <w:rFonts w:ascii="宋体" w:hAnsi="宋体" w:cs="宋体"/>
          <w:color w:val="auto"/>
          <w:sz w:val="24"/>
          <w:highlight w:val="none"/>
        </w:rPr>
      </w:pPr>
    </w:p>
    <w:p w14:paraId="1018929F">
      <w:pPr>
        <w:adjustRightInd w:val="0"/>
        <w:snapToGrid w:val="0"/>
        <w:spacing w:line="360" w:lineRule="auto"/>
        <w:jc w:val="left"/>
        <w:rPr>
          <w:rFonts w:ascii="宋体" w:hAnsi="宋体" w:cs="宋体"/>
          <w:color w:val="auto"/>
          <w:sz w:val="24"/>
          <w:highlight w:val="none"/>
          <w:u w:val="single"/>
        </w:rPr>
      </w:pPr>
    </w:p>
    <w:p w14:paraId="76C4CB02">
      <w:pPr>
        <w:adjustRightInd w:val="0"/>
        <w:snapToGrid w:val="0"/>
        <w:spacing w:line="360" w:lineRule="auto"/>
        <w:jc w:val="left"/>
        <w:rPr>
          <w:rFonts w:ascii="宋体" w:hAnsi="宋体" w:cs="宋体"/>
          <w:color w:val="auto"/>
          <w:sz w:val="24"/>
          <w:highlight w:val="none"/>
          <w:u w:val="single"/>
        </w:rPr>
      </w:pPr>
      <w:r>
        <w:rPr>
          <w:rFonts w:hint="eastAsia" w:ascii="宋体" w:hAnsi="宋体" w:cs="宋体"/>
          <w:color w:val="auto"/>
          <w:sz w:val="24"/>
          <w:highlight w:val="none"/>
          <w:u w:val="single"/>
        </w:rPr>
        <w:t xml:space="preserve">       （采购人）      ： </w:t>
      </w:r>
    </w:p>
    <w:p w14:paraId="439299A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我公司法定代表人</w:t>
      </w:r>
      <w:r>
        <w:rPr>
          <w:rFonts w:hint="eastAsia" w:ascii="宋体" w:hAnsi="宋体" w:cs="宋体"/>
          <w:color w:val="auto"/>
          <w:sz w:val="24"/>
          <w:highlight w:val="none"/>
          <w:u w:val="single"/>
        </w:rPr>
        <w:t>　　　</w:t>
      </w:r>
      <w:r>
        <w:rPr>
          <w:rFonts w:hint="eastAsia" w:ascii="宋体" w:hAnsi="宋体" w:cs="宋体"/>
          <w:color w:val="auto"/>
          <w:sz w:val="24"/>
          <w:highlight w:val="none"/>
        </w:rPr>
        <w:t>参加贵单位组织的</w:t>
      </w:r>
      <w:r>
        <w:rPr>
          <w:rFonts w:hint="eastAsia" w:ascii="宋体" w:hAnsi="宋体" w:cs="宋体"/>
          <w:color w:val="auto"/>
          <w:sz w:val="24"/>
          <w:highlight w:val="none"/>
          <w:u w:val="single"/>
        </w:rPr>
        <w:t>（竞争性磋商项目名称及项目编号</w:t>
      </w:r>
      <w:r>
        <w:rPr>
          <w:rFonts w:ascii="宋体" w:hAnsi="宋体" w:cs="宋体"/>
          <w:color w:val="auto"/>
          <w:sz w:val="24"/>
          <w:highlight w:val="none"/>
          <w:u w:val="single"/>
        </w:rPr>
        <w:t>)</w:t>
      </w:r>
      <w:r>
        <w:rPr>
          <w:rFonts w:hint="eastAsia" w:ascii="宋体" w:hAnsi="宋体" w:cs="宋体"/>
          <w:color w:val="auto"/>
          <w:sz w:val="24"/>
          <w:highlight w:val="none"/>
        </w:rPr>
        <w:t>项目的磋商活动，全权代表我公司处理竞争性磋商的有关事宜。</w:t>
      </w:r>
    </w:p>
    <w:p w14:paraId="54E0D2C9">
      <w:pPr>
        <w:spacing w:line="360" w:lineRule="auto"/>
        <w:ind w:firstLine="480" w:firstLineChars="200"/>
        <w:rPr>
          <w:rFonts w:ascii="宋体" w:hAnsi="宋体" w:cs="宋体"/>
          <w:color w:val="auto"/>
          <w:sz w:val="24"/>
          <w:highlight w:val="none"/>
        </w:rPr>
      </w:pPr>
    </w:p>
    <w:p w14:paraId="73C33008">
      <w:pPr>
        <w:spacing w:line="360" w:lineRule="auto"/>
        <w:rPr>
          <w:rFonts w:ascii="宋体" w:hAnsi="宋体" w:cs="宋体"/>
          <w:color w:val="auto"/>
          <w:sz w:val="24"/>
          <w:highlight w:val="none"/>
        </w:rPr>
      </w:pPr>
      <w:r>
        <w:rPr>
          <w:rFonts w:hint="eastAsia" w:ascii="宋体" w:hAnsi="宋体" w:cs="宋体"/>
          <w:color w:val="auto"/>
          <w:sz w:val="24"/>
          <w:highlight w:val="none"/>
        </w:rPr>
        <w:t>附：法定代表人情况：</w:t>
      </w:r>
    </w:p>
    <w:p w14:paraId="2F8C9041">
      <w:pPr>
        <w:spacing w:line="360" w:lineRule="auto"/>
        <w:rPr>
          <w:rFonts w:ascii="宋体" w:hAnsi="宋体" w:cs="宋体"/>
          <w:color w:val="auto"/>
          <w:sz w:val="24"/>
          <w:highlight w:val="none"/>
          <w:u w:val="single"/>
        </w:rPr>
      </w:pPr>
      <w:r>
        <w:rPr>
          <w:rFonts w:hint="eastAsia" w:ascii="宋体" w:hAnsi="宋体" w:cs="宋体"/>
          <w:color w:val="auto"/>
          <w:sz w:val="24"/>
          <w:highlight w:val="none"/>
        </w:rPr>
        <w:t>姓名：</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年龄：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职务：</w:t>
      </w:r>
      <w:r>
        <w:rPr>
          <w:rFonts w:hint="eastAsia" w:ascii="宋体" w:hAnsi="宋体" w:cs="宋体"/>
          <w:color w:val="auto"/>
          <w:sz w:val="24"/>
          <w:highlight w:val="none"/>
          <w:u w:val="single"/>
          <w:lang w:val="en-US" w:eastAsia="zh-CN"/>
        </w:rPr>
        <w:t xml:space="preserve">       ；</w:t>
      </w:r>
    </w:p>
    <w:p w14:paraId="612F7200">
      <w:pPr>
        <w:spacing w:line="360" w:lineRule="auto"/>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lang w:val="en-US" w:eastAsia="zh-CN"/>
        </w:rPr>
        <w:t xml:space="preserve">       ；</w:t>
      </w:r>
    </w:p>
    <w:p w14:paraId="7B2D5744">
      <w:pPr>
        <w:spacing w:line="360" w:lineRule="auto"/>
        <w:rPr>
          <w:rFonts w:ascii="宋体" w:hAnsi="宋体" w:cs="宋体"/>
          <w:color w:val="auto"/>
          <w:sz w:val="24"/>
          <w:highlight w:val="none"/>
        </w:rPr>
      </w:pPr>
      <w:r>
        <w:rPr>
          <w:rFonts w:hint="eastAsia" w:ascii="宋体" w:hAnsi="宋体" w:cs="宋体"/>
          <w:color w:val="auto"/>
          <w:sz w:val="24"/>
          <w:highlight w:val="none"/>
        </w:rPr>
        <w:t>手机：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传真：</w:t>
      </w:r>
      <w:r>
        <w:rPr>
          <w:rFonts w:hint="eastAsia" w:ascii="宋体" w:hAnsi="宋体" w:cs="宋体"/>
          <w:color w:val="auto"/>
          <w:sz w:val="24"/>
          <w:highlight w:val="none"/>
          <w:u w:val="single"/>
          <w:lang w:val="en-US" w:eastAsia="zh-CN"/>
        </w:rPr>
        <w:t xml:space="preserve">       ；</w:t>
      </w:r>
    </w:p>
    <w:p w14:paraId="1445F3B6">
      <w:pPr>
        <w:adjustRightInd w:val="0"/>
        <w:snapToGrid w:val="0"/>
        <w:spacing w:line="360" w:lineRule="auto"/>
        <w:ind w:firstLine="482"/>
        <w:rPr>
          <w:color w:val="auto"/>
          <w:kern w:val="0"/>
          <w:sz w:val="24"/>
          <w:szCs w:val="20"/>
          <w:highlight w:val="none"/>
          <w:shd w:val="clear" w:color="auto" w:fill="FFFFFF"/>
        </w:rPr>
      </w:pPr>
    </w:p>
    <w:p w14:paraId="0016516B">
      <w:pPr>
        <w:rPr>
          <w:rFonts w:ascii="宋体" w:hAnsi="宋体" w:cs="宋体"/>
          <w:color w:val="auto"/>
          <w:sz w:val="24"/>
          <w:highlight w:val="none"/>
        </w:rPr>
      </w:pPr>
    </w:p>
    <w:p w14:paraId="51121F85">
      <w:pPr>
        <w:widowControl/>
        <w:tabs>
          <w:tab w:val="right" w:leader="hyphen" w:pos="9736"/>
        </w:tabs>
        <w:spacing w:after="100" w:line="276" w:lineRule="auto"/>
        <w:jc w:val="center"/>
        <w:rPr>
          <w:rFonts w:ascii="Calibri" w:hAnsi="Calibri"/>
          <w:color w:val="auto"/>
          <w:kern w:val="0"/>
          <w:sz w:val="22"/>
          <w:szCs w:val="22"/>
          <w:highlight w:val="none"/>
        </w:rPr>
      </w:pPr>
    </w:p>
    <w:p w14:paraId="67E57787">
      <w:pPr>
        <w:spacing w:line="360" w:lineRule="auto"/>
        <w:rPr>
          <w:rFonts w:ascii="宋体" w:hAnsi="宋体" w:cs="宋体"/>
          <w:color w:val="auto"/>
          <w:sz w:val="24"/>
          <w:highlight w:val="none"/>
        </w:rPr>
      </w:pPr>
      <w:r>
        <w:rPr>
          <w:rFonts w:hint="eastAsia" w:ascii="宋体" w:hAnsi="宋体" w:cs="宋体"/>
          <w:color w:val="auto"/>
          <w:sz w:val="24"/>
          <w:highlight w:val="none"/>
        </w:rPr>
        <w:t>单位名称（公章）             法定代表人（签字或盖章）</w:t>
      </w:r>
    </w:p>
    <w:p w14:paraId="297CAA07">
      <w:pPr>
        <w:spacing w:line="360" w:lineRule="auto"/>
        <w:ind w:firstLine="1200" w:firstLineChars="500"/>
        <w:rPr>
          <w:rFonts w:ascii="宋体" w:hAnsi="宋体" w:cs="宋体"/>
          <w:color w:val="auto"/>
          <w:sz w:val="24"/>
          <w:highlight w:val="none"/>
        </w:rPr>
      </w:pPr>
      <w:r>
        <w:rPr>
          <w:rFonts w:hint="eastAsia" w:ascii="宋体" w:hAnsi="宋体" w:cs="宋体"/>
          <w:color w:val="auto"/>
          <w:sz w:val="24"/>
          <w:highlight w:val="none"/>
        </w:rPr>
        <w:t xml:space="preserve">年   月   日                 年   月    日  </w:t>
      </w:r>
    </w:p>
    <w:p w14:paraId="17E5D920">
      <w:pPr>
        <w:spacing w:line="360" w:lineRule="auto"/>
        <w:rPr>
          <w:rFonts w:ascii="宋体" w:hAnsi="宋体" w:cs="宋体"/>
          <w:color w:val="auto"/>
          <w:sz w:val="24"/>
          <w:highlight w:val="none"/>
        </w:rPr>
      </w:pPr>
    </w:p>
    <w:p w14:paraId="51E73EA0">
      <w:pPr>
        <w:spacing w:line="360" w:lineRule="auto"/>
        <w:rPr>
          <w:rFonts w:ascii="宋体" w:hAnsi="宋体" w:cs="宋体"/>
          <w:color w:val="auto"/>
          <w:sz w:val="24"/>
          <w:highlight w:val="none"/>
        </w:rPr>
      </w:pPr>
    </w:p>
    <w:p w14:paraId="0CE900C0">
      <w:pPr>
        <w:spacing w:line="360" w:lineRule="auto"/>
        <w:rPr>
          <w:rFonts w:ascii="宋体" w:hAnsi="宋体" w:cs="宋体"/>
          <w:color w:val="auto"/>
          <w:sz w:val="24"/>
          <w:highlight w:val="none"/>
        </w:rPr>
      </w:pPr>
      <w:r>
        <w:rPr>
          <w:rFonts w:hint="eastAsia" w:ascii="宋体" w:hAnsi="宋体" w:cs="宋体"/>
          <w:color w:val="auto"/>
          <w:sz w:val="24"/>
          <w:highlight w:val="none"/>
        </w:rPr>
        <w:t>法定代表人身份证复印件（正反面）</w:t>
      </w:r>
    </w:p>
    <w:p w14:paraId="0CD705FA">
      <w:pPr>
        <w:spacing w:line="360" w:lineRule="auto"/>
        <w:rPr>
          <w:rFonts w:ascii="宋体" w:hAnsi="宋体" w:cs="宋体"/>
          <w:color w:val="auto"/>
          <w:sz w:val="24"/>
          <w:highlight w:val="none"/>
        </w:rPr>
      </w:pPr>
    </w:p>
    <w:p w14:paraId="37AF6C60">
      <w:pPr>
        <w:spacing w:line="360" w:lineRule="auto"/>
        <w:ind w:firstLine="2280" w:firstLineChars="950"/>
        <w:rPr>
          <w:rFonts w:ascii="宋体" w:hAnsi="宋体" w:cs="宋体"/>
          <w:color w:val="auto"/>
          <w:sz w:val="24"/>
          <w:highlight w:val="none"/>
        </w:rPr>
      </w:pPr>
      <w:r>
        <w:rPr>
          <w:rFonts w:hint="eastAsia" w:ascii="宋体" w:hAnsi="宋体" w:cs="宋体"/>
          <w:color w:val="auto"/>
          <w:sz w:val="24"/>
          <w:highlight w:val="none"/>
        </w:rPr>
        <w:t>（粘贴此处）</w:t>
      </w:r>
    </w:p>
    <w:p w14:paraId="64E8A4AA">
      <w:pPr>
        <w:spacing w:line="360" w:lineRule="auto"/>
        <w:ind w:firstLine="2289" w:firstLineChars="950"/>
        <w:rPr>
          <w:rFonts w:ascii="宋体" w:hAnsi="宋体" w:cs="宋体"/>
          <w:b/>
          <w:bCs/>
          <w:color w:val="auto"/>
          <w:sz w:val="24"/>
          <w:highlight w:val="none"/>
        </w:rPr>
      </w:pPr>
    </w:p>
    <w:p w14:paraId="73BAB61E">
      <w:pPr>
        <w:spacing w:line="360" w:lineRule="auto"/>
        <w:ind w:firstLine="2289" w:firstLineChars="950"/>
        <w:rPr>
          <w:rFonts w:ascii="宋体" w:hAnsi="宋体" w:cs="宋体"/>
          <w:b/>
          <w:bCs/>
          <w:color w:val="auto"/>
          <w:sz w:val="24"/>
          <w:highlight w:val="none"/>
        </w:rPr>
      </w:pPr>
    </w:p>
    <w:p w14:paraId="318972F7">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3、授权委托书</w:t>
      </w:r>
    </w:p>
    <w:p w14:paraId="20CEDA96">
      <w:pPr>
        <w:snapToGrid w:val="0"/>
        <w:spacing w:line="360" w:lineRule="auto"/>
        <w:jc w:val="center"/>
        <w:rPr>
          <w:rFonts w:ascii="宋体" w:hAnsi="宋体" w:cs="宋体"/>
          <w:color w:val="auto"/>
          <w:sz w:val="24"/>
          <w:highlight w:val="none"/>
          <w:u w:val="single"/>
        </w:rPr>
      </w:pPr>
    </w:p>
    <w:p w14:paraId="742AB485">
      <w:pPr>
        <w:snapToGrid w:val="0"/>
        <w:spacing w:line="360" w:lineRule="auto"/>
        <w:rPr>
          <w:rFonts w:ascii="宋体" w:hAnsi="宋体" w:cs="宋体"/>
          <w:bCs/>
          <w:color w:val="auto"/>
          <w:sz w:val="24"/>
          <w:highlight w:val="none"/>
        </w:rPr>
      </w:pPr>
    </w:p>
    <w:p w14:paraId="0F8C8C8A">
      <w:pPr>
        <w:adjustRightInd w:val="0"/>
        <w:snapToGrid w:val="0"/>
        <w:spacing w:line="360" w:lineRule="auto"/>
        <w:jc w:val="left"/>
        <w:rPr>
          <w:rFonts w:ascii="宋体" w:hAnsi="宋体" w:cs="宋体"/>
          <w:color w:val="auto"/>
          <w:sz w:val="24"/>
          <w:highlight w:val="none"/>
          <w:u w:val="single"/>
        </w:rPr>
      </w:pPr>
      <w:r>
        <w:rPr>
          <w:rFonts w:hint="eastAsia" w:ascii="宋体" w:hAnsi="宋体" w:cs="宋体"/>
          <w:color w:val="auto"/>
          <w:sz w:val="24"/>
          <w:highlight w:val="none"/>
          <w:u w:val="single"/>
        </w:rPr>
        <w:t xml:space="preserve">      （采购人）      ： </w:t>
      </w:r>
    </w:p>
    <w:p w14:paraId="1206DEC0">
      <w:pPr>
        <w:snapToGrid w:val="0"/>
        <w:spacing w:line="360" w:lineRule="auto"/>
        <w:ind w:firstLine="480" w:firstLineChars="200"/>
        <w:rPr>
          <w:rFonts w:ascii="宋体" w:hAnsi="宋体" w:cs="宋体"/>
          <w:color w:val="auto"/>
          <w:sz w:val="24"/>
          <w:highlight w:val="none"/>
        </w:rPr>
      </w:pPr>
      <w:r>
        <w:rPr>
          <w:rFonts w:hint="eastAsia" w:hAnsi="宋体" w:cs="宋体"/>
          <w:color w:val="auto"/>
          <w:sz w:val="24"/>
          <w:highlight w:val="none"/>
        </w:rPr>
        <w:t>兹授权</w:t>
      </w:r>
      <w:r>
        <w:rPr>
          <w:rFonts w:hint="eastAsia" w:hAnsi="宋体" w:cs="宋体"/>
          <w:color w:val="auto"/>
          <w:sz w:val="24"/>
          <w:highlight w:val="none"/>
          <w:u w:val="single"/>
        </w:rPr>
        <w:t xml:space="preserve">    （</w:t>
      </w:r>
      <w:r>
        <w:rPr>
          <w:rFonts w:hint="eastAsia" w:hAnsi="宋体" w:cs="宋体"/>
          <w:color w:val="auto"/>
          <w:sz w:val="24"/>
          <w:highlight w:val="none"/>
        </w:rPr>
        <w:t>被授权人的姓名）代表我公司参加</w:t>
      </w:r>
      <w:r>
        <w:rPr>
          <w:rFonts w:hint="eastAsia" w:hAnsi="宋体" w:cs="宋体"/>
          <w:color w:val="auto"/>
          <w:sz w:val="24"/>
          <w:highlight w:val="none"/>
          <w:u w:val="single"/>
        </w:rPr>
        <w:t xml:space="preserve">   （</w:t>
      </w:r>
      <w:r>
        <w:rPr>
          <w:rFonts w:hint="eastAsia" w:ascii="宋体" w:hAnsi="宋体" w:cs="宋体"/>
          <w:color w:val="auto"/>
          <w:sz w:val="24"/>
          <w:highlight w:val="none"/>
          <w:u w:val="single"/>
        </w:rPr>
        <w:t>竞争性磋商项目名称及项目编号</w:t>
      </w:r>
      <w:r>
        <w:rPr>
          <w:rFonts w:hAnsi="宋体"/>
          <w:color w:val="auto"/>
          <w:sz w:val="24"/>
          <w:highlight w:val="none"/>
          <w:u w:val="single"/>
        </w:rPr>
        <w:t>)</w:t>
      </w:r>
      <w:r>
        <w:rPr>
          <w:rFonts w:hint="eastAsia" w:hAnsi="宋体" w:cs="宋体"/>
          <w:color w:val="auto"/>
          <w:sz w:val="24"/>
          <w:highlight w:val="none"/>
        </w:rPr>
        <w:t>项目的采购活动，全权处理一切与该采购项目有关的事务。其在办理上述事宜过程中所签署的所有文件我公司均予以承认。</w:t>
      </w:r>
    </w:p>
    <w:p w14:paraId="7C324233">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被授权人无转委托权，特此委托。</w:t>
      </w:r>
    </w:p>
    <w:p w14:paraId="760FE9F4">
      <w:pPr>
        <w:adjustRightInd w:val="0"/>
        <w:snapToGrid w:val="0"/>
        <w:spacing w:line="360" w:lineRule="auto"/>
        <w:ind w:firstLine="480" w:firstLineChars="200"/>
        <w:jc w:val="left"/>
        <w:rPr>
          <w:rFonts w:ascii="宋体" w:hAnsi="宋体" w:cs="宋体"/>
          <w:color w:val="auto"/>
          <w:sz w:val="24"/>
          <w:highlight w:val="none"/>
        </w:rPr>
      </w:pPr>
    </w:p>
    <w:p w14:paraId="707B3AA0">
      <w:pPr>
        <w:spacing w:line="360" w:lineRule="auto"/>
        <w:rPr>
          <w:rFonts w:ascii="宋体" w:hAnsi="宋体" w:cs="宋体"/>
          <w:color w:val="auto"/>
          <w:sz w:val="24"/>
          <w:highlight w:val="none"/>
        </w:rPr>
      </w:pPr>
      <w:r>
        <w:rPr>
          <w:rFonts w:hint="eastAsia" w:ascii="宋体" w:hAnsi="宋体" w:cs="宋体"/>
          <w:color w:val="auto"/>
          <w:sz w:val="24"/>
          <w:highlight w:val="none"/>
        </w:rPr>
        <w:t>附：被授权人情况：</w:t>
      </w:r>
    </w:p>
    <w:p w14:paraId="2ECD483F">
      <w:pPr>
        <w:spacing w:line="360" w:lineRule="auto"/>
        <w:rPr>
          <w:rFonts w:ascii="宋体" w:hAnsi="宋体" w:cs="宋体"/>
          <w:color w:val="auto"/>
          <w:sz w:val="24"/>
          <w:highlight w:val="none"/>
          <w:u w:val="single"/>
        </w:rPr>
      </w:pPr>
      <w:r>
        <w:rPr>
          <w:rFonts w:hint="eastAsia" w:ascii="宋体" w:hAnsi="宋体" w:cs="宋体"/>
          <w:color w:val="auto"/>
          <w:sz w:val="24"/>
          <w:highlight w:val="none"/>
        </w:rPr>
        <w:t>姓名：</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年龄：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职务：</w:t>
      </w:r>
      <w:r>
        <w:rPr>
          <w:rFonts w:hint="eastAsia" w:ascii="宋体" w:hAnsi="宋体" w:cs="宋体"/>
          <w:color w:val="auto"/>
          <w:sz w:val="24"/>
          <w:highlight w:val="none"/>
          <w:u w:val="single"/>
          <w:lang w:val="en-US" w:eastAsia="zh-CN"/>
        </w:rPr>
        <w:t xml:space="preserve">       ；</w:t>
      </w:r>
    </w:p>
    <w:p w14:paraId="52582B2F">
      <w:pPr>
        <w:spacing w:line="360" w:lineRule="auto"/>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lang w:val="en-US" w:eastAsia="zh-CN"/>
        </w:rPr>
        <w:t xml:space="preserve">       ；</w:t>
      </w:r>
    </w:p>
    <w:p w14:paraId="11C4981A">
      <w:pPr>
        <w:spacing w:line="360" w:lineRule="auto"/>
        <w:rPr>
          <w:rFonts w:ascii="宋体" w:hAnsi="宋体" w:cs="宋体"/>
          <w:color w:val="auto"/>
          <w:sz w:val="24"/>
          <w:highlight w:val="none"/>
        </w:rPr>
      </w:pPr>
      <w:r>
        <w:rPr>
          <w:rFonts w:hint="eastAsia" w:ascii="宋体" w:hAnsi="宋体" w:cs="宋体"/>
          <w:color w:val="auto"/>
          <w:sz w:val="24"/>
          <w:highlight w:val="none"/>
        </w:rPr>
        <w:t>手机：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传真：</w:t>
      </w:r>
      <w:r>
        <w:rPr>
          <w:rFonts w:hint="eastAsia" w:ascii="宋体" w:hAnsi="宋体" w:cs="宋体"/>
          <w:color w:val="auto"/>
          <w:sz w:val="24"/>
          <w:highlight w:val="none"/>
          <w:u w:val="single"/>
          <w:lang w:val="en-US" w:eastAsia="zh-CN"/>
        </w:rPr>
        <w:t xml:space="preserve">       ；</w:t>
      </w:r>
    </w:p>
    <w:p w14:paraId="25352DC7">
      <w:pPr>
        <w:spacing w:line="360" w:lineRule="auto"/>
        <w:rPr>
          <w:rFonts w:ascii="宋体" w:hAnsi="宋体" w:cs="宋体"/>
          <w:color w:val="auto"/>
          <w:sz w:val="24"/>
          <w:highlight w:val="none"/>
        </w:rPr>
      </w:pPr>
      <w:r>
        <w:rPr>
          <w:rFonts w:hint="eastAsia" w:ascii="宋体" w:hAnsi="宋体" w:cs="宋体"/>
          <w:color w:val="auto"/>
          <w:sz w:val="24"/>
          <w:highlight w:val="none"/>
        </w:rPr>
        <w:t>单位名称（公章）             法定代表人（签字或盖章）</w:t>
      </w:r>
    </w:p>
    <w:p w14:paraId="5F6D3285">
      <w:pPr>
        <w:spacing w:line="360" w:lineRule="auto"/>
        <w:ind w:firstLine="1200" w:firstLineChars="500"/>
        <w:rPr>
          <w:rFonts w:ascii="宋体" w:hAnsi="宋体" w:cs="宋体"/>
          <w:color w:val="auto"/>
          <w:sz w:val="24"/>
          <w:highlight w:val="none"/>
        </w:rPr>
      </w:pPr>
      <w:r>
        <w:rPr>
          <w:rFonts w:hint="eastAsia" w:ascii="宋体" w:hAnsi="宋体" w:cs="宋体"/>
          <w:color w:val="auto"/>
          <w:sz w:val="24"/>
          <w:highlight w:val="none"/>
        </w:rPr>
        <w:t xml:space="preserve">年   月   日                 年   月    日  </w:t>
      </w:r>
    </w:p>
    <w:p w14:paraId="0BF2F03F">
      <w:pPr>
        <w:spacing w:line="360" w:lineRule="auto"/>
        <w:rPr>
          <w:rFonts w:ascii="宋体" w:hAnsi="宋体" w:cs="宋体"/>
          <w:color w:val="auto"/>
          <w:sz w:val="24"/>
          <w:highlight w:val="none"/>
        </w:rPr>
      </w:pPr>
    </w:p>
    <w:p w14:paraId="673E5721">
      <w:pPr>
        <w:spacing w:line="360" w:lineRule="auto"/>
        <w:rPr>
          <w:rFonts w:ascii="宋体" w:hAnsi="宋体" w:cs="宋体"/>
          <w:color w:val="auto"/>
          <w:sz w:val="24"/>
          <w:highlight w:val="none"/>
        </w:rPr>
      </w:pPr>
    </w:p>
    <w:p w14:paraId="66CE7AA5">
      <w:pPr>
        <w:spacing w:line="360" w:lineRule="auto"/>
        <w:rPr>
          <w:rFonts w:ascii="宋体" w:hAnsi="宋体" w:cs="宋体"/>
          <w:color w:val="auto"/>
          <w:sz w:val="24"/>
          <w:highlight w:val="none"/>
        </w:rPr>
      </w:pPr>
      <w:r>
        <w:rPr>
          <w:rFonts w:hint="eastAsia" w:ascii="宋体" w:hAnsi="宋体" w:cs="宋体"/>
          <w:color w:val="auto"/>
          <w:sz w:val="24"/>
          <w:highlight w:val="none"/>
        </w:rPr>
        <w:t>法定代表人身份证复印件（正反面）</w:t>
      </w:r>
    </w:p>
    <w:p w14:paraId="5E53FA20">
      <w:pPr>
        <w:spacing w:line="360" w:lineRule="auto"/>
        <w:rPr>
          <w:rFonts w:ascii="宋体" w:hAnsi="宋体" w:cs="宋体"/>
          <w:color w:val="auto"/>
          <w:sz w:val="24"/>
          <w:highlight w:val="none"/>
        </w:rPr>
      </w:pPr>
    </w:p>
    <w:p w14:paraId="49E215E5">
      <w:pPr>
        <w:spacing w:line="360" w:lineRule="auto"/>
        <w:ind w:firstLine="2160" w:firstLineChars="900"/>
        <w:rPr>
          <w:rFonts w:ascii="宋体" w:hAnsi="宋体" w:cs="宋体"/>
          <w:color w:val="auto"/>
          <w:sz w:val="24"/>
          <w:highlight w:val="none"/>
        </w:rPr>
      </w:pPr>
      <w:r>
        <w:rPr>
          <w:rFonts w:hint="eastAsia" w:ascii="宋体" w:hAnsi="宋体" w:cs="宋体"/>
          <w:color w:val="auto"/>
          <w:sz w:val="24"/>
          <w:highlight w:val="none"/>
        </w:rPr>
        <w:t>（粘贴此处）</w:t>
      </w:r>
    </w:p>
    <w:p w14:paraId="0BB25B0E">
      <w:pPr>
        <w:spacing w:line="360" w:lineRule="auto"/>
        <w:rPr>
          <w:rFonts w:ascii="宋体" w:hAnsi="宋体" w:cs="宋体"/>
          <w:color w:val="auto"/>
          <w:sz w:val="24"/>
          <w:highlight w:val="none"/>
        </w:rPr>
      </w:pPr>
    </w:p>
    <w:p w14:paraId="4ADA3F6E">
      <w:pPr>
        <w:spacing w:line="360" w:lineRule="auto"/>
        <w:rPr>
          <w:rFonts w:ascii="宋体" w:hAnsi="宋体" w:cs="宋体"/>
          <w:color w:val="auto"/>
          <w:sz w:val="24"/>
          <w:highlight w:val="none"/>
        </w:rPr>
      </w:pPr>
    </w:p>
    <w:p w14:paraId="46E581A0">
      <w:pPr>
        <w:spacing w:line="360" w:lineRule="auto"/>
        <w:rPr>
          <w:rFonts w:ascii="宋体" w:hAnsi="宋体" w:cs="宋体"/>
          <w:color w:val="auto"/>
          <w:sz w:val="24"/>
          <w:highlight w:val="none"/>
        </w:rPr>
      </w:pPr>
      <w:r>
        <w:rPr>
          <w:rFonts w:hint="eastAsia" w:ascii="宋体" w:hAnsi="宋体" w:cs="宋体"/>
          <w:color w:val="auto"/>
          <w:sz w:val="24"/>
          <w:highlight w:val="none"/>
        </w:rPr>
        <w:t>被授权人身份证复印件（正反面）</w:t>
      </w:r>
    </w:p>
    <w:p w14:paraId="19BBF1C0">
      <w:pPr>
        <w:spacing w:line="360" w:lineRule="auto"/>
        <w:rPr>
          <w:rFonts w:ascii="宋体" w:hAnsi="宋体" w:cs="宋体"/>
          <w:color w:val="auto"/>
          <w:sz w:val="24"/>
          <w:highlight w:val="none"/>
        </w:rPr>
      </w:pPr>
    </w:p>
    <w:p w14:paraId="12072A05">
      <w:pPr>
        <w:spacing w:line="360" w:lineRule="auto"/>
        <w:rPr>
          <w:rFonts w:ascii="宋体" w:hAnsi="宋体" w:cs="宋体"/>
          <w:color w:val="auto"/>
          <w:sz w:val="24"/>
          <w:highlight w:val="none"/>
        </w:rPr>
      </w:pPr>
    </w:p>
    <w:p w14:paraId="4076F6BD">
      <w:pPr>
        <w:spacing w:line="360" w:lineRule="auto"/>
        <w:rPr>
          <w:rFonts w:ascii="宋体" w:hAnsi="宋体" w:cs="宋体"/>
          <w:color w:val="auto"/>
          <w:sz w:val="24"/>
          <w:highlight w:val="none"/>
        </w:rPr>
      </w:pPr>
    </w:p>
    <w:p w14:paraId="358986C4">
      <w:pPr>
        <w:spacing w:line="360" w:lineRule="auto"/>
        <w:ind w:firstLine="2280" w:firstLineChars="950"/>
        <w:rPr>
          <w:rFonts w:ascii="宋体" w:hAnsi="宋体" w:cs="宋体"/>
          <w:color w:val="auto"/>
          <w:sz w:val="24"/>
          <w:highlight w:val="none"/>
        </w:rPr>
      </w:pPr>
      <w:r>
        <w:rPr>
          <w:rFonts w:hint="eastAsia" w:ascii="宋体" w:hAnsi="宋体" w:cs="宋体"/>
          <w:color w:val="auto"/>
          <w:sz w:val="24"/>
          <w:highlight w:val="none"/>
        </w:rPr>
        <w:t>（粘贴此处）</w:t>
      </w:r>
    </w:p>
    <w:p w14:paraId="32A33BFE">
      <w:pPr>
        <w:spacing w:line="360" w:lineRule="auto"/>
        <w:ind w:firstLine="2289" w:firstLineChars="950"/>
        <w:rPr>
          <w:rFonts w:ascii="宋体" w:hAnsi="宋体" w:cs="宋体"/>
          <w:b/>
          <w:bCs/>
          <w:color w:val="auto"/>
          <w:sz w:val="24"/>
          <w:highlight w:val="none"/>
        </w:rPr>
      </w:pPr>
    </w:p>
    <w:p w14:paraId="7303604A">
      <w:pPr>
        <w:snapToGrid w:val="0"/>
        <w:spacing w:line="360" w:lineRule="auto"/>
        <w:jc w:val="center"/>
        <w:outlineLvl w:val="4"/>
        <w:rPr>
          <w:rFonts w:ascii="宋体" w:hAnsi="宋体" w:cs="宋体"/>
          <w:b/>
          <w:bCs/>
          <w:color w:val="auto"/>
          <w:sz w:val="24"/>
          <w:highlight w:val="none"/>
        </w:rPr>
      </w:pPr>
      <w:r>
        <w:rPr>
          <w:rFonts w:hint="eastAsia" w:ascii="宋体" w:hAnsi="宋体" w:cs="宋体"/>
          <w:b/>
          <w:bCs/>
          <w:color w:val="auto"/>
          <w:sz w:val="24"/>
          <w:highlight w:val="none"/>
        </w:rPr>
        <w:br w:type="page"/>
      </w:r>
    </w:p>
    <w:p w14:paraId="5AF96DE2">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w:t>
      </w:r>
      <w:r>
        <w:rPr>
          <w:rFonts w:hint="eastAsia" w:ascii="宋体" w:hAnsi="宋体" w:eastAsia="宋体" w:cs="宋体"/>
          <w:b/>
          <w:bCs/>
          <w:color w:val="auto"/>
          <w:sz w:val="24"/>
          <w:highlight w:val="none"/>
          <w:lang w:val="en-US" w:eastAsia="zh-CN"/>
        </w:rPr>
        <w:t>供应商</w:t>
      </w:r>
      <w:r>
        <w:rPr>
          <w:rFonts w:hint="eastAsia" w:ascii="宋体" w:hAnsi="宋体" w:eastAsia="宋体" w:cs="宋体"/>
          <w:b/>
          <w:bCs/>
          <w:color w:val="auto"/>
          <w:sz w:val="24"/>
          <w:highlight w:val="none"/>
        </w:rPr>
        <w:t>信用承诺书</w:t>
      </w:r>
    </w:p>
    <w:p w14:paraId="65478E6D">
      <w:pPr>
        <w:spacing w:line="360" w:lineRule="auto"/>
        <w:ind w:firstLine="480" w:firstLineChars="200"/>
        <w:rPr>
          <w:color w:val="auto"/>
          <w:kern w:val="0"/>
          <w:sz w:val="24"/>
          <w:highlight w:val="none"/>
          <w:lang w:val="zh-CN"/>
        </w:rPr>
      </w:pPr>
      <w:r>
        <w:rPr>
          <w:color w:val="auto"/>
          <w:kern w:val="0"/>
          <w:sz w:val="24"/>
          <w:highlight w:val="none"/>
          <w:lang w:val="zh-CN" w:bidi="ar"/>
        </w:rPr>
        <w:t>为营造公开、公平、公正的采购环境，树立诚信守法的</w:t>
      </w:r>
      <w:r>
        <w:rPr>
          <w:rFonts w:hint="eastAsia"/>
          <w:color w:val="auto"/>
          <w:kern w:val="0"/>
          <w:sz w:val="24"/>
          <w:highlight w:val="none"/>
          <w:lang w:val="en-US" w:eastAsia="zh-CN" w:bidi="ar"/>
        </w:rPr>
        <w:t>供应商</w:t>
      </w:r>
      <w:r>
        <w:rPr>
          <w:color w:val="auto"/>
          <w:kern w:val="0"/>
          <w:sz w:val="24"/>
          <w:highlight w:val="none"/>
          <w:lang w:val="zh-CN" w:bidi="ar"/>
        </w:rPr>
        <w:t>形象，本人代表本单位作出以下承诺：</w:t>
      </w:r>
    </w:p>
    <w:p w14:paraId="0E686B93">
      <w:pPr>
        <w:spacing w:line="360" w:lineRule="auto"/>
        <w:ind w:firstLine="480" w:firstLineChars="200"/>
        <w:rPr>
          <w:color w:val="auto"/>
          <w:kern w:val="0"/>
          <w:sz w:val="24"/>
          <w:highlight w:val="none"/>
          <w:lang w:val="zh-CN"/>
        </w:rPr>
      </w:pPr>
      <w:r>
        <w:rPr>
          <w:color w:val="auto"/>
          <w:kern w:val="0"/>
          <w:sz w:val="24"/>
          <w:highlight w:val="none"/>
          <w:lang w:val="zh-CN" w:bidi="ar"/>
        </w:rPr>
        <w:t>一、本单位对所提交的单位基本信息、单位负责人、从业资质和资格、业绩、财务状况、信誉等所有资料，均合法、真实、准确、有效，无任何伪造、修改、虚假成分；</w:t>
      </w:r>
    </w:p>
    <w:p w14:paraId="5BFC4A02">
      <w:pPr>
        <w:spacing w:line="360" w:lineRule="auto"/>
        <w:ind w:firstLine="480" w:firstLineChars="200"/>
        <w:rPr>
          <w:color w:val="auto"/>
          <w:kern w:val="0"/>
          <w:sz w:val="24"/>
          <w:highlight w:val="none"/>
          <w:lang w:val="zh-CN"/>
        </w:rPr>
      </w:pPr>
      <w:r>
        <w:rPr>
          <w:color w:val="auto"/>
          <w:kern w:val="0"/>
          <w:sz w:val="24"/>
          <w:highlight w:val="none"/>
          <w:lang w:val="zh-CN" w:bidi="ar"/>
        </w:rPr>
        <w:t>二、严格依照国家和省、市、县关于</w:t>
      </w:r>
      <w:r>
        <w:rPr>
          <w:rFonts w:hint="eastAsia"/>
          <w:color w:val="auto"/>
          <w:kern w:val="0"/>
          <w:sz w:val="24"/>
          <w:highlight w:val="none"/>
          <w:lang w:val="en-US" w:eastAsia="zh-CN" w:bidi="ar"/>
        </w:rPr>
        <w:t>招标投标（采购）</w:t>
      </w:r>
      <w:r>
        <w:rPr>
          <w:color w:val="auto"/>
          <w:kern w:val="0"/>
          <w:sz w:val="24"/>
          <w:highlight w:val="none"/>
          <w:lang w:val="zh-CN" w:bidi="ar"/>
        </w:rPr>
        <w:t>等方面的法律、法规、规章、规范性文件，参加本项目的</w:t>
      </w:r>
      <w:r>
        <w:rPr>
          <w:rFonts w:hint="eastAsia"/>
          <w:color w:val="auto"/>
          <w:kern w:val="0"/>
          <w:sz w:val="24"/>
          <w:highlight w:val="none"/>
          <w:lang w:val="en-US" w:eastAsia="zh-CN" w:bidi="ar"/>
        </w:rPr>
        <w:t>采购</w:t>
      </w:r>
      <w:r>
        <w:rPr>
          <w:color w:val="auto"/>
          <w:kern w:val="0"/>
          <w:sz w:val="24"/>
          <w:highlight w:val="none"/>
          <w:lang w:val="zh-CN" w:bidi="ar"/>
        </w:rPr>
        <w:t>活动；积极履行社会责任，促进廉政建设；</w:t>
      </w:r>
    </w:p>
    <w:p w14:paraId="5CEB93D9">
      <w:pPr>
        <w:spacing w:line="360" w:lineRule="auto"/>
        <w:ind w:firstLine="480" w:firstLineChars="200"/>
        <w:rPr>
          <w:color w:val="auto"/>
          <w:kern w:val="0"/>
          <w:sz w:val="24"/>
          <w:highlight w:val="none"/>
          <w:lang w:val="zh-CN"/>
        </w:rPr>
      </w:pPr>
      <w:r>
        <w:rPr>
          <w:color w:val="auto"/>
          <w:kern w:val="0"/>
          <w:sz w:val="24"/>
          <w:highlight w:val="none"/>
          <w:lang w:val="zh-CN" w:bidi="ar"/>
        </w:rPr>
        <w:t>三、自我约束、自我管理，守合同、重信用，不参与围标串标、弄虚作假、骗取</w:t>
      </w:r>
      <w:r>
        <w:rPr>
          <w:rFonts w:hint="eastAsia"/>
          <w:color w:val="auto"/>
          <w:kern w:val="0"/>
          <w:sz w:val="24"/>
          <w:highlight w:val="none"/>
          <w:lang w:val="zh-CN" w:bidi="ar"/>
        </w:rPr>
        <w:t>成交</w:t>
      </w:r>
      <w:r>
        <w:rPr>
          <w:color w:val="auto"/>
          <w:kern w:val="0"/>
          <w:sz w:val="24"/>
          <w:highlight w:val="none"/>
          <w:lang w:val="zh-CN" w:bidi="ar"/>
        </w:rPr>
        <w:t>、干扰评标、违约毁约、恶意投诉等行为，主动维护采购人</w:t>
      </w:r>
      <w:r>
        <w:rPr>
          <w:rFonts w:hint="eastAsia"/>
          <w:color w:val="auto"/>
          <w:kern w:val="0"/>
          <w:sz w:val="24"/>
          <w:highlight w:val="none"/>
          <w:lang w:val="en-US" w:eastAsia="zh-CN" w:bidi="ar"/>
        </w:rPr>
        <w:t>采购活动</w:t>
      </w:r>
      <w:r>
        <w:rPr>
          <w:color w:val="auto"/>
          <w:kern w:val="0"/>
          <w:sz w:val="24"/>
          <w:highlight w:val="none"/>
          <w:lang w:val="zh-CN" w:bidi="ar"/>
        </w:rPr>
        <w:t>的良好秩序；</w:t>
      </w:r>
    </w:p>
    <w:p w14:paraId="111BBD11">
      <w:pPr>
        <w:spacing w:line="360" w:lineRule="auto"/>
        <w:ind w:firstLine="480" w:firstLineChars="200"/>
        <w:rPr>
          <w:color w:val="auto"/>
          <w:kern w:val="0"/>
          <w:sz w:val="24"/>
          <w:highlight w:val="none"/>
          <w:lang w:val="zh-CN"/>
        </w:rPr>
      </w:pPr>
      <w:r>
        <w:rPr>
          <w:color w:val="auto"/>
          <w:kern w:val="0"/>
          <w:sz w:val="24"/>
          <w:highlight w:val="none"/>
          <w:lang w:val="zh-CN" w:bidi="ar"/>
        </w:rPr>
        <w:t>四、本单位自愿接受</w:t>
      </w:r>
      <w:r>
        <w:rPr>
          <w:rFonts w:hint="eastAsia"/>
          <w:color w:val="auto"/>
          <w:kern w:val="0"/>
          <w:sz w:val="24"/>
          <w:highlight w:val="none"/>
          <w:lang w:val="en-US" w:eastAsia="zh-CN" w:bidi="ar"/>
        </w:rPr>
        <w:t>采购</w:t>
      </w:r>
      <w:r>
        <w:rPr>
          <w:color w:val="auto"/>
          <w:kern w:val="0"/>
          <w:sz w:val="24"/>
          <w:highlight w:val="none"/>
          <w:lang w:val="zh-CN" w:bidi="ar"/>
        </w:rPr>
        <w:t>有关行政监督部门的依法检查。如发生违法违规或不良行为或存在其他法律法规对招标投标</w:t>
      </w:r>
      <w:r>
        <w:rPr>
          <w:rFonts w:hint="eastAsia"/>
          <w:color w:val="auto"/>
          <w:kern w:val="0"/>
          <w:sz w:val="24"/>
          <w:highlight w:val="none"/>
          <w:lang w:val="zh-CN" w:bidi="ar"/>
        </w:rPr>
        <w:t>（</w:t>
      </w:r>
      <w:r>
        <w:rPr>
          <w:rFonts w:hint="eastAsia"/>
          <w:color w:val="auto"/>
          <w:kern w:val="0"/>
          <w:sz w:val="24"/>
          <w:highlight w:val="none"/>
          <w:lang w:val="en-US" w:eastAsia="zh-CN" w:bidi="ar"/>
        </w:rPr>
        <w:t>采购活动</w:t>
      </w:r>
      <w:r>
        <w:rPr>
          <w:rFonts w:hint="eastAsia"/>
          <w:color w:val="auto"/>
          <w:kern w:val="0"/>
          <w:sz w:val="24"/>
          <w:highlight w:val="none"/>
          <w:lang w:val="zh-CN" w:bidi="ar"/>
        </w:rPr>
        <w:t>）</w:t>
      </w:r>
      <w:r>
        <w:rPr>
          <w:color w:val="auto"/>
          <w:kern w:val="0"/>
          <w:sz w:val="24"/>
          <w:highlight w:val="none"/>
          <w:lang w:val="zh-CN" w:bidi="ar"/>
        </w:rPr>
        <w:t>行为予以限制的情形，自愿接受招标投标</w:t>
      </w:r>
      <w:r>
        <w:rPr>
          <w:rFonts w:hint="eastAsia"/>
          <w:color w:val="auto"/>
          <w:kern w:val="0"/>
          <w:sz w:val="24"/>
          <w:highlight w:val="none"/>
          <w:lang w:val="zh-CN" w:bidi="ar"/>
        </w:rPr>
        <w:t>（</w:t>
      </w:r>
      <w:r>
        <w:rPr>
          <w:rFonts w:hint="eastAsia"/>
          <w:color w:val="auto"/>
          <w:kern w:val="0"/>
          <w:sz w:val="24"/>
          <w:highlight w:val="none"/>
          <w:lang w:val="en-US" w:eastAsia="zh-CN" w:bidi="ar"/>
        </w:rPr>
        <w:t>采购</w:t>
      </w:r>
      <w:r>
        <w:rPr>
          <w:rFonts w:hint="eastAsia"/>
          <w:color w:val="auto"/>
          <w:kern w:val="0"/>
          <w:sz w:val="24"/>
          <w:highlight w:val="none"/>
          <w:lang w:val="zh-CN" w:bidi="ar"/>
        </w:rPr>
        <w:t>）</w:t>
      </w:r>
      <w:r>
        <w:rPr>
          <w:color w:val="auto"/>
          <w:kern w:val="0"/>
          <w:sz w:val="24"/>
          <w:highlight w:val="none"/>
          <w:lang w:val="zh-CN" w:bidi="ar"/>
        </w:rPr>
        <w:t>有关行政监督部门依法给予的行政处罚（处理），并依法承担相应的法律责任；</w:t>
      </w:r>
    </w:p>
    <w:p w14:paraId="569F3950">
      <w:pPr>
        <w:spacing w:line="360" w:lineRule="auto"/>
        <w:ind w:firstLine="480" w:firstLineChars="200"/>
        <w:rPr>
          <w:color w:val="auto"/>
          <w:kern w:val="0"/>
          <w:sz w:val="24"/>
          <w:highlight w:val="none"/>
          <w:lang w:val="zh-CN"/>
        </w:rPr>
      </w:pPr>
      <w:r>
        <w:rPr>
          <w:color w:val="auto"/>
          <w:kern w:val="0"/>
          <w:sz w:val="24"/>
          <w:highlight w:val="none"/>
          <w:lang w:val="zh-CN" w:bidi="ar"/>
        </w:rPr>
        <w:t>五、自觉接受</w:t>
      </w:r>
      <w:r>
        <w:rPr>
          <w:color w:val="auto"/>
          <w:kern w:val="0"/>
          <w:sz w:val="24"/>
          <w:highlight w:val="none"/>
          <w:lang w:bidi="ar"/>
        </w:rPr>
        <w:t>相关</w:t>
      </w:r>
      <w:r>
        <w:rPr>
          <w:color w:val="auto"/>
          <w:kern w:val="0"/>
          <w:sz w:val="24"/>
          <w:highlight w:val="none"/>
          <w:lang w:val="zh-CN" w:bidi="ar"/>
        </w:rPr>
        <w:t>部门、行业组织、社会公众、新闻舆论等监督；</w:t>
      </w:r>
    </w:p>
    <w:p w14:paraId="68CEFD09">
      <w:pPr>
        <w:spacing w:line="360" w:lineRule="auto"/>
        <w:ind w:firstLine="480" w:firstLineChars="200"/>
        <w:rPr>
          <w:color w:val="auto"/>
          <w:kern w:val="0"/>
          <w:sz w:val="24"/>
          <w:highlight w:val="none"/>
          <w:lang w:val="zh-CN"/>
        </w:rPr>
      </w:pPr>
      <w:r>
        <w:rPr>
          <w:color w:val="auto"/>
          <w:kern w:val="0"/>
          <w:sz w:val="24"/>
          <w:highlight w:val="none"/>
          <w:lang w:val="zh-CN" w:bidi="ar"/>
        </w:rPr>
        <w:t>六、上述承诺已向本单位员工作了宣传教育；</w:t>
      </w:r>
    </w:p>
    <w:p w14:paraId="2E4D1111">
      <w:pPr>
        <w:spacing w:line="360" w:lineRule="auto"/>
        <w:ind w:firstLine="482" w:firstLineChars="200"/>
        <w:rPr>
          <w:b/>
          <w:color w:val="auto"/>
          <w:kern w:val="0"/>
          <w:sz w:val="24"/>
          <w:highlight w:val="none"/>
          <w:lang w:val="zh-CN"/>
        </w:rPr>
      </w:pPr>
      <w:r>
        <w:rPr>
          <w:b/>
          <w:color w:val="auto"/>
          <w:kern w:val="0"/>
          <w:sz w:val="24"/>
          <w:highlight w:val="none"/>
          <w:lang w:val="zh-CN" w:bidi="ar"/>
        </w:rPr>
        <w:t>如有违反上述承诺的不良行为，本单位同意将其予以上网公示。</w:t>
      </w:r>
    </w:p>
    <w:p w14:paraId="5F579AC6">
      <w:pPr>
        <w:spacing w:line="360" w:lineRule="auto"/>
        <w:rPr>
          <w:color w:val="auto"/>
          <w:kern w:val="0"/>
          <w:sz w:val="24"/>
          <w:highlight w:val="none"/>
          <w:lang w:val="zh-CN"/>
        </w:rPr>
      </w:pPr>
    </w:p>
    <w:p w14:paraId="6E9FC955">
      <w:pPr>
        <w:spacing w:line="360" w:lineRule="auto"/>
        <w:ind w:firstLine="4560" w:firstLineChars="1900"/>
        <w:rPr>
          <w:color w:val="auto"/>
          <w:kern w:val="0"/>
          <w:sz w:val="24"/>
          <w:highlight w:val="none"/>
          <w:lang w:val="zh-CN"/>
        </w:rPr>
      </w:pPr>
    </w:p>
    <w:p w14:paraId="7EE478E5">
      <w:pPr>
        <w:spacing w:line="360" w:lineRule="auto"/>
        <w:jc w:val="center"/>
        <w:rPr>
          <w:color w:val="auto"/>
          <w:kern w:val="0"/>
          <w:sz w:val="24"/>
          <w:highlight w:val="none"/>
          <w:lang w:val="zh-CN" w:bidi="ar"/>
        </w:rPr>
      </w:pPr>
      <w:r>
        <w:rPr>
          <w:color w:val="auto"/>
          <w:sz w:val="24"/>
          <w:highlight w:val="none"/>
        </w:rPr>
        <w:t xml:space="preserve">   </w:t>
      </w:r>
      <w:r>
        <w:rPr>
          <w:rFonts w:hint="eastAsia"/>
          <w:color w:val="auto"/>
          <w:sz w:val="24"/>
          <w:highlight w:val="none"/>
          <w:lang w:val="en-US" w:eastAsia="zh-CN"/>
        </w:rPr>
        <w:t>供应商</w:t>
      </w:r>
      <w:r>
        <w:rPr>
          <w:bCs/>
          <w:color w:val="auto"/>
          <w:sz w:val="24"/>
          <w:szCs w:val="21"/>
          <w:highlight w:val="none"/>
        </w:rPr>
        <w:t>（盖单位公章）</w:t>
      </w:r>
      <w:r>
        <w:rPr>
          <w:color w:val="auto"/>
          <w:sz w:val="24"/>
          <w:highlight w:val="none"/>
        </w:rPr>
        <w:t>：</w:t>
      </w:r>
    </w:p>
    <w:p w14:paraId="751CDD2B">
      <w:pPr>
        <w:spacing w:line="360" w:lineRule="auto"/>
        <w:jc w:val="center"/>
        <w:rPr>
          <w:color w:val="auto"/>
          <w:sz w:val="24"/>
          <w:highlight w:val="none"/>
          <w:u w:val="single"/>
          <w:lang w:val="zh-CN"/>
        </w:rPr>
      </w:pPr>
      <w:r>
        <w:rPr>
          <w:color w:val="auto"/>
          <w:kern w:val="0"/>
          <w:sz w:val="24"/>
          <w:highlight w:val="none"/>
          <w:lang w:bidi="ar"/>
        </w:rPr>
        <w:t xml:space="preserve">                      </w:t>
      </w:r>
      <w:r>
        <w:rPr>
          <w:color w:val="auto"/>
          <w:kern w:val="0"/>
          <w:sz w:val="24"/>
          <w:highlight w:val="none"/>
          <w:lang w:val="zh-CN" w:bidi="ar"/>
        </w:rPr>
        <w:t>法定代表人或</w:t>
      </w:r>
      <w:r>
        <w:rPr>
          <w:color w:val="auto"/>
          <w:kern w:val="0"/>
          <w:sz w:val="24"/>
          <w:highlight w:val="none"/>
          <w:lang w:bidi="ar"/>
        </w:rPr>
        <w:t>其委托代理人</w:t>
      </w:r>
      <w:r>
        <w:rPr>
          <w:color w:val="auto"/>
          <w:kern w:val="0"/>
          <w:sz w:val="24"/>
          <w:highlight w:val="none"/>
          <w:lang w:val="zh-CN" w:bidi="ar"/>
        </w:rPr>
        <w:t>（签字或盖章）：</w:t>
      </w:r>
    </w:p>
    <w:p w14:paraId="2A4E06F2">
      <w:pPr>
        <w:wordWrap w:val="0"/>
        <w:snapToGrid w:val="0"/>
        <w:spacing w:line="460" w:lineRule="exact"/>
        <w:jc w:val="right"/>
        <w:rPr>
          <w:rFonts w:ascii="宋体" w:hAnsi="宋体"/>
          <w:bCs/>
          <w:color w:val="auto"/>
          <w:sz w:val="24"/>
          <w:highlight w:val="none"/>
        </w:rPr>
      </w:pPr>
      <w:r>
        <w:rPr>
          <w:color w:val="auto"/>
          <w:kern w:val="0"/>
          <w:sz w:val="24"/>
          <w:highlight w:val="none"/>
          <w:lang w:bidi="ar"/>
        </w:rPr>
        <w:t xml:space="preserve">     </w:t>
      </w:r>
      <w:r>
        <w:rPr>
          <w:color w:val="auto"/>
          <w:kern w:val="0"/>
          <w:sz w:val="24"/>
          <w:highlight w:val="none"/>
          <w:lang w:val="zh-CN" w:bidi="ar"/>
        </w:rPr>
        <w:t xml:space="preserve">  年  月   日</w:t>
      </w:r>
    </w:p>
    <w:p w14:paraId="7A4BBB31">
      <w:pPr>
        <w:spacing w:line="360" w:lineRule="auto"/>
        <w:jc w:val="left"/>
        <w:rPr>
          <w:rFonts w:ascii="宋体" w:hAnsi="宋体" w:cs="宋体"/>
          <w:b/>
          <w:bCs/>
          <w:color w:val="auto"/>
          <w:sz w:val="24"/>
          <w:highlight w:val="none"/>
        </w:rPr>
      </w:pPr>
      <w:r>
        <w:rPr>
          <w:rFonts w:ascii="宋体" w:hAnsi="宋体" w:cs="宋体"/>
          <w:b/>
          <w:bCs/>
          <w:color w:val="auto"/>
          <w:sz w:val="24"/>
          <w:highlight w:val="none"/>
        </w:rPr>
        <w:br w:type="page"/>
      </w:r>
      <w:r>
        <w:rPr>
          <w:rFonts w:hint="eastAsia" w:ascii="宋体" w:hAnsi="宋体" w:cs="宋体"/>
          <w:b/>
          <w:bCs/>
          <w:color w:val="auto"/>
          <w:sz w:val="24"/>
          <w:highlight w:val="none"/>
        </w:rPr>
        <w:t>二、商务技术标相关的格式文件及表格</w:t>
      </w:r>
    </w:p>
    <w:p w14:paraId="2626C935">
      <w:pPr>
        <w:spacing w:line="360" w:lineRule="auto"/>
        <w:jc w:val="center"/>
        <w:rPr>
          <w:rFonts w:ascii="宋体" w:hAnsi="宋体" w:cs="宋体"/>
          <w:b/>
          <w:bCs/>
          <w:color w:val="auto"/>
          <w:sz w:val="24"/>
          <w:highlight w:val="none"/>
        </w:rPr>
      </w:pPr>
      <w:r>
        <w:rPr>
          <w:rFonts w:hint="eastAsia" w:ascii="宋体" w:hAnsi="宋体" w:cs="宋体"/>
          <w:b/>
          <w:color w:val="auto"/>
          <w:sz w:val="24"/>
          <w:highlight w:val="none"/>
        </w:rPr>
        <w:t>1</w:t>
      </w:r>
      <w:r>
        <w:rPr>
          <w:rFonts w:hint="eastAsia" w:ascii="宋体" w:hAnsi="宋体" w:cs="宋体"/>
          <w:b/>
          <w:bCs/>
          <w:color w:val="auto"/>
          <w:sz w:val="24"/>
          <w:highlight w:val="none"/>
        </w:rPr>
        <w:t>、竞争性磋商响应函</w:t>
      </w:r>
    </w:p>
    <w:p w14:paraId="338DD462">
      <w:pPr>
        <w:spacing w:line="360" w:lineRule="auto"/>
        <w:rPr>
          <w:rFonts w:ascii="宋体" w:hAnsi="宋体" w:cs="宋体"/>
          <w:color w:val="auto"/>
          <w:sz w:val="24"/>
          <w:highlight w:val="none"/>
        </w:rPr>
      </w:pPr>
      <w:r>
        <w:rPr>
          <w:rFonts w:hint="eastAsia" w:ascii="宋体" w:hAnsi="宋体" w:cs="宋体"/>
          <w:color w:val="auto"/>
          <w:sz w:val="24"/>
          <w:highlight w:val="none"/>
          <w:u w:val="single"/>
        </w:rPr>
        <w:t>致    （采购人）    ：</w:t>
      </w:r>
    </w:p>
    <w:p w14:paraId="5A7769AE">
      <w:pPr>
        <w:pStyle w:val="12"/>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根据贵方的</w:t>
      </w:r>
      <w:r>
        <w:rPr>
          <w:rFonts w:hint="eastAsia" w:ascii="Times New Roman" w:hAnsi="Times New Roman" w:cs="Times New Roman"/>
          <w:color w:val="auto"/>
          <w:highlight w:val="none"/>
          <w:u w:val="single"/>
        </w:rPr>
        <w:t>（竞争性磋商项目名称和项目编号）</w:t>
      </w:r>
      <w:r>
        <w:rPr>
          <w:rFonts w:ascii="Times New Roman" w:hAnsi="Times New Roman" w:cs="Times New Roman"/>
          <w:color w:val="auto"/>
          <w:highlight w:val="none"/>
        </w:rPr>
        <w:t>磋商文件，正式授权下述签字人</w:t>
      </w:r>
      <w:r>
        <w:rPr>
          <w:rFonts w:ascii="Times New Roman" w:hAnsi="Times New Roman" w:cs="Times New Roman"/>
          <w:color w:val="auto"/>
          <w:highlight w:val="none"/>
          <w:u w:val="single"/>
        </w:rPr>
        <w:t xml:space="preserve">         (姓名和职务)</w:t>
      </w:r>
      <w:r>
        <w:rPr>
          <w:rFonts w:ascii="Times New Roman" w:hAnsi="Times New Roman" w:cs="Times New Roman"/>
          <w:color w:val="auto"/>
          <w:highlight w:val="none"/>
        </w:rPr>
        <w:t>代表我方</w:t>
      </w:r>
      <w:r>
        <w:rPr>
          <w:rFonts w:ascii="Times New Roman" w:hAnsi="Times New Roman" w:cs="Times New Roman"/>
          <w:color w:val="auto"/>
          <w:highlight w:val="none"/>
          <w:u w:val="single"/>
        </w:rPr>
        <w:t xml:space="preserve">         （供应商的名称）</w:t>
      </w:r>
      <w:r>
        <w:rPr>
          <w:rFonts w:ascii="Times New Roman" w:hAnsi="Times New Roman" w:cs="Times New Roman"/>
          <w:color w:val="auto"/>
          <w:highlight w:val="none"/>
        </w:rPr>
        <w:t>，全权处理本次项目磋商采购的有关事宜。</w:t>
      </w:r>
    </w:p>
    <w:p w14:paraId="3BAF81E7">
      <w:pPr>
        <w:pStyle w:val="12"/>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据此函，</w:t>
      </w:r>
      <w:r>
        <w:rPr>
          <w:rFonts w:ascii="Times New Roman" w:hAnsi="Times New Roman" w:cs="Times New Roman"/>
          <w:color w:val="auto"/>
          <w:highlight w:val="none"/>
          <w:u w:val="single"/>
        </w:rPr>
        <w:t xml:space="preserve">       （签字人</w:t>
      </w:r>
      <w:r>
        <w:rPr>
          <w:rFonts w:hint="eastAsia" w:ascii="Times New Roman" w:hAnsi="Times New Roman" w:cs="Times New Roman"/>
          <w:color w:val="auto"/>
          <w:highlight w:val="none"/>
          <w:u w:val="single"/>
        </w:rPr>
        <w:t>姓名</w:t>
      </w:r>
      <w:r>
        <w:rPr>
          <w:rFonts w:ascii="Times New Roman" w:hAnsi="Times New Roman" w:cs="Times New Roman"/>
          <w:color w:val="auto"/>
          <w:highlight w:val="none"/>
          <w:u w:val="single"/>
        </w:rPr>
        <w:t>）</w:t>
      </w:r>
      <w:r>
        <w:rPr>
          <w:rFonts w:ascii="Times New Roman" w:hAnsi="Times New Roman" w:cs="Times New Roman"/>
          <w:color w:val="auto"/>
          <w:highlight w:val="none"/>
        </w:rPr>
        <w:t>兹宣布同意如下：</w:t>
      </w:r>
    </w:p>
    <w:p w14:paraId="2079F55F">
      <w:pPr>
        <w:pStyle w:val="12"/>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1.按磋商文件规定的各项要求，向买方提供所需货物、服务。</w:t>
      </w:r>
    </w:p>
    <w:p w14:paraId="46D97422">
      <w:pPr>
        <w:pStyle w:val="12"/>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2.我们已详细审核全部磋商文件及其有效补充文件，我们知道必须放弃提出含糊不清或误解问题的权利。</w:t>
      </w:r>
    </w:p>
    <w:p w14:paraId="032359DB">
      <w:pPr>
        <w:pStyle w:val="12"/>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3.我们同意从规定的响应文件接收截止时间起遵循本响应文件，并在规定的磋商、有效期期满之前均具有约束力。</w:t>
      </w:r>
    </w:p>
    <w:p w14:paraId="6A5986CC">
      <w:pPr>
        <w:pStyle w:val="12"/>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4.同意向贵方提供贵方可能另外要求的与磋商采购有关的任何证据或资料，并保证我方已提供和将要提供的文件是真实的、准确的。</w:t>
      </w:r>
    </w:p>
    <w:p w14:paraId="4BFB268F">
      <w:pPr>
        <w:pStyle w:val="12"/>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5.一旦我方成交，我方将根据磋商文件的规定，严格履行合同的责任和义务，并保证在磋商文件规定的时间完成项目，交付买方验收、使用。</w:t>
      </w:r>
    </w:p>
    <w:p w14:paraId="1756E32B">
      <w:pPr>
        <w:pStyle w:val="12"/>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6.遵守磋商文件中要求的收费项目和标准。</w:t>
      </w:r>
    </w:p>
    <w:p w14:paraId="3F7ED9E2">
      <w:pPr>
        <w:pStyle w:val="12"/>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7.与本磋商采购有关的正式通讯地址为：</w:t>
      </w:r>
    </w:p>
    <w:p w14:paraId="2C2DDD08">
      <w:pPr>
        <w:widowControl/>
        <w:shd w:val="clear" w:color="auto" w:fill="FFFFFF"/>
        <w:wordWrap w:val="0"/>
        <w:spacing w:line="480" w:lineRule="exact"/>
        <w:ind w:firstLine="480" w:firstLineChars="200"/>
        <w:jc w:val="left"/>
        <w:rPr>
          <w:rFonts w:ascii="宋体" w:hAnsi="宋体" w:cs="Tahoma"/>
          <w:color w:val="auto"/>
          <w:kern w:val="0"/>
          <w:sz w:val="24"/>
          <w:highlight w:val="none"/>
        </w:rPr>
      </w:pPr>
      <w:r>
        <w:rPr>
          <w:rFonts w:hint="eastAsia" w:ascii="宋体" w:hAnsi="宋体" w:cs="Tahoma"/>
          <w:color w:val="auto"/>
          <w:kern w:val="0"/>
          <w:sz w:val="24"/>
          <w:highlight w:val="none"/>
        </w:rPr>
        <w:t>地址</w:t>
      </w:r>
      <w:r>
        <w:rPr>
          <w:rFonts w:hint="eastAsia" w:ascii="宋体" w:hAnsi="宋体" w:cs="Tahoma"/>
          <w:color w:val="auto"/>
          <w:kern w:val="0"/>
          <w:sz w:val="24"/>
          <w:highlight w:val="none"/>
          <w:u w:val="single"/>
        </w:rPr>
        <w:t xml:space="preserve">：            </w:t>
      </w:r>
    </w:p>
    <w:p w14:paraId="1146C36F">
      <w:pPr>
        <w:widowControl/>
        <w:shd w:val="clear" w:color="auto" w:fill="FFFFFF"/>
        <w:wordWrap w:val="0"/>
        <w:spacing w:line="480" w:lineRule="exact"/>
        <w:ind w:firstLine="480" w:firstLineChars="200"/>
        <w:jc w:val="left"/>
        <w:rPr>
          <w:rFonts w:ascii="宋体" w:hAnsi="宋体" w:cs="Tahoma"/>
          <w:color w:val="auto"/>
          <w:kern w:val="0"/>
          <w:sz w:val="24"/>
          <w:highlight w:val="none"/>
        </w:rPr>
      </w:pPr>
      <w:r>
        <w:rPr>
          <w:rFonts w:hint="eastAsia" w:ascii="宋体" w:hAnsi="宋体" w:cs="Tahoma"/>
          <w:color w:val="auto"/>
          <w:kern w:val="0"/>
          <w:sz w:val="24"/>
          <w:highlight w:val="none"/>
        </w:rPr>
        <w:t>邮编</w:t>
      </w:r>
      <w:r>
        <w:rPr>
          <w:rFonts w:hint="eastAsia" w:ascii="宋体" w:hAnsi="宋体" w:cs="Tahoma"/>
          <w:color w:val="auto"/>
          <w:kern w:val="0"/>
          <w:sz w:val="24"/>
          <w:highlight w:val="none"/>
          <w:u w:val="single"/>
        </w:rPr>
        <w:t xml:space="preserve">：            </w:t>
      </w:r>
    </w:p>
    <w:p w14:paraId="4D0F948D">
      <w:pPr>
        <w:widowControl/>
        <w:shd w:val="clear" w:color="auto" w:fill="FFFFFF"/>
        <w:wordWrap w:val="0"/>
        <w:spacing w:line="480" w:lineRule="exact"/>
        <w:ind w:firstLine="480" w:firstLineChars="200"/>
        <w:jc w:val="left"/>
        <w:rPr>
          <w:rFonts w:ascii="宋体" w:hAnsi="宋体" w:cs="Tahoma"/>
          <w:color w:val="auto"/>
          <w:kern w:val="0"/>
          <w:sz w:val="24"/>
          <w:highlight w:val="none"/>
        </w:rPr>
      </w:pPr>
      <w:r>
        <w:rPr>
          <w:rFonts w:hint="eastAsia" w:ascii="宋体" w:hAnsi="宋体" w:cs="Tahoma"/>
          <w:color w:val="auto"/>
          <w:kern w:val="0"/>
          <w:sz w:val="24"/>
          <w:highlight w:val="none"/>
        </w:rPr>
        <w:t>电话</w:t>
      </w:r>
      <w:r>
        <w:rPr>
          <w:rFonts w:hint="eastAsia" w:ascii="宋体" w:hAnsi="宋体" w:cs="Tahoma"/>
          <w:color w:val="auto"/>
          <w:kern w:val="0"/>
          <w:sz w:val="24"/>
          <w:highlight w:val="none"/>
          <w:u w:val="single"/>
        </w:rPr>
        <w:t xml:space="preserve">：            </w:t>
      </w:r>
    </w:p>
    <w:p w14:paraId="10784F8C">
      <w:pPr>
        <w:widowControl/>
        <w:shd w:val="clear" w:color="auto" w:fill="FFFFFF"/>
        <w:wordWrap w:val="0"/>
        <w:spacing w:line="480" w:lineRule="exact"/>
        <w:ind w:firstLine="480" w:firstLineChars="200"/>
        <w:jc w:val="left"/>
        <w:rPr>
          <w:rFonts w:ascii="宋体" w:hAnsi="宋体" w:cs="Tahoma"/>
          <w:color w:val="auto"/>
          <w:kern w:val="0"/>
          <w:sz w:val="24"/>
          <w:highlight w:val="none"/>
        </w:rPr>
      </w:pPr>
      <w:r>
        <w:rPr>
          <w:rFonts w:hint="eastAsia" w:ascii="宋体" w:hAnsi="宋体" w:cs="Tahoma"/>
          <w:color w:val="auto"/>
          <w:kern w:val="0"/>
          <w:sz w:val="24"/>
          <w:highlight w:val="none"/>
        </w:rPr>
        <w:t>传真</w:t>
      </w:r>
      <w:r>
        <w:rPr>
          <w:rFonts w:hint="eastAsia" w:ascii="宋体" w:hAnsi="宋体" w:cs="Tahoma"/>
          <w:color w:val="auto"/>
          <w:kern w:val="0"/>
          <w:sz w:val="24"/>
          <w:highlight w:val="none"/>
          <w:u w:val="single"/>
        </w:rPr>
        <w:t xml:space="preserve">：            </w:t>
      </w:r>
    </w:p>
    <w:p w14:paraId="01F92147">
      <w:pPr>
        <w:widowControl/>
        <w:shd w:val="clear" w:color="auto" w:fill="FFFFFF"/>
        <w:wordWrap w:val="0"/>
        <w:spacing w:line="480" w:lineRule="exact"/>
        <w:ind w:firstLine="480" w:firstLineChars="200"/>
        <w:jc w:val="left"/>
        <w:rPr>
          <w:rFonts w:ascii="宋体" w:hAnsi="宋体" w:cs="Tahoma"/>
          <w:color w:val="auto"/>
          <w:kern w:val="0"/>
          <w:sz w:val="24"/>
          <w:highlight w:val="none"/>
        </w:rPr>
      </w:pPr>
      <w:r>
        <w:rPr>
          <w:rFonts w:hint="eastAsia" w:ascii="宋体" w:hAnsi="宋体" w:cs="Tahoma"/>
          <w:color w:val="auto"/>
          <w:kern w:val="0"/>
          <w:sz w:val="24"/>
          <w:highlight w:val="none"/>
        </w:rPr>
        <w:t>供应商开户行</w:t>
      </w:r>
      <w:r>
        <w:rPr>
          <w:rFonts w:hint="eastAsia" w:ascii="宋体" w:hAnsi="宋体" w:cs="Tahoma"/>
          <w:color w:val="auto"/>
          <w:kern w:val="0"/>
          <w:sz w:val="24"/>
          <w:highlight w:val="none"/>
          <w:u w:val="single"/>
        </w:rPr>
        <w:t xml:space="preserve">：            </w:t>
      </w:r>
    </w:p>
    <w:p w14:paraId="52CF17D8">
      <w:pPr>
        <w:widowControl/>
        <w:shd w:val="clear" w:color="auto" w:fill="FFFFFF"/>
        <w:wordWrap w:val="0"/>
        <w:spacing w:line="480" w:lineRule="exact"/>
        <w:ind w:firstLine="480" w:firstLineChars="200"/>
        <w:jc w:val="left"/>
        <w:rPr>
          <w:rFonts w:ascii="宋体" w:hAnsi="宋体" w:cs="Tahoma"/>
          <w:color w:val="auto"/>
          <w:kern w:val="0"/>
          <w:sz w:val="24"/>
          <w:highlight w:val="none"/>
        </w:rPr>
      </w:pPr>
      <w:r>
        <w:rPr>
          <w:rFonts w:hint="eastAsia" w:ascii="宋体" w:hAnsi="宋体" w:cs="Tahoma"/>
          <w:color w:val="auto"/>
          <w:kern w:val="0"/>
          <w:sz w:val="24"/>
          <w:highlight w:val="none"/>
        </w:rPr>
        <w:t>账户</w:t>
      </w:r>
      <w:r>
        <w:rPr>
          <w:rFonts w:hint="eastAsia" w:ascii="宋体" w:hAnsi="宋体" w:cs="Tahoma"/>
          <w:color w:val="auto"/>
          <w:kern w:val="0"/>
          <w:sz w:val="24"/>
          <w:highlight w:val="none"/>
          <w:u w:val="single"/>
        </w:rPr>
        <w:t xml:space="preserve">：            </w:t>
      </w:r>
    </w:p>
    <w:p w14:paraId="13C37A42">
      <w:pPr>
        <w:widowControl/>
        <w:shd w:val="clear" w:color="auto" w:fill="FFFFFF"/>
        <w:wordWrap w:val="0"/>
        <w:spacing w:line="480" w:lineRule="exact"/>
        <w:jc w:val="left"/>
        <w:rPr>
          <w:rFonts w:ascii="宋体" w:hAnsi="宋体" w:cs="Tahoma"/>
          <w:color w:val="auto"/>
          <w:kern w:val="0"/>
          <w:sz w:val="24"/>
          <w:highlight w:val="none"/>
        </w:rPr>
      </w:pPr>
    </w:p>
    <w:p w14:paraId="12446AC7">
      <w:pPr>
        <w:kinsoku w:val="0"/>
        <w:topLinePunct/>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供应商：（盖章）             </w:t>
      </w:r>
    </w:p>
    <w:p w14:paraId="32123A4B">
      <w:pPr>
        <w:kinsoku w:val="0"/>
        <w:topLinePunct/>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法定代表人或被授权人（签字或盖章）：</w:t>
      </w:r>
    </w:p>
    <w:p w14:paraId="5985572F">
      <w:pPr>
        <w:kinsoku w:val="0"/>
        <w:topLinePunct/>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日期：</w:t>
      </w:r>
    </w:p>
    <w:p w14:paraId="5ED5A93E">
      <w:pPr>
        <w:spacing w:line="360" w:lineRule="auto"/>
        <w:jc w:val="center"/>
        <w:rPr>
          <w:rFonts w:ascii="宋体" w:hAnsi="宋体" w:cs="宋体"/>
          <w:b/>
          <w:color w:val="auto"/>
          <w:sz w:val="24"/>
          <w:highlight w:val="none"/>
        </w:rPr>
      </w:pPr>
      <w:r>
        <w:rPr>
          <w:rFonts w:ascii="宋体" w:hAnsi="宋体" w:cs="宋体"/>
          <w:b/>
          <w:bCs/>
          <w:color w:val="auto"/>
          <w:sz w:val="24"/>
          <w:highlight w:val="none"/>
        </w:rPr>
        <w:br w:type="page"/>
      </w:r>
      <w:r>
        <w:rPr>
          <w:rFonts w:hint="eastAsia" w:ascii="宋体" w:hAnsi="宋体" w:cs="宋体"/>
          <w:b/>
          <w:bCs/>
          <w:color w:val="auto"/>
          <w:sz w:val="24"/>
          <w:highlight w:val="none"/>
        </w:rPr>
        <w:t>2、</w:t>
      </w:r>
      <w:r>
        <w:rPr>
          <w:rFonts w:hint="eastAsia" w:ascii="宋体" w:hAnsi="宋体" w:cs="宋体"/>
          <w:b/>
          <w:color w:val="auto"/>
          <w:sz w:val="24"/>
          <w:highlight w:val="none"/>
        </w:rPr>
        <w:t>技术部分正负偏离表</w:t>
      </w:r>
    </w:p>
    <w:p w14:paraId="11D93A40">
      <w:pPr>
        <w:jc w:val="center"/>
        <w:rPr>
          <w:rFonts w:ascii="宋体" w:hAnsi="宋体"/>
          <w:color w:val="auto"/>
          <w:sz w:val="24"/>
          <w:highlight w:val="none"/>
        </w:rPr>
      </w:pPr>
      <w:r>
        <w:rPr>
          <w:color w:val="auto"/>
          <w:sz w:val="28"/>
          <w:szCs w:val="28"/>
          <w:highlight w:val="none"/>
        </w:rPr>
        <w:t>（由</w:t>
      </w:r>
      <w:r>
        <w:rPr>
          <w:rFonts w:hint="eastAsia"/>
          <w:color w:val="auto"/>
          <w:sz w:val="28"/>
          <w:szCs w:val="28"/>
          <w:highlight w:val="none"/>
          <w:lang w:val="en-US" w:eastAsia="zh-CN"/>
        </w:rPr>
        <w:t>供应商</w:t>
      </w:r>
      <w:r>
        <w:rPr>
          <w:color w:val="auto"/>
          <w:sz w:val="28"/>
          <w:szCs w:val="28"/>
          <w:highlight w:val="none"/>
        </w:rPr>
        <w:t>据实填写，表格不够自行添加）</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7"/>
        <w:gridCol w:w="1174"/>
      </w:tblGrid>
      <w:tr w14:paraId="45A8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14:paraId="787BD784">
            <w:pPr>
              <w:jc w:val="center"/>
              <w:rPr>
                <w:rFonts w:ascii="宋体" w:hAnsi="宋体"/>
                <w:color w:val="auto"/>
                <w:sz w:val="24"/>
                <w:highlight w:val="none"/>
              </w:rPr>
            </w:pPr>
            <w:r>
              <w:rPr>
                <w:rFonts w:hint="eastAsia" w:ascii="宋体" w:hAnsi="宋体"/>
                <w:color w:val="auto"/>
                <w:sz w:val="24"/>
                <w:highlight w:val="none"/>
              </w:rPr>
              <w:t>序号</w:t>
            </w:r>
          </w:p>
        </w:tc>
        <w:tc>
          <w:tcPr>
            <w:tcW w:w="2852" w:type="dxa"/>
            <w:noWrap/>
            <w:vAlign w:val="center"/>
          </w:tcPr>
          <w:p w14:paraId="65D7A509">
            <w:pPr>
              <w:jc w:val="center"/>
              <w:rPr>
                <w:rFonts w:ascii="宋体" w:hAnsi="宋体"/>
                <w:color w:val="auto"/>
                <w:sz w:val="24"/>
                <w:highlight w:val="none"/>
              </w:rPr>
            </w:pPr>
            <w:r>
              <w:rPr>
                <w:rFonts w:hint="eastAsia" w:ascii="宋体" w:hAnsi="宋体"/>
                <w:color w:val="auto"/>
                <w:sz w:val="24"/>
                <w:highlight w:val="none"/>
              </w:rPr>
              <w:t>磋商要求</w:t>
            </w:r>
          </w:p>
        </w:tc>
        <w:tc>
          <w:tcPr>
            <w:tcW w:w="2852" w:type="dxa"/>
            <w:noWrap/>
            <w:vAlign w:val="center"/>
          </w:tcPr>
          <w:p w14:paraId="413993AC">
            <w:pPr>
              <w:jc w:val="center"/>
              <w:rPr>
                <w:rFonts w:ascii="宋体" w:hAnsi="宋体"/>
                <w:color w:val="auto"/>
                <w:sz w:val="24"/>
                <w:highlight w:val="none"/>
              </w:rPr>
            </w:pPr>
            <w:r>
              <w:rPr>
                <w:rFonts w:hint="eastAsia" w:ascii="宋体" w:hAnsi="宋体"/>
                <w:color w:val="auto"/>
                <w:sz w:val="24"/>
                <w:highlight w:val="none"/>
              </w:rPr>
              <w:t>磋商响应</w:t>
            </w:r>
          </w:p>
        </w:tc>
        <w:tc>
          <w:tcPr>
            <w:tcW w:w="1307" w:type="dxa"/>
            <w:noWrap/>
            <w:vAlign w:val="center"/>
          </w:tcPr>
          <w:p w14:paraId="282357FE">
            <w:pPr>
              <w:jc w:val="center"/>
              <w:rPr>
                <w:rFonts w:ascii="宋体" w:hAnsi="宋体"/>
                <w:color w:val="auto"/>
                <w:sz w:val="24"/>
                <w:highlight w:val="none"/>
              </w:rPr>
            </w:pPr>
            <w:r>
              <w:rPr>
                <w:rFonts w:hint="eastAsia" w:ascii="宋体" w:hAnsi="宋体"/>
                <w:color w:val="auto"/>
                <w:sz w:val="24"/>
                <w:highlight w:val="none"/>
              </w:rPr>
              <w:t>超出、符合或偏离</w:t>
            </w:r>
          </w:p>
        </w:tc>
        <w:tc>
          <w:tcPr>
            <w:tcW w:w="1174" w:type="dxa"/>
            <w:noWrap/>
            <w:vAlign w:val="center"/>
          </w:tcPr>
          <w:p w14:paraId="600A36C5">
            <w:pPr>
              <w:jc w:val="center"/>
              <w:rPr>
                <w:rFonts w:ascii="宋体" w:hAnsi="宋体"/>
                <w:color w:val="auto"/>
                <w:sz w:val="24"/>
                <w:highlight w:val="none"/>
              </w:rPr>
            </w:pPr>
            <w:r>
              <w:rPr>
                <w:rFonts w:hint="eastAsia" w:ascii="宋体" w:hAnsi="宋体"/>
                <w:color w:val="auto"/>
                <w:sz w:val="24"/>
                <w:highlight w:val="none"/>
              </w:rPr>
              <w:t>原因</w:t>
            </w:r>
          </w:p>
        </w:tc>
      </w:tr>
      <w:tr w14:paraId="1AF8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3821BDF2">
            <w:pPr>
              <w:jc w:val="center"/>
              <w:rPr>
                <w:rFonts w:ascii="宋体" w:hAnsi="宋体"/>
                <w:color w:val="auto"/>
                <w:sz w:val="24"/>
                <w:highlight w:val="none"/>
              </w:rPr>
            </w:pPr>
          </w:p>
        </w:tc>
        <w:tc>
          <w:tcPr>
            <w:tcW w:w="2852" w:type="dxa"/>
            <w:noWrap/>
          </w:tcPr>
          <w:p w14:paraId="1E053FE9">
            <w:pPr>
              <w:jc w:val="center"/>
              <w:rPr>
                <w:rFonts w:ascii="宋体" w:hAnsi="宋体"/>
                <w:color w:val="auto"/>
                <w:sz w:val="24"/>
                <w:highlight w:val="none"/>
              </w:rPr>
            </w:pPr>
          </w:p>
        </w:tc>
        <w:tc>
          <w:tcPr>
            <w:tcW w:w="2852" w:type="dxa"/>
            <w:noWrap/>
          </w:tcPr>
          <w:p w14:paraId="1456DD8A">
            <w:pPr>
              <w:jc w:val="center"/>
              <w:rPr>
                <w:rFonts w:ascii="宋体" w:hAnsi="宋体"/>
                <w:color w:val="auto"/>
                <w:sz w:val="24"/>
                <w:highlight w:val="none"/>
              </w:rPr>
            </w:pPr>
          </w:p>
        </w:tc>
        <w:tc>
          <w:tcPr>
            <w:tcW w:w="1307" w:type="dxa"/>
            <w:noWrap/>
          </w:tcPr>
          <w:p w14:paraId="2A070448">
            <w:pPr>
              <w:jc w:val="center"/>
              <w:rPr>
                <w:rFonts w:ascii="宋体" w:hAnsi="宋体"/>
                <w:color w:val="auto"/>
                <w:sz w:val="24"/>
                <w:highlight w:val="none"/>
              </w:rPr>
            </w:pPr>
          </w:p>
        </w:tc>
        <w:tc>
          <w:tcPr>
            <w:tcW w:w="1174" w:type="dxa"/>
            <w:noWrap/>
          </w:tcPr>
          <w:p w14:paraId="0A2069FE">
            <w:pPr>
              <w:jc w:val="center"/>
              <w:rPr>
                <w:rFonts w:ascii="宋体" w:hAnsi="宋体"/>
                <w:color w:val="auto"/>
                <w:sz w:val="24"/>
                <w:highlight w:val="none"/>
              </w:rPr>
            </w:pPr>
          </w:p>
        </w:tc>
      </w:tr>
      <w:tr w14:paraId="72C3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221FCDED">
            <w:pPr>
              <w:jc w:val="center"/>
              <w:rPr>
                <w:rFonts w:ascii="宋体" w:hAnsi="宋体"/>
                <w:color w:val="auto"/>
                <w:sz w:val="24"/>
                <w:highlight w:val="none"/>
              </w:rPr>
            </w:pPr>
          </w:p>
        </w:tc>
        <w:tc>
          <w:tcPr>
            <w:tcW w:w="2852" w:type="dxa"/>
            <w:noWrap/>
          </w:tcPr>
          <w:p w14:paraId="52214BF6">
            <w:pPr>
              <w:jc w:val="center"/>
              <w:rPr>
                <w:rFonts w:ascii="宋体" w:hAnsi="宋体"/>
                <w:color w:val="auto"/>
                <w:sz w:val="24"/>
                <w:highlight w:val="none"/>
              </w:rPr>
            </w:pPr>
          </w:p>
        </w:tc>
        <w:tc>
          <w:tcPr>
            <w:tcW w:w="2852" w:type="dxa"/>
            <w:noWrap/>
          </w:tcPr>
          <w:p w14:paraId="0DA36B77">
            <w:pPr>
              <w:jc w:val="center"/>
              <w:rPr>
                <w:rFonts w:ascii="宋体" w:hAnsi="宋体"/>
                <w:color w:val="auto"/>
                <w:sz w:val="24"/>
                <w:highlight w:val="none"/>
              </w:rPr>
            </w:pPr>
          </w:p>
        </w:tc>
        <w:tc>
          <w:tcPr>
            <w:tcW w:w="1307" w:type="dxa"/>
            <w:noWrap/>
          </w:tcPr>
          <w:p w14:paraId="49F3B1A6">
            <w:pPr>
              <w:jc w:val="center"/>
              <w:rPr>
                <w:rFonts w:ascii="宋体" w:hAnsi="宋体"/>
                <w:color w:val="auto"/>
                <w:sz w:val="24"/>
                <w:highlight w:val="none"/>
              </w:rPr>
            </w:pPr>
          </w:p>
        </w:tc>
        <w:tc>
          <w:tcPr>
            <w:tcW w:w="1174" w:type="dxa"/>
            <w:noWrap/>
          </w:tcPr>
          <w:p w14:paraId="6BBD2260">
            <w:pPr>
              <w:jc w:val="center"/>
              <w:rPr>
                <w:rFonts w:ascii="宋体" w:hAnsi="宋体"/>
                <w:color w:val="auto"/>
                <w:sz w:val="24"/>
                <w:highlight w:val="none"/>
              </w:rPr>
            </w:pPr>
          </w:p>
        </w:tc>
      </w:tr>
      <w:tr w14:paraId="21EFE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3E9D9DF4">
            <w:pPr>
              <w:jc w:val="center"/>
              <w:rPr>
                <w:rFonts w:ascii="宋体" w:hAnsi="宋体"/>
                <w:color w:val="auto"/>
                <w:sz w:val="24"/>
                <w:highlight w:val="none"/>
              </w:rPr>
            </w:pPr>
          </w:p>
        </w:tc>
        <w:tc>
          <w:tcPr>
            <w:tcW w:w="2852" w:type="dxa"/>
            <w:noWrap/>
          </w:tcPr>
          <w:p w14:paraId="45E672C0">
            <w:pPr>
              <w:jc w:val="center"/>
              <w:rPr>
                <w:rFonts w:ascii="宋体" w:hAnsi="宋体"/>
                <w:color w:val="auto"/>
                <w:sz w:val="24"/>
                <w:highlight w:val="none"/>
              </w:rPr>
            </w:pPr>
          </w:p>
        </w:tc>
        <w:tc>
          <w:tcPr>
            <w:tcW w:w="2852" w:type="dxa"/>
            <w:noWrap/>
          </w:tcPr>
          <w:p w14:paraId="31E8EC94">
            <w:pPr>
              <w:jc w:val="center"/>
              <w:rPr>
                <w:rFonts w:ascii="宋体" w:hAnsi="宋体"/>
                <w:color w:val="auto"/>
                <w:sz w:val="24"/>
                <w:highlight w:val="none"/>
              </w:rPr>
            </w:pPr>
          </w:p>
        </w:tc>
        <w:tc>
          <w:tcPr>
            <w:tcW w:w="1307" w:type="dxa"/>
            <w:noWrap/>
          </w:tcPr>
          <w:p w14:paraId="23E97690">
            <w:pPr>
              <w:jc w:val="center"/>
              <w:rPr>
                <w:rFonts w:ascii="宋体" w:hAnsi="宋体"/>
                <w:color w:val="auto"/>
                <w:sz w:val="24"/>
                <w:highlight w:val="none"/>
              </w:rPr>
            </w:pPr>
          </w:p>
        </w:tc>
        <w:tc>
          <w:tcPr>
            <w:tcW w:w="1174" w:type="dxa"/>
            <w:noWrap/>
          </w:tcPr>
          <w:p w14:paraId="3D36D287">
            <w:pPr>
              <w:jc w:val="center"/>
              <w:rPr>
                <w:rFonts w:ascii="宋体" w:hAnsi="宋体"/>
                <w:color w:val="auto"/>
                <w:sz w:val="24"/>
                <w:highlight w:val="none"/>
              </w:rPr>
            </w:pPr>
          </w:p>
        </w:tc>
      </w:tr>
      <w:tr w14:paraId="19DBE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105FC920">
            <w:pPr>
              <w:jc w:val="center"/>
              <w:rPr>
                <w:rFonts w:ascii="宋体" w:hAnsi="宋体"/>
                <w:color w:val="auto"/>
                <w:sz w:val="24"/>
                <w:highlight w:val="none"/>
              </w:rPr>
            </w:pPr>
          </w:p>
        </w:tc>
        <w:tc>
          <w:tcPr>
            <w:tcW w:w="2852" w:type="dxa"/>
            <w:noWrap/>
          </w:tcPr>
          <w:p w14:paraId="74A25676">
            <w:pPr>
              <w:jc w:val="center"/>
              <w:rPr>
                <w:rFonts w:ascii="宋体" w:hAnsi="宋体"/>
                <w:color w:val="auto"/>
                <w:sz w:val="24"/>
                <w:highlight w:val="none"/>
              </w:rPr>
            </w:pPr>
          </w:p>
        </w:tc>
        <w:tc>
          <w:tcPr>
            <w:tcW w:w="2852" w:type="dxa"/>
            <w:noWrap/>
          </w:tcPr>
          <w:p w14:paraId="0D1644F9">
            <w:pPr>
              <w:jc w:val="center"/>
              <w:rPr>
                <w:rFonts w:ascii="宋体" w:hAnsi="宋体"/>
                <w:color w:val="auto"/>
                <w:sz w:val="24"/>
                <w:highlight w:val="none"/>
              </w:rPr>
            </w:pPr>
          </w:p>
        </w:tc>
        <w:tc>
          <w:tcPr>
            <w:tcW w:w="1307" w:type="dxa"/>
            <w:noWrap/>
          </w:tcPr>
          <w:p w14:paraId="4A5D486C">
            <w:pPr>
              <w:jc w:val="center"/>
              <w:rPr>
                <w:rFonts w:ascii="宋体" w:hAnsi="宋体"/>
                <w:color w:val="auto"/>
                <w:sz w:val="24"/>
                <w:highlight w:val="none"/>
              </w:rPr>
            </w:pPr>
          </w:p>
        </w:tc>
        <w:tc>
          <w:tcPr>
            <w:tcW w:w="1174" w:type="dxa"/>
            <w:noWrap/>
          </w:tcPr>
          <w:p w14:paraId="5BF2CEE2">
            <w:pPr>
              <w:jc w:val="center"/>
              <w:rPr>
                <w:rFonts w:ascii="宋体" w:hAnsi="宋体"/>
                <w:color w:val="auto"/>
                <w:sz w:val="24"/>
                <w:highlight w:val="none"/>
              </w:rPr>
            </w:pPr>
          </w:p>
        </w:tc>
      </w:tr>
      <w:tr w14:paraId="54D6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3D1ABD7D">
            <w:pPr>
              <w:jc w:val="center"/>
              <w:rPr>
                <w:rFonts w:ascii="宋体" w:hAnsi="宋体"/>
                <w:color w:val="auto"/>
                <w:sz w:val="24"/>
                <w:highlight w:val="none"/>
              </w:rPr>
            </w:pPr>
          </w:p>
        </w:tc>
        <w:tc>
          <w:tcPr>
            <w:tcW w:w="2852" w:type="dxa"/>
            <w:noWrap/>
          </w:tcPr>
          <w:p w14:paraId="3C7DA884">
            <w:pPr>
              <w:jc w:val="center"/>
              <w:rPr>
                <w:rFonts w:ascii="宋体" w:hAnsi="宋体"/>
                <w:color w:val="auto"/>
                <w:sz w:val="24"/>
                <w:highlight w:val="none"/>
              </w:rPr>
            </w:pPr>
          </w:p>
        </w:tc>
        <w:tc>
          <w:tcPr>
            <w:tcW w:w="2852" w:type="dxa"/>
            <w:noWrap/>
          </w:tcPr>
          <w:p w14:paraId="1646F9B6">
            <w:pPr>
              <w:jc w:val="center"/>
              <w:rPr>
                <w:rFonts w:ascii="宋体" w:hAnsi="宋体"/>
                <w:color w:val="auto"/>
                <w:sz w:val="24"/>
                <w:highlight w:val="none"/>
              </w:rPr>
            </w:pPr>
          </w:p>
        </w:tc>
        <w:tc>
          <w:tcPr>
            <w:tcW w:w="1307" w:type="dxa"/>
            <w:noWrap/>
          </w:tcPr>
          <w:p w14:paraId="22179E99">
            <w:pPr>
              <w:jc w:val="center"/>
              <w:rPr>
                <w:rFonts w:ascii="宋体" w:hAnsi="宋体"/>
                <w:color w:val="auto"/>
                <w:sz w:val="24"/>
                <w:highlight w:val="none"/>
              </w:rPr>
            </w:pPr>
          </w:p>
        </w:tc>
        <w:tc>
          <w:tcPr>
            <w:tcW w:w="1174" w:type="dxa"/>
            <w:noWrap/>
          </w:tcPr>
          <w:p w14:paraId="356F1FE9">
            <w:pPr>
              <w:jc w:val="center"/>
              <w:rPr>
                <w:rFonts w:ascii="宋体" w:hAnsi="宋体"/>
                <w:color w:val="auto"/>
                <w:sz w:val="24"/>
                <w:highlight w:val="none"/>
              </w:rPr>
            </w:pPr>
          </w:p>
        </w:tc>
      </w:tr>
      <w:tr w14:paraId="01216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39212D1E">
            <w:pPr>
              <w:jc w:val="center"/>
              <w:rPr>
                <w:rFonts w:ascii="宋体" w:hAnsi="宋体"/>
                <w:color w:val="auto"/>
                <w:sz w:val="24"/>
                <w:highlight w:val="none"/>
              </w:rPr>
            </w:pPr>
          </w:p>
        </w:tc>
        <w:tc>
          <w:tcPr>
            <w:tcW w:w="2852" w:type="dxa"/>
            <w:noWrap/>
          </w:tcPr>
          <w:p w14:paraId="2FDDD072">
            <w:pPr>
              <w:jc w:val="center"/>
              <w:rPr>
                <w:rFonts w:ascii="宋体" w:hAnsi="宋体"/>
                <w:color w:val="auto"/>
                <w:sz w:val="24"/>
                <w:highlight w:val="none"/>
              </w:rPr>
            </w:pPr>
          </w:p>
        </w:tc>
        <w:tc>
          <w:tcPr>
            <w:tcW w:w="2852" w:type="dxa"/>
            <w:noWrap/>
          </w:tcPr>
          <w:p w14:paraId="35E41CCC">
            <w:pPr>
              <w:jc w:val="center"/>
              <w:rPr>
                <w:rFonts w:ascii="宋体" w:hAnsi="宋体"/>
                <w:color w:val="auto"/>
                <w:sz w:val="24"/>
                <w:highlight w:val="none"/>
              </w:rPr>
            </w:pPr>
          </w:p>
        </w:tc>
        <w:tc>
          <w:tcPr>
            <w:tcW w:w="1307" w:type="dxa"/>
            <w:noWrap/>
          </w:tcPr>
          <w:p w14:paraId="2BA6FBE2">
            <w:pPr>
              <w:jc w:val="center"/>
              <w:rPr>
                <w:rFonts w:ascii="宋体" w:hAnsi="宋体"/>
                <w:color w:val="auto"/>
                <w:sz w:val="24"/>
                <w:highlight w:val="none"/>
              </w:rPr>
            </w:pPr>
          </w:p>
        </w:tc>
        <w:tc>
          <w:tcPr>
            <w:tcW w:w="1174" w:type="dxa"/>
            <w:noWrap/>
          </w:tcPr>
          <w:p w14:paraId="598D467A">
            <w:pPr>
              <w:jc w:val="center"/>
              <w:rPr>
                <w:rFonts w:ascii="宋体" w:hAnsi="宋体"/>
                <w:color w:val="auto"/>
                <w:sz w:val="24"/>
                <w:highlight w:val="none"/>
              </w:rPr>
            </w:pPr>
          </w:p>
        </w:tc>
      </w:tr>
      <w:tr w14:paraId="69EAA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08819717">
            <w:pPr>
              <w:jc w:val="center"/>
              <w:rPr>
                <w:rFonts w:ascii="宋体" w:hAnsi="宋体"/>
                <w:color w:val="auto"/>
                <w:sz w:val="24"/>
                <w:highlight w:val="none"/>
              </w:rPr>
            </w:pPr>
          </w:p>
        </w:tc>
        <w:tc>
          <w:tcPr>
            <w:tcW w:w="2852" w:type="dxa"/>
            <w:noWrap/>
          </w:tcPr>
          <w:p w14:paraId="3B104595">
            <w:pPr>
              <w:jc w:val="center"/>
              <w:rPr>
                <w:rFonts w:ascii="宋体" w:hAnsi="宋体"/>
                <w:color w:val="auto"/>
                <w:sz w:val="24"/>
                <w:highlight w:val="none"/>
              </w:rPr>
            </w:pPr>
          </w:p>
        </w:tc>
        <w:tc>
          <w:tcPr>
            <w:tcW w:w="2852" w:type="dxa"/>
            <w:noWrap/>
          </w:tcPr>
          <w:p w14:paraId="5050D934">
            <w:pPr>
              <w:jc w:val="center"/>
              <w:rPr>
                <w:rFonts w:ascii="宋体" w:hAnsi="宋体"/>
                <w:color w:val="auto"/>
                <w:sz w:val="24"/>
                <w:highlight w:val="none"/>
              </w:rPr>
            </w:pPr>
          </w:p>
        </w:tc>
        <w:tc>
          <w:tcPr>
            <w:tcW w:w="1307" w:type="dxa"/>
            <w:noWrap/>
          </w:tcPr>
          <w:p w14:paraId="770A7329">
            <w:pPr>
              <w:jc w:val="center"/>
              <w:rPr>
                <w:rFonts w:ascii="宋体" w:hAnsi="宋体"/>
                <w:color w:val="auto"/>
                <w:sz w:val="24"/>
                <w:highlight w:val="none"/>
              </w:rPr>
            </w:pPr>
          </w:p>
        </w:tc>
        <w:tc>
          <w:tcPr>
            <w:tcW w:w="1174" w:type="dxa"/>
            <w:noWrap/>
          </w:tcPr>
          <w:p w14:paraId="07E4D84F">
            <w:pPr>
              <w:jc w:val="center"/>
              <w:rPr>
                <w:rFonts w:ascii="宋体" w:hAnsi="宋体"/>
                <w:color w:val="auto"/>
                <w:sz w:val="24"/>
                <w:highlight w:val="none"/>
              </w:rPr>
            </w:pPr>
          </w:p>
        </w:tc>
      </w:tr>
      <w:tr w14:paraId="234E3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0F523B09">
            <w:pPr>
              <w:jc w:val="center"/>
              <w:rPr>
                <w:rFonts w:ascii="宋体" w:hAnsi="宋体"/>
                <w:color w:val="auto"/>
                <w:sz w:val="24"/>
                <w:highlight w:val="none"/>
              </w:rPr>
            </w:pPr>
          </w:p>
        </w:tc>
        <w:tc>
          <w:tcPr>
            <w:tcW w:w="2852" w:type="dxa"/>
            <w:noWrap/>
          </w:tcPr>
          <w:p w14:paraId="0A62E1B9">
            <w:pPr>
              <w:jc w:val="center"/>
              <w:rPr>
                <w:rFonts w:ascii="宋体" w:hAnsi="宋体"/>
                <w:color w:val="auto"/>
                <w:sz w:val="24"/>
                <w:highlight w:val="none"/>
              </w:rPr>
            </w:pPr>
          </w:p>
        </w:tc>
        <w:tc>
          <w:tcPr>
            <w:tcW w:w="2852" w:type="dxa"/>
            <w:noWrap/>
          </w:tcPr>
          <w:p w14:paraId="30D25DBA">
            <w:pPr>
              <w:jc w:val="center"/>
              <w:rPr>
                <w:rFonts w:ascii="宋体" w:hAnsi="宋体"/>
                <w:color w:val="auto"/>
                <w:sz w:val="24"/>
                <w:highlight w:val="none"/>
              </w:rPr>
            </w:pPr>
          </w:p>
        </w:tc>
        <w:tc>
          <w:tcPr>
            <w:tcW w:w="1307" w:type="dxa"/>
            <w:noWrap/>
          </w:tcPr>
          <w:p w14:paraId="7D44DA5B">
            <w:pPr>
              <w:jc w:val="center"/>
              <w:rPr>
                <w:rFonts w:ascii="宋体" w:hAnsi="宋体"/>
                <w:color w:val="auto"/>
                <w:sz w:val="24"/>
                <w:highlight w:val="none"/>
              </w:rPr>
            </w:pPr>
          </w:p>
        </w:tc>
        <w:tc>
          <w:tcPr>
            <w:tcW w:w="1174" w:type="dxa"/>
            <w:noWrap/>
          </w:tcPr>
          <w:p w14:paraId="7B2A86BB">
            <w:pPr>
              <w:jc w:val="center"/>
              <w:rPr>
                <w:rFonts w:ascii="宋体" w:hAnsi="宋体"/>
                <w:color w:val="auto"/>
                <w:sz w:val="24"/>
                <w:highlight w:val="none"/>
              </w:rPr>
            </w:pPr>
          </w:p>
        </w:tc>
      </w:tr>
    </w:tbl>
    <w:p w14:paraId="101A3D8A">
      <w:pPr>
        <w:spacing w:line="480" w:lineRule="exact"/>
        <w:rPr>
          <w:rFonts w:ascii="宋体" w:hAnsi="宋体"/>
          <w:color w:val="auto"/>
          <w:sz w:val="24"/>
          <w:highlight w:val="none"/>
        </w:rPr>
      </w:pPr>
    </w:p>
    <w:p w14:paraId="1FD2CA88">
      <w:pPr>
        <w:kinsoku w:val="0"/>
        <w:topLinePunct/>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供应商：（盖章）             </w:t>
      </w:r>
    </w:p>
    <w:p w14:paraId="76439582">
      <w:pPr>
        <w:kinsoku w:val="0"/>
        <w:topLinePunct/>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法定代表人或被授权人（签字或盖章）：</w:t>
      </w:r>
    </w:p>
    <w:p w14:paraId="4CC89699">
      <w:pPr>
        <w:kinsoku w:val="0"/>
        <w:topLinePunct/>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日期：</w:t>
      </w:r>
    </w:p>
    <w:p w14:paraId="47ED5C58">
      <w:pPr>
        <w:rPr>
          <w:rFonts w:ascii="宋体" w:hAnsi="宋体"/>
          <w:color w:val="auto"/>
          <w:sz w:val="24"/>
          <w:highlight w:val="none"/>
        </w:rPr>
      </w:pPr>
    </w:p>
    <w:p w14:paraId="3BB73A33">
      <w:pPr>
        <w:spacing w:line="480" w:lineRule="exact"/>
        <w:rPr>
          <w:rFonts w:ascii="宋体" w:hAnsi="宋体"/>
          <w:color w:val="auto"/>
          <w:sz w:val="24"/>
          <w:highlight w:val="none"/>
        </w:rPr>
      </w:pPr>
    </w:p>
    <w:p w14:paraId="6661FD20">
      <w:pPr>
        <w:snapToGrid w:val="0"/>
        <w:spacing w:line="300" w:lineRule="auto"/>
        <w:contextualSpacing/>
        <w:rPr>
          <w:b/>
          <w:color w:val="auto"/>
          <w:sz w:val="24"/>
          <w:highlight w:val="none"/>
        </w:rPr>
      </w:pPr>
      <w:r>
        <w:rPr>
          <w:b/>
          <w:color w:val="auto"/>
          <w:sz w:val="24"/>
          <w:highlight w:val="none"/>
        </w:rPr>
        <w:t>注：</w:t>
      </w:r>
    </w:p>
    <w:p w14:paraId="416A959E">
      <w:pPr>
        <w:snapToGrid w:val="0"/>
        <w:spacing w:line="300" w:lineRule="auto"/>
        <w:ind w:firstLine="480" w:firstLineChars="200"/>
        <w:contextualSpacing/>
        <w:rPr>
          <w:color w:val="auto"/>
          <w:sz w:val="24"/>
          <w:highlight w:val="none"/>
        </w:rPr>
      </w:pPr>
      <w:r>
        <w:rPr>
          <w:color w:val="auto"/>
          <w:sz w:val="24"/>
          <w:highlight w:val="none"/>
        </w:rPr>
        <w:t>1.</w:t>
      </w:r>
      <w:r>
        <w:rPr>
          <w:rFonts w:hint="eastAsia"/>
          <w:color w:val="auto"/>
          <w:sz w:val="24"/>
          <w:highlight w:val="none"/>
          <w:lang w:val="en-US" w:eastAsia="zh-CN"/>
        </w:rPr>
        <w:t>供应商</w:t>
      </w:r>
      <w:r>
        <w:rPr>
          <w:color w:val="auto"/>
          <w:sz w:val="24"/>
          <w:highlight w:val="none"/>
        </w:rPr>
        <w:t>提交的</w:t>
      </w:r>
      <w:r>
        <w:rPr>
          <w:rFonts w:hint="eastAsia"/>
          <w:color w:val="auto"/>
          <w:sz w:val="24"/>
          <w:highlight w:val="none"/>
          <w:lang w:val="en-US" w:eastAsia="zh-CN"/>
        </w:rPr>
        <w:t>响应</w:t>
      </w:r>
      <w:r>
        <w:rPr>
          <w:color w:val="auto"/>
          <w:sz w:val="24"/>
          <w:highlight w:val="none"/>
        </w:rPr>
        <w:t>文件中与</w:t>
      </w:r>
      <w:r>
        <w:rPr>
          <w:rFonts w:hint="eastAsia"/>
          <w:color w:val="auto"/>
          <w:sz w:val="24"/>
          <w:highlight w:val="none"/>
          <w:lang w:val="en-US" w:eastAsia="zh-CN"/>
        </w:rPr>
        <w:t>采购</w:t>
      </w:r>
      <w:r>
        <w:rPr>
          <w:color w:val="auto"/>
          <w:sz w:val="24"/>
          <w:highlight w:val="none"/>
        </w:rPr>
        <w:t>文件第三部分“项目需求”中的技术部分的要求，应逐条填列在偏离表中。</w:t>
      </w:r>
    </w:p>
    <w:p w14:paraId="02AA2190">
      <w:pPr>
        <w:snapToGrid w:val="0"/>
        <w:spacing w:line="300" w:lineRule="auto"/>
        <w:ind w:firstLine="480" w:firstLineChars="200"/>
        <w:contextualSpacing/>
        <w:rPr>
          <w:color w:val="auto"/>
          <w:sz w:val="24"/>
          <w:highlight w:val="none"/>
        </w:rPr>
      </w:pPr>
      <w:r>
        <w:rPr>
          <w:color w:val="auto"/>
          <w:sz w:val="24"/>
          <w:highlight w:val="none"/>
        </w:rPr>
        <w:t>2. “偏离说明”一栏选择“正偏离”、“无偏离”、“负偏离”进行填写。正偏离、无偏离的确认和负偏离的是否响应</w:t>
      </w:r>
      <w:r>
        <w:rPr>
          <w:rFonts w:hint="eastAsia"/>
          <w:color w:val="auto"/>
          <w:sz w:val="24"/>
          <w:highlight w:val="none"/>
          <w:lang w:val="en-US" w:eastAsia="zh-CN"/>
        </w:rPr>
        <w:t>采购</w:t>
      </w:r>
      <w:r>
        <w:rPr>
          <w:color w:val="auto"/>
          <w:sz w:val="24"/>
          <w:highlight w:val="none"/>
        </w:rPr>
        <w:t>文件，由评委认定。</w:t>
      </w:r>
    </w:p>
    <w:p w14:paraId="263C2980">
      <w:pPr>
        <w:snapToGrid w:val="0"/>
        <w:spacing w:line="300" w:lineRule="auto"/>
        <w:ind w:firstLine="480" w:firstLineChars="200"/>
        <w:contextualSpacing/>
        <w:rPr>
          <w:color w:val="auto"/>
          <w:sz w:val="24"/>
          <w:highlight w:val="none"/>
        </w:rPr>
      </w:pPr>
      <w:r>
        <w:rPr>
          <w:color w:val="auto"/>
          <w:sz w:val="24"/>
          <w:highlight w:val="none"/>
        </w:rPr>
        <w:t>3.所投品牌型号，必须确定、唯一。</w:t>
      </w:r>
    </w:p>
    <w:p w14:paraId="4B599361">
      <w:pPr>
        <w:snapToGrid w:val="0"/>
        <w:spacing w:line="300" w:lineRule="auto"/>
        <w:ind w:firstLine="480" w:firstLineChars="200"/>
        <w:contextualSpacing/>
        <w:rPr>
          <w:bCs/>
          <w:color w:val="auto"/>
          <w:sz w:val="24"/>
          <w:highlight w:val="none"/>
        </w:rPr>
      </w:pPr>
      <w:r>
        <w:rPr>
          <w:bCs/>
          <w:color w:val="auto"/>
          <w:sz w:val="24"/>
          <w:highlight w:val="none"/>
        </w:rPr>
        <w:t>4.供应商若提供其他增值服务，可以在表中自行据实填写。</w:t>
      </w:r>
    </w:p>
    <w:p w14:paraId="4DD73635">
      <w:pPr>
        <w:snapToGrid w:val="0"/>
        <w:spacing w:line="300" w:lineRule="auto"/>
        <w:ind w:firstLine="482" w:firstLineChars="200"/>
        <w:contextualSpacing/>
        <w:rPr>
          <w:rFonts w:hint="default" w:eastAsia="宋体"/>
          <w:b/>
          <w:bCs w:val="0"/>
          <w:color w:val="auto"/>
          <w:sz w:val="24"/>
          <w:highlight w:val="none"/>
          <w:lang w:val="en-US" w:eastAsia="zh-CN"/>
        </w:rPr>
      </w:pPr>
      <w:r>
        <w:rPr>
          <w:rFonts w:hint="eastAsia"/>
          <w:b/>
          <w:bCs w:val="0"/>
          <w:color w:val="auto"/>
          <w:sz w:val="24"/>
          <w:highlight w:val="none"/>
          <w:lang w:val="en-US" w:eastAsia="zh-CN"/>
        </w:rPr>
        <w:t>5.</w:t>
      </w:r>
      <w:r>
        <w:rPr>
          <w:rFonts w:hint="eastAsia" w:ascii="宋体" w:hAnsi="宋体" w:cs="宋体"/>
          <w:b/>
          <w:bCs w:val="0"/>
          <w:color w:val="auto"/>
          <w:sz w:val="24"/>
          <w:highlight w:val="none"/>
        </w:rPr>
        <w:t>技术部分</w:t>
      </w:r>
      <w:r>
        <w:rPr>
          <w:rFonts w:hint="eastAsia" w:ascii="宋体" w:hAnsi="宋体" w:cs="宋体"/>
          <w:b/>
          <w:bCs w:val="0"/>
          <w:color w:val="auto"/>
          <w:sz w:val="24"/>
          <w:highlight w:val="none"/>
          <w:lang w:val="en-US" w:eastAsia="zh-CN"/>
        </w:rPr>
        <w:t>未在此表明示的内容</w:t>
      </w:r>
      <w:r>
        <w:rPr>
          <w:rFonts w:hint="eastAsia"/>
          <w:b/>
          <w:bCs w:val="0"/>
          <w:color w:val="auto"/>
          <w:sz w:val="24"/>
          <w:highlight w:val="none"/>
        </w:rPr>
        <w:t>视同完全响应</w:t>
      </w:r>
      <w:r>
        <w:rPr>
          <w:rFonts w:hint="eastAsia"/>
          <w:b/>
          <w:bCs w:val="0"/>
          <w:color w:val="auto"/>
          <w:sz w:val="24"/>
          <w:highlight w:val="none"/>
          <w:lang w:eastAsia="zh-CN"/>
        </w:rPr>
        <w:t>。</w:t>
      </w:r>
    </w:p>
    <w:p w14:paraId="78F36C81">
      <w:pPr>
        <w:spacing w:line="480" w:lineRule="exact"/>
        <w:ind w:firstLine="960" w:firstLineChars="400"/>
        <w:rPr>
          <w:rFonts w:ascii="宋体" w:hAnsi="宋体"/>
          <w:color w:val="auto"/>
          <w:sz w:val="24"/>
          <w:highlight w:val="none"/>
        </w:rPr>
      </w:pPr>
    </w:p>
    <w:p w14:paraId="2FCB59F8">
      <w:pPr>
        <w:spacing w:line="360" w:lineRule="auto"/>
        <w:jc w:val="center"/>
        <w:rPr>
          <w:rFonts w:ascii="宋体" w:hAnsi="宋体"/>
          <w:b/>
          <w:color w:val="auto"/>
          <w:sz w:val="32"/>
          <w:szCs w:val="32"/>
          <w:highlight w:val="none"/>
        </w:rPr>
      </w:pPr>
      <w:r>
        <w:rPr>
          <w:rFonts w:ascii="宋体" w:hAnsi="宋体" w:cs="宋体"/>
          <w:b/>
          <w:bCs/>
          <w:color w:val="auto"/>
          <w:sz w:val="24"/>
          <w:highlight w:val="none"/>
        </w:rPr>
        <w:br w:type="page"/>
      </w:r>
      <w:r>
        <w:rPr>
          <w:rFonts w:hint="eastAsia" w:ascii="宋体" w:hAnsi="宋体" w:cs="宋体"/>
          <w:b/>
          <w:bCs/>
          <w:color w:val="auto"/>
          <w:sz w:val="24"/>
          <w:highlight w:val="none"/>
        </w:rPr>
        <w:t>3、商务部分正负偏离表</w:t>
      </w:r>
    </w:p>
    <w:p w14:paraId="6C02907B">
      <w:pPr>
        <w:jc w:val="center"/>
        <w:rPr>
          <w:rFonts w:ascii="宋体" w:hAnsi="宋体"/>
          <w:color w:val="auto"/>
          <w:sz w:val="24"/>
          <w:highlight w:val="none"/>
        </w:rPr>
      </w:pPr>
    </w:p>
    <w:p w14:paraId="104F053B">
      <w:pPr>
        <w:jc w:val="center"/>
        <w:rPr>
          <w:rFonts w:ascii="宋体" w:hAnsi="宋体"/>
          <w:color w:val="auto"/>
          <w:sz w:val="24"/>
          <w:highlight w:val="none"/>
        </w:rPr>
      </w:pPr>
      <w:r>
        <w:rPr>
          <w:color w:val="auto"/>
          <w:sz w:val="28"/>
          <w:szCs w:val="28"/>
          <w:highlight w:val="none"/>
        </w:rPr>
        <w:t>（由</w:t>
      </w:r>
      <w:r>
        <w:rPr>
          <w:rFonts w:hint="eastAsia"/>
          <w:color w:val="auto"/>
          <w:sz w:val="28"/>
          <w:szCs w:val="28"/>
          <w:highlight w:val="none"/>
          <w:lang w:val="en-US" w:eastAsia="zh-CN"/>
        </w:rPr>
        <w:t>供应商</w:t>
      </w:r>
      <w:r>
        <w:rPr>
          <w:color w:val="auto"/>
          <w:sz w:val="28"/>
          <w:szCs w:val="28"/>
          <w:highlight w:val="none"/>
        </w:rPr>
        <w:t>据实填写，表格不够自行添加）</w:t>
      </w:r>
    </w:p>
    <w:tbl>
      <w:tblPr>
        <w:tblStyle w:val="14"/>
        <w:tblW w:w="861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31"/>
        <w:gridCol w:w="3327"/>
        <w:gridCol w:w="1198"/>
        <w:gridCol w:w="2262"/>
      </w:tblGrid>
      <w:tr w14:paraId="74CB95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831" w:type="dxa"/>
            <w:tcBorders>
              <w:top w:val="single" w:color="auto" w:sz="4" w:space="0"/>
              <w:left w:val="single" w:color="auto" w:sz="4" w:space="0"/>
              <w:bottom w:val="single" w:color="auto" w:sz="4" w:space="0"/>
              <w:right w:val="single" w:color="auto" w:sz="4" w:space="0"/>
            </w:tcBorders>
            <w:noWrap/>
            <w:vAlign w:val="center"/>
          </w:tcPr>
          <w:p w14:paraId="3968D2F5">
            <w:pPr>
              <w:snapToGrid w:val="0"/>
              <w:spacing w:beforeLines="50"/>
              <w:jc w:val="center"/>
              <w:rPr>
                <w:rFonts w:ascii="仿宋_GB2312" w:hAnsi="宋体" w:eastAsia="仿宋_GB2312"/>
                <w:color w:val="auto"/>
                <w:sz w:val="24"/>
                <w:szCs w:val="20"/>
                <w:highlight w:val="none"/>
              </w:rPr>
            </w:pPr>
            <w:r>
              <w:rPr>
                <w:rFonts w:hint="eastAsia" w:ascii="仿宋_GB2312" w:hAnsi="宋体"/>
                <w:color w:val="auto"/>
                <w:sz w:val="24"/>
                <w:szCs w:val="21"/>
                <w:highlight w:val="none"/>
              </w:rPr>
              <w:t>项目</w:t>
            </w:r>
          </w:p>
        </w:tc>
        <w:tc>
          <w:tcPr>
            <w:tcW w:w="3327" w:type="dxa"/>
            <w:tcBorders>
              <w:top w:val="single" w:color="auto" w:sz="4" w:space="0"/>
              <w:left w:val="single" w:color="auto" w:sz="4" w:space="0"/>
              <w:bottom w:val="single" w:color="auto" w:sz="4" w:space="0"/>
              <w:right w:val="single" w:color="auto" w:sz="4" w:space="0"/>
            </w:tcBorders>
            <w:noWrap/>
          </w:tcPr>
          <w:p w14:paraId="28FC9B59">
            <w:pPr>
              <w:snapToGrid w:val="0"/>
              <w:spacing w:beforeLines="50"/>
              <w:jc w:val="center"/>
              <w:rPr>
                <w:rFonts w:ascii="仿宋_GB2312" w:hAnsi="宋体" w:eastAsia="仿宋_GB2312"/>
                <w:color w:val="auto"/>
                <w:sz w:val="24"/>
                <w:szCs w:val="20"/>
                <w:highlight w:val="none"/>
              </w:rPr>
            </w:pPr>
            <w:r>
              <w:rPr>
                <w:rFonts w:hint="eastAsia" w:ascii="仿宋_GB2312" w:hAnsi="宋体"/>
                <w:color w:val="auto"/>
                <w:sz w:val="24"/>
                <w:szCs w:val="21"/>
                <w:highlight w:val="none"/>
              </w:rPr>
              <w:t>竞争性磋商文件要求</w:t>
            </w:r>
          </w:p>
        </w:tc>
        <w:tc>
          <w:tcPr>
            <w:tcW w:w="1198" w:type="dxa"/>
            <w:tcBorders>
              <w:top w:val="single" w:color="auto" w:sz="4" w:space="0"/>
              <w:left w:val="single" w:color="auto" w:sz="4" w:space="0"/>
              <w:bottom w:val="single" w:color="auto" w:sz="4" w:space="0"/>
              <w:right w:val="single" w:color="auto" w:sz="4" w:space="0"/>
            </w:tcBorders>
            <w:noWrap/>
          </w:tcPr>
          <w:p w14:paraId="011CAD42">
            <w:pPr>
              <w:snapToGrid w:val="0"/>
              <w:spacing w:beforeLines="50"/>
              <w:jc w:val="center"/>
              <w:rPr>
                <w:rFonts w:ascii="仿宋_GB2312" w:hAnsi="宋体" w:eastAsia="仿宋_GB2312"/>
                <w:color w:val="auto"/>
                <w:sz w:val="24"/>
                <w:szCs w:val="20"/>
                <w:highlight w:val="none"/>
              </w:rPr>
            </w:pPr>
            <w:r>
              <w:rPr>
                <w:rFonts w:hint="eastAsia" w:ascii="仿宋_GB2312" w:hAnsi="宋体"/>
                <w:color w:val="auto"/>
                <w:sz w:val="24"/>
                <w:szCs w:val="21"/>
                <w:highlight w:val="none"/>
              </w:rPr>
              <w:t>是否响应</w:t>
            </w:r>
          </w:p>
        </w:tc>
        <w:tc>
          <w:tcPr>
            <w:tcW w:w="2262" w:type="dxa"/>
            <w:tcBorders>
              <w:top w:val="single" w:color="auto" w:sz="4" w:space="0"/>
              <w:left w:val="single" w:color="auto" w:sz="4" w:space="0"/>
              <w:bottom w:val="single" w:color="auto" w:sz="4" w:space="0"/>
              <w:right w:val="single" w:color="auto" w:sz="4" w:space="0"/>
            </w:tcBorders>
            <w:noWrap/>
          </w:tcPr>
          <w:p w14:paraId="030E7219">
            <w:pPr>
              <w:snapToGrid w:val="0"/>
              <w:spacing w:beforeLines="50"/>
              <w:jc w:val="center"/>
              <w:rPr>
                <w:rFonts w:ascii="仿宋_GB2312" w:hAnsi="宋体" w:eastAsia="仿宋_GB2312"/>
                <w:color w:val="auto"/>
                <w:sz w:val="24"/>
                <w:szCs w:val="20"/>
                <w:highlight w:val="none"/>
              </w:rPr>
            </w:pPr>
            <w:r>
              <w:rPr>
                <w:rFonts w:hint="eastAsia" w:ascii="仿宋_GB2312" w:hAnsi="宋体"/>
                <w:color w:val="auto"/>
                <w:sz w:val="24"/>
                <w:szCs w:val="21"/>
                <w:highlight w:val="none"/>
              </w:rPr>
              <w:t>供应商的承诺或说明</w:t>
            </w:r>
          </w:p>
        </w:tc>
      </w:tr>
      <w:tr w14:paraId="780D12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1831" w:type="dxa"/>
            <w:tcBorders>
              <w:top w:val="single" w:color="auto" w:sz="4" w:space="0"/>
              <w:left w:val="single" w:color="auto" w:sz="4" w:space="0"/>
              <w:bottom w:val="single" w:color="auto" w:sz="4" w:space="0"/>
              <w:right w:val="single" w:color="auto" w:sz="4" w:space="0"/>
            </w:tcBorders>
            <w:noWrap/>
            <w:vAlign w:val="top"/>
          </w:tcPr>
          <w:p w14:paraId="7F8ED96C">
            <w:pPr>
              <w:spacing w:line="340" w:lineRule="exact"/>
              <w:jc w:val="center"/>
              <w:rPr>
                <w:rFonts w:ascii="仿宋_GB2312" w:hAnsi="宋体" w:eastAsia="仿宋_GB2312"/>
                <w:color w:val="auto"/>
                <w:sz w:val="24"/>
                <w:szCs w:val="20"/>
                <w:highlight w:val="none"/>
              </w:rPr>
            </w:pPr>
            <w:r>
              <w:rPr>
                <w:color w:val="auto"/>
                <w:sz w:val="24"/>
                <w:highlight w:val="none"/>
              </w:rPr>
              <w:t>1</w:t>
            </w:r>
          </w:p>
        </w:tc>
        <w:tc>
          <w:tcPr>
            <w:tcW w:w="3327" w:type="dxa"/>
            <w:tcBorders>
              <w:top w:val="single" w:color="auto" w:sz="4" w:space="0"/>
              <w:left w:val="single" w:color="auto" w:sz="4" w:space="0"/>
              <w:bottom w:val="single" w:color="auto" w:sz="4" w:space="0"/>
              <w:right w:val="single" w:color="auto" w:sz="4" w:space="0"/>
            </w:tcBorders>
            <w:noWrap/>
          </w:tcPr>
          <w:p w14:paraId="0CAA9A46">
            <w:pPr>
              <w:snapToGrid w:val="0"/>
              <w:spacing w:beforeLines="50"/>
              <w:rPr>
                <w:rFonts w:ascii="仿宋_GB2312" w:hAnsi="宋体" w:eastAsia="仿宋_GB2312"/>
                <w:color w:val="auto"/>
                <w:sz w:val="24"/>
                <w:szCs w:val="20"/>
                <w:highlight w:val="none"/>
              </w:rPr>
            </w:pPr>
          </w:p>
        </w:tc>
        <w:tc>
          <w:tcPr>
            <w:tcW w:w="1198" w:type="dxa"/>
            <w:tcBorders>
              <w:top w:val="single" w:color="auto" w:sz="4" w:space="0"/>
              <w:left w:val="single" w:color="auto" w:sz="4" w:space="0"/>
              <w:bottom w:val="single" w:color="auto" w:sz="4" w:space="0"/>
              <w:right w:val="single" w:color="auto" w:sz="4" w:space="0"/>
            </w:tcBorders>
            <w:noWrap/>
          </w:tcPr>
          <w:p w14:paraId="2B2083BC">
            <w:pPr>
              <w:snapToGrid w:val="0"/>
              <w:spacing w:beforeLines="50"/>
              <w:rPr>
                <w:rFonts w:ascii="仿宋_GB2312" w:hAnsi="宋体" w:eastAsia="仿宋_GB2312"/>
                <w:color w:val="auto"/>
                <w:sz w:val="24"/>
                <w:szCs w:val="20"/>
                <w:highlight w:val="none"/>
              </w:rPr>
            </w:pPr>
          </w:p>
        </w:tc>
        <w:tc>
          <w:tcPr>
            <w:tcW w:w="2262" w:type="dxa"/>
            <w:tcBorders>
              <w:top w:val="single" w:color="auto" w:sz="4" w:space="0"/>
              <w:left w:val="single" w:color="auto" w:sz="4" w:space="0"/>
              <w:bottom w:val="single" w:color="auto" w:sz="4" w:space="0"/>
              <w:right w:val="single" w:color="auto" w:sz="4" w:space="0"/>
            </w:tcBorders>
            <w:noWrap/>
          </w:tcPr>
          <w:p w14:paraId="046556C2">
            <w:pPr>
              <w:snapToGrid w:val="0"/>
              <w:spacing w:beforeLines="50"/>
              <w:rPr>
                <w:rFonts w:ascii="仿宋_GB2312" w:hAnsi="宋体" w:eastAsia="仿宋_GB2312"/>
                <w:color w:val="auto"/>
                <w:sz w:val="24"/>
                <w:szCs w:val="20"/>
                <w:highlight w:val="none"/>
              </w:rPr>
            </w:pPr>
          </w:p>
        </w:tc>
      </w:tr>
      <w:tr w14:paraId="26E337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1831" w:type="dxa"/>
            <w:tcBorders>
              <w:top w:val="single" w:color="auto" w:sz="4" w:space="0"/>
              <w:left w:val="single" w:color="auto" w:sz="4" w:space="0"/>
              <w:bottom w:val="single" w:color="auto" w:sz="4" w:space="0"/>
              <w:right w:val="single" w:color="auto" w:sz="4" w:space="0"/>
            </w:tcBorders>
            <w:noWrap/>
            <w:vAlign w:val="top"/>
          </w:tcPr>
          <w:p w14:paraId="700F1C93">
            <w:pPr>
              <w:spacing w:line="340" w:lineRule="exact"/>
              <w:jc w:val="center"/>
              <w:rPr>
                <w:rFonts w:ascii="仿宋_GB2312" w:hAnsi="宋体" w:eastAsia="仿宋_GB2312"/>
                <w:color w:val="auto"/>
                <w:sz w:val="24"/>
                <w:szCs w:val="20"/>
                <w:highlight w:val="none"/>
              </w:rPr>
            </w:pPr>
            <w:r>
              <w:rPr>
                <w:color w:val="auto"/>
                <w:sz w:val="24"/>
                <w:highlight w:val="none"/>
              </w:rPr>
              <w:t>2</w:t>
            </w:r>
          </w:p>
        </w:tc>
        <w:tc>
          <w:tcPr>
            <w:tcW w:w="3327" w:type="dxa"/>
            <w:tcBorders>
              <w:top w:val="single" w:color="auto" w:sz="4" w:space="0"/>
              <w:left w:val="single" w:color="auto" w:sz="4" w:space="0"/>
              <w:bottom w:val="single" w:color="auto" w:sz="4" w:space="0"/>
              <w:right w:val="single" w:color="auto" w:sz="4" w:space="0"/>
            </w:tcBorders>
            <w:noWrap/>
          </w:tcPr>
          <w:p w14:paraId="5C36C038">
            <w:pPr>
              <w:snapToGrid w:val="0"/>
              <w:spacing w:beforeLines="50"/>
              <w:rPr>
                <w:rFonts w:ascii="仿宋_GB2312" w:hAnsi="宋体" w:eastAsia="仿宋_GB2312"/>
                <w:color w:val="auto"/>
                <w:sz w:val="24"/>
                <w:szCs w:val="20"/>
                <w:highlight w:val="none"/>
              </w:rPr>
            </w:pPr>
          </w:p>
        </w:tc>
        <w:tc>
          <w:tcPr>
            <w:tcW w:w="1198" w:type="dxa"/>
            <w:tcBorders>
              <w:top w:val="single" w:color="auto" w:sz="4" w:space="0"/>
              <w:left w:val="single" w:color="auto" w:sz="4" w:space="0"/>
              <w:bottom w:val="single" w:color="auto" w:sz="4" w:space="0"/>
              <w:right w:val="single" w:color="auto" w:sz="4" w:space="0"/>
            </w:tcBorders>
            <w:noWrap/>
          </w:tcPr>
          <w:p w14:paraId="1F00D381">
            <w:pPr>
              <w:snapToGrid w:val="0"/>
              <w:spacing w:beforeLines="50"/>
              <w:rPr>
                <w:rFonts w:ascii="仿宋_GB2312" w:hAnsi="宋体" w:eastAsia="仿宋_GB2312"/>
                <w:color w:val="auto"/>
                <w:sz w:val="24"/>
                <w:szCs w:val="20"/>
                <w:highlight w:val="none"/>
              </w:rPr>
            </w:pPr>
          </w:p>
        </w:tc>
        <w:tc>
          <w:tcPr>
            <w:tcW w:w="2262" w:type="dxa"/>
            <w:tcBorders>
              <w:top w:val="single" w:color="auto" w:sz="4" w:space="0"/>
              <w:left w:val="single" w:color="auto" w:sz="4" w:space="0"/>
              <w:bottom w:val="single" w:color="auto" w:sz="4" w:space="0"/>
              <w:right w:val="single" w:color="auto" w:sz="4" w:space="0"/>
            </w:tcBorders>
            <w:noWrap/>
          </w:tcPr>
          <w:p w14:paraId="42BC814A">
            <w:pPr>
              <w:snapToGrid w:val="0"/>
              <w:spacing w:beforeLines="50"/>
              <w:rPr>
                <w:rFonts w:ascii="仿宋_GB2312" w:hAnsi="宋体" w:eastAsia="仿宋_GB2312"/>
                <w:color w:val="auto"/>
                <w:sz w:val="24"/>
                <w:szCs w:val="20"/>
                <w:highlight w:val="none"/>
              </w:rPr>
            </w:pPr>
          </w:p>
        </w:tc>
      </w:tr>
      <w:tr w14:paraId="560324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831" w:type="dxa"/>
            <w:tcBorders>
              <w:top w:val="single" w:color="auto" w:sz="4" w:space="0"/>
              <w:left w:val="single" w:color="auto" w:sz="4" w:space="0"/>
              <w:bottom w:val="single" w:color="auto" w:sz="4" w:space="0"/>
              <w:right w:val="single" w:color="auto" w:sz="4" w:space="0"/>
            </w:tcBorders>
            <w:noWrap/>
            <w:vAlign w:val="top"/>
          </w:tcPr>
          <w:p w14:paraId="749AAEFC">
            <w:pPr>
              <w:spacing w:line="340" w:lineRule="exact"/>
              <w:jc w:val="center"/>
              <w:rPr>
                <w:rFonts w:ascii="仿宋_GB2312" w:hAnsi="宋体" w:eastAsia="仿宋_GB2312"/>
                <w:color w:val="auto"/>
                <w:sz w:val="24"/>
                <w:szCs w:val="20"/>
                <w:highlight w:val="none"/>
              </w:rPr>
            </w:pPr>
            <w:r>
              <w:rPr>
                <w:color w:val="auto"/>
                <w:sz w:val="24"/>
                <w:highlight w:val="none"/>
              </w:rPr>
              <w:t>3</w:t>
            </w:r>
          </w:p>
        </w:tc>
        <w:tc>
          <w:tcPr>
            <w:tcW w:w="3327" w:type="dxa"/>
            <w:tcBorders>
              <w:top w:val="single" w:color="auto" w:sz="4" w:space="0"/>
              <w:left w:val="single" w:color="auto" w:sz="4" w:space="0"/>
              <w:bottom w:val="single" w:color="auto" w:sz="4" w:space="0"/>
              <w:right w:val="single" w:color="auto" w:sz="4" w:space="0"/>
            </w:tcBorders>
            <w:noWrap/>
          </w:tcPr>
          <w:p w14:paraId="74A1CC9E">
            <w:pPr>
              <w:snapToGrid w:val="0"/>
              <w:spacing w:beforeLines="50"/>
              <w:rPr>
                <w:rFonts w:ascii="仿宋_GB2312" w:hAnsi="宋体" w:eastAsia="仿宋_GB2312"/>
                <w:color w:val="auto"/>
                <w:sz w:val="24"/>
                <w:szCs w:val="20"/>
                <w:highlight w:val="none"/>
              </w:rPr>
            </w:pPr>
          </w:p>
        </w:tc>
        <w:tc>
          <w:tcPr>
            <w:tcW w:w="1198" w:type="dxa"/>
            <w:tcBorders>
              <w:top w:val="single" w:color="auto" w:sz="4" w:space="0"/>
              <w:left w:val="single" w:color="auto" w:sz="4" w:space="0"/>
              <w:bottom w:val="single" w:color="auto" w:sz="4" w:space="0"/>
              <w:right w:val="single" w:color="auto" w:sz="4" w:space="0"/>
            </w:tcBorders>
            <w:noWrap/>
          </w:tcPr>
          <w:p w14:paraId="4DC4F254">
            <w:pPr>
              <w:snapToGrid w:val="0"/>
              <w:spacing w:beforeLines="50"/>
              <w:ind w:left="43"/>
              <w:rPr>
                <w:rFonts w:ascii="仿宋_GB2312" w:hAnsi="宋体" w:eastAsia="仿宋_GB2312"/>
                <w:color w:val="auto"/>
                <w:sz w:val="24"/>
                <w:szCs w:val="20"/>
                <w:highlight w:val="none"/>
              </w:rPr>
            </w:pPr>
          </w:p>
        </w:tc>
        <w:tc>
          <w:tcPr>
            <w:tcW w:w="2262" w:type="dxa"/>
            <w:tcBorders>
              <w:top w:val="single" w:color="auto" w:sz="4" w:space="0"/>
              <w:left w:val="single" w:color="auto" w:sz="4" w:space="0"/>
              <w:bottom w:val="single" w:color="auto" w:sz="4" w:space="0"/>
              <w:right w:val="single" w:color="auto" w:sz="4" w:space="0"/>
            </w:tcBorders>
            <w:noWrap/>
          </w:tcPr>
          <w:p w14:paraId="6EEA83D7">
            <w:pPr>
              <w:snapToGrid w:val="0"/>
              <w:spacing w:beforeLines="50"/>
              <w:ind w:left="43"/>
              <w:rPr>
                <w:rFonts w:ascii="仿宋_GB2312" w:hAnsi="宋体" w:eastAsia="仿宋_GB2312"/>
                <w:color w:val="auto"/>
                <w:sz w:val="24"/>
                <w:szCs w:val="20"/>
                <w:highlight w:val="none"/>
              </w:rPr>
            </w:pPr>
          </w:p>
        </w:tc>
      </w:tr>
      <w:tr w14:paraId="2E86A4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831" w:type="dxa"/>
            <w:tcBorders>
              <w:top w:val="single" w:color="auto" w:sz="4" w:space="0"/>
              <w:left w:val="single" w:color="auto" w:sz="4" w:space="0"/>
              <w:bottom w:val="single" w:color="auto" w:sz="4" w:space="0"/>
              <w:right w:val="single" w:color="auto" w:sz="4" w:space="0"/>
            </w:tcBorders>
            <w:noWrap/>
            <w:vAlign w:val="top"/>
          </w:tcPr>
          <w:p w14:paraId="1312B97A">
            <w:pPr>
              <w:spacing w:line="340" w:lineRule="exact"/>
              <w:jc w:val="center"/>
              <w:rPr>
                <w:rFonts w:ascii="仿宋_GB2312"/>
                <w:color w:val="auto"/>
                <w:sz w:val="24"/>
                <w:szCs w:val="21"/>
                <w:highlight w:val="none"/>
              </w:rPr>
            </w:pPr>
            <w:r>
              <w:rPr>
                <w:color w:val="auto"/>
                <w:sz w:val="24"/>
                <w:highlight w:val="none"/>
              </w:rPr>
              <w:t>4</w:t>
            </w:r>
          </w:p>
        </w:tc>
        <w:tc>
          <w:tcPr>
            <w:tcW w:w="3327" w:type="dxa"/>
            <w:tcBorders>
              <w:top w:val="single" w:color="auto" w:sz="4" w:space="0"/>
              <w:left w:val="single" w:color="auto" w:sz="4" w:space="0"/>
              <w:bottom w:val="single" w:color="auto" w:sz="4" w:space="0"/>
              <w:right w:val="single" w:color="auto" w:sz="4" w:space="0"/>
            </w:tcBorders>
            <w:noWrap/>
          </w:tcPr>
          <w:p w14:paraId="1DD8899F">
            <w:pPr>
              <w:snapToGrid w:val="0"/>
              <w:spacing w:beforeLines="50"/>
              <w:rPr>
                <w:rFonts w:ascii="仿宋_GB2312" w:hAnsi="宋体"/>
                <w:color w:val="auto"/>
                <w:sz w:val="24"/>
                <w:szCs w:val="21"/>
                <w:highlight w:val="none"/>
              </w:rPr>
            </w:pPr>
          </w:p>
        </w:tc>
        <w:tc>
          <w:tcPr>
            <w:tcW w:w="1198" w:type="dxa"/>
            <w:tcBorders>
              <w:top w:val="single" w:color="auto" w:sz="4" w:space="0"/>
              <w:left w:val="single" w:color="auto" w:sz="4" w:space="0"/>
              <w:bottom w:val="single" w:color="auto" w:sz="4" w:space="0"/>
              <w:right w:val="single" w:color="auto" w:sz="4" w:space="0"/>
            </w:tcBorders>
            <w:noWrap/>
          </w:tcPr>
          <w:p w14:paraId="32C2E558">
            <w:pPr>
              <w:snapToGrid w:val="0"/>
              <w:spacing w:beforeLines="50"/>
              <w:ind w:left="43"/>
              <w:rPr>
                <w:rFonts w:ascii="仿宋_GB2312" w:hAnsi="宋体" w:eastAsia="仿宋_GB2312"/>
                <w:color w:val="auto"/>
                <w:sz w:val="24"/>
                <w:szCs w:val="20"/>
                <w:highlight w:val="none"/>
              </w:rPr>
            </w:pPr>
          </w:p>
        </w:tc>
        <w:tc>
          <w:tcPr>
            <w:tcW w:w="2262" w:type="dxa"/>
            <w:tcBorders>
              <w:top w:val="single" w:color="auto" w:sz="4" w:space="0"/>
              <w:left w:val="single" w:color="auto" w:sz="4" w:space="0"/>
              <w:bottom w:val="single" w:color="auto" w:sz="4" w:space="0"/>
              <w:right w:val="single" w:color="auto" w:sz="4" w:space="0"/>
            </w:tcBorders>
            <w:noWrap/>
          </w:tcPr>
          <w:p w14:paraId="47462FDE">
            <w:pPr>
              <w:snapToGrid w:val="0"/>
              <w:spacing w:beforeLines="50"/>
              <w:ind w:left="43"/>
              <w:rPr>
                <w:rFonts w:ascii="仿宋_GB2312" w:hAnsi="宋体" w:eastAsia="仿宋_GB2312"/>
                <w:color w:val="auto"/>
                <w:sz w:val="24"/>
                <w:szCs w:val="20"/>
                <w:highlight w:val="none"/>
              </w:rPr>
            </w:pPr>
          </w:p>
        </w:tc>
      </w:tr>
    </w:tbl>
    <w:p w14:paraId="7E2ACFCA">
      <w:pPr>
        <w:rPr>
          <w:rFonts w:ascii="宋体" w:hAnsi="宋体"/>
          <w:color w:val="auto"/>
          <w:sz w:val="24"/>
          <w:highlight w:val="none"/>
        </w:rPr>
      </w:pPr>
    </w:p>
    <w:p w14:paraId="5F2C4130">
      <w:pPr>
        <w:kinsoku w:val="0"/>
        <w:topLinePunct/>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供应商：（盖章）             </w:t>
      </w:r>
    </w:p>
    <w:p w14:paraId="5E17DF02">
      <w:pPr>
        <w:kinsoku w:val="0"/>
        <w:topLinePunct/>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法定代表人或被授权人（签字或盖章）：</w:t>
      </w:r>
    </w:p>
    <w:p w14:paraId="446DE26B">
      <w:pPr>
        <w:kinsoku w:val="0"/>
        <w:topLinePunct/>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日期：</w:t>
      </w:r>
    </w:p>
    <w:p w14:paraId="6EF4F495">
      <w:pPr>
        <w:ind w:firstLine="482" w:firstLineChars="200"/>
        <w:rPr>
          <w:rFonts w:ascii="宋体" w:hAnsi="宋体"/>
          <w:b/>
          <w:color w:val="auto"/>
          <w:sz w:val="24"/>
          <w:highlight w:val="none"/>
        </w:rPr>
      </w:pPr>
    </w:p>
    <w:p w14:paraId="10AB6B31">
      <w:pPr>
        <w:snapToGrid w:val="0"/>
        <w:spacing w:line="300" w:lineRule="auto"/>
        <w:contextualSpacing/>
        <w:rPr>
          <w:b/>
          <w:color w:val="auto"/>
          <w:sz w:val="24"/>
          <w:highlight w:val="none"/>
        </w:rPr>
      </w:pPr>
      <w:r>
        <w:rPr>
          <w:b/>
          <w:color w:val="auto"/>
          <w:sz w:val="24"/>
          <w:highlight w:val="none"/>
        </w:rPr>
        <w:t>注：</w:t>
      </w:r>
    </w:p>
    <w:p w14:paraId="5CE0EDD2">
      <w:pPr>
        <w:snapToGrid w:val="0"/>
        <w:spacing w:line="300" w:lineRule="auto"/>
        <w:ind w:firstLine="480" w:firstLineChars="200"/>
        <w:contextualSpacing/>
        <w:rPr>
          <w:color w:val="auto"/>
          <w:sz w:val="24"/>
          <w:highlight w:val="none"/>
        </w:rPr>
      </w:pPr>
      <w:r>
        <w:rPr>
          <w:color w:val="auto"/>
          <w:sz w:val="24"/>
          <w:highlight w:val="none"/>
        </w:rPr>
        <w:t>1.</w:t>
      </w:r>
      <w:r>
        <w:rPr>
          <w:rFonts w:hint="eastAsia"/>
          <w:color w:val="auto"/>
          <w:sz w:val="24"/>
          <w:highlight w:val="none"/>
          <w:lang w:val="en-US" w:eastAsia="zh-CN"/>
        </w:rPr>
        <w:t>供应商</w:t>
      </w:r>
      <w:r>
        <w:rPr>
          <w:color w:val="auto"/>
          <w:sz w:val="24"/>
          <w:highlight w:val="none"/>
        </w:rPr>
        <w:t>提交的</w:t>
      </w:r>
      <w:r>
        <w:rPr>
          <w:rFonts w:hint="eastAsia"/>
          <w:color w:val="auto"/>
          <w:sz w:val="24"/>
          <w:highlight w:val="none"/>
          <w:lang w:val="en-US" w:eastAsia="zh-CN"/>
        </w:rPr>
        <w:t>响应</w:t>
      </w:r>
      <w:r>
        <w:rPr>
          <w:color w:val="auto"/>
          <w:sz w:val="24"/>
          <w:highlight w:val="none"/>
        </w:rPr>
        <w:t>文件中与</w:t>
      </w:r>
      <w:r>
        <w:rPr>
          <w:rFonts w:hint="eastAsia"/>
          <w:color w:val="auto"/>
          <w:sz w:val="24"/>
          <w:highlight w:val="none"/>
          <w:lang w:val="en-US" w:eastAsia="zh-CN"/>
        </w:rPr>
        <w:t>采购</w:t>
      </w:r>
      <w:r>
        <w:rPr>
          <w:color w:val="auto"/>
          <w:sz w:val="24"/>
          <w:highlight w:val="none"/>
        </w:rPr>
        <w:t>文件第三部分“项目需求”中的商务部分的要求，应逐条填列在偏离表中。</w:t>
      </w:r>
    </w:p>
    <w:p w14:paraId="669F1C7F">
      <w:pPr>
        <w:snapToGrid w:val="0"/>
        <w:spacing w:line="300" w:lineRule="auto"/>
        <w:ind w:firstLine="480" w:firstLineChars="200"/>
        <w:contextualSpacing/>
        <w:rPr>
          <w:color w:val="auto"/>
          <w:sz w:val="24"/>
          <w:highlight w:val="none"/>
        </w:rPr>
      </w:pPr>
      <w:r>
        <w:rPr>
          <w:color w:val="auto"/>
          <w:sz w:val="24"/>
          <w:highlight w:val="none"/>
        </w:rPr>
        <w:t>2.“偏离说明”一栏选择“正偏离”、“无偏离”、“负偏离”进行填写。正偏离、无偏离的确认和负偏离的是否响应</w:t>
      </w:r>
      <w:r>
        <w:rPr>
          <w:rFonts w:hint="eastAsia"/>
          <w:color w:val="auto"/>
          <w:sz w:val="24"/>
          <w:highlight w:val="none"/>
          <w:lang w:val="en-US" w:eastAsia="zh-CN"/>
        </w:rPr>
        <w:t>采购</w:t>
      </w:r>
      <w:r>
        <w:rPr>
          <w:color w:val="auto"/>
          <w:sz w:val="24"/>
          <w:highlight w:val="none"/>
        </w:rPr>
        <w:t>文件，由评委认定。</w:t>
      </w:r>
    </w:p>
    <w:p w14:paraId="16042F08">
      <w:pPr>
        <w:snapToGrid w:val="0"/>
        <w:spacing w:line="300" w:lineRule="auto"/>
        <w:ind w:firstLine="480" w:firstLineChars="200"/>
        <w:contextualSpacing/>
        <w:rPr>
          <w:bCs/>
          <w:color w:val="auto"/>
          <w:sz w:val="24"/>
          <w:highlight w:val="none"/>
        </w:rPr>
      </w:pPr>
      <w:r>
        <w:rPr>
          <w:color w:val="auto"/>
          <w:sz w:val="24"/>
          <w:highlight w:val="none"/>
        </w:rPr>
        <w:t>3.</w:t>
      </w:r>
      <w:r>
        <w:rPr>
          <w:bCs/>
          <w:color w:val="auto"/>
          <w:sz w:val="24"/>
          <w:highlight w:val="none"/>
        </w:rPr>
        <w:t>供应商若提供其他增值服务，可以在表中自行据实填写。</w:t>
      </w:r>
    </w:p>
    <w:p w14:paraId="1225311D">
      <w:pPr>
        <w:snapToGrid w:val="0"/>
        <w:spacing w:line="300" w:lineRule="auto"/>
        <w:ind w:firstLine="482" w:firstLineChars="200"/>
        <w:contextualSpacing/>
        <w:rPr>
          <w:rFonts w:hint="default" w:eastAsia="宋体"/>
          <w:b/>
          <w:bCs w:val="0"/>
          <w:color w:val="auto"/>
          <w:sz w:val="24"/>
          <w:highlight w:val="none"/>
          <w:lang w:val="en-US" w:eastAsia="zh-CN"/>
        </w:rPr>
      </w:pPr>
      <w:r>
        <w:rPr>
          <w:rFonts w:hint="eastAsia"/>
          <w:b/>
          <w:bCs w:val="0"/>
          <w:color w:val="auto"/>
          <w:sz w:val="24"/>
          <w:highlight w:val="none"/>
          <w:lang w:val="en-US" w:eastAsia="zh-CN"/>
        </w:rPr>
        <w:t>4.商务</w:t>
      </w:r>
      <w:r>
        <w:rPr>
          <w:rFonts w:hint="eastAsia" w:ascii="宋体" w:hAnsi="宋体" w:cs="宋体"/>
          <w:b/>
          <w:bCs w:val="0"/>
          <w:color w:val="auto"/>
          <w:sz w:val="24"/>
          <w:highlight w:val="none"/>
        </w:rPr>
        <w:t>部分</w:t>
      </w:r>
      <w:r>
        <w:rPr>
          <w:rFonts w:hint="eastAsia" w:ascii="宋体" w:hAnsi="宋体" w:cs="宋体"/>
          <w:b/>
          <w:bCs w:val="0"/>
          <w:color w:val="auto"/>
          <w:sz w:val="24"/>
          <w:highlight w:val="none"/>
          <w:lang w:val="en-US" w:eastAsia="zh-CN"/>
        </w:rPr>
        <w:t>未在此表明示的内容</w:t>
      </w:r>
      <w:r>
        <w:rPr>
          <w:rFonts w:hint="eastAsia"/>
          <w:b/>
          <w:bCs w:val="0"/>
          <w:color w:val="auto"/>
          <w:sz w:val="24"/>
          <w:highlight w:val="none"/>
        </w:rPr>
        <w:t>视同完全响应</w:t>
      </w:r>
      <w:r>
        <w:rPr>
          <w:rFonts w:hint="eastAsia"/>
          <w:b/>
          <w:bCs w:val="0"/>
          <w:color w:val="auto"/>
          <w:sz w:val="24"/>
          <w:highlight w:val="none"/>
          <w:lang w:eastAsia="zh-CN"/>
        </w:rPr>
        <w:t>。</w:t>
      </w:r>
    </w:p>
    <w:p w14:paraId="17FAB6EE">
      <w:pPr>
        <w:snapToGrid w:val="0"/>
        <w:spacing w:line="300" w:lineRule="auto"/>
        <w:ind w:firstLine="480" w:firstLineChars="200"/>
        <w:contextualSpacing/>
        <w:rPr>
          <w:bCs/>
          <w:color w:val="auto"/>
          <w:sz w:val="24"/>
          <w:highlight w:val="none"/>
        </w:rPr>
      </w:pPr>
    </w:p>
    <w:p w14:paraId="0858C705">
      <w:pPr>
        <w:spacing w:line="360" w:lineRule="auto"/>
        <w:jc w:val="center"/>
        <w:rPr>
          <w:rFonts w:ascii="宋体" w:hAnsi="宋体" w:cs="宋体"/>
          <w:b/>
          <w:bCs/>
          <w:color w:val="auto"/>
          <w:sz w:val="24"/>
          <w:highlight w:val="none"/>
        </w:rPr>
      </w:pPr>
      <w:r>
        <w:rPr>
          <w:rFonts w:ascii="宋体" w:hAnsi="宋体" w:cs="宋体"/>
          <w:b/>
          <w:bCs/>
          <w:color w:val="auto"/>
          <w:sz w:val="24"/>
          <w:highlight w:val="none"/>
        </w:rPr>
        <w:br w:type="page"/>
      </w:r>
      <w:r>
        <w:rPr>
          <w:rFonts w:hint="eastAsia" w:ascii="宋体" w:hAnsi="宋体" w:cs="宋体"/>
          <w:b/>
          <w:bCs/>
          <w:color w:val="auto"/>
          <w:sz w:val="24"/>
          <w:highlight w:val="none"/>
        </w:rPr>
        <w:t>4、供应商一般情况表</w:t>
      </w:r>
    </w:p>
    <w:tbl>
      <w:tblPr>
        <w:tblStyle w:val="14"/>
        <w:tblW w:w="0" w:type="auto"/>
        <w:jc w:val="center"/>
        <w:tblLayout w:type="fixed"/>
        <w:tblCellMar>
          <w:top w:w="0" w:type="dxa"/>
          <w:left w:w="108" w:type="dxa"/>
          <w:bottom w:w="0" w:type="dxa"/>
          <w:right w:w="108" w:type="dxa"/>
        </w:tblCellMar>
      </w:tblPr>
      <w:tblGrid>
        <w:gridCol w:w="2235"/>
        <w:gridCol w:w="708"/>
        <w:gridCol w:w="851"/>
        <w:gridCol w:w="849"/>
        <w:gridCol w:w="568"/>
        <w:gridCol w:w="1307"/>
        <w:gridCol w:w="159"/>
        <w:gridCol w:w="1320"/>
        <w:gridCol w:w="1467"/>
      </w:tblGrid>
      <w:tr w14:paraId="4DE15653">
        <w:tblPrEx>
          <w:tblCellMar>
            <w:top w:w="0" w:type="dxa"/>
            <w:left w:w="108" w:type="dxa"/>
            <w:bottom w:w="0" w:type="dxa"/>
            <w:right w:w="108" w:type="dxa"/>
          </w:tblCellMar>
        </w:tblPrEx>
        <w:trPr>
          <w:cantSplit/>
          <w:trHeight w:val="286"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757E85F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企业名称</w:t>
            </w:r>
          </w:p>
        </w:tc>
        <w:tc>
          <w:tcPr>
            <w:tcW w:w="7229" w:type="dxa"/>
            <w:gridSpan w:val="8"/>
            <w:tcBorders>
              <w:top w:val="single" w:color="auto" w:sz="4" w:space="0"/>
              <w:left w:val="nil"/>
              <w:bottom w:val="single" w:color="auto" w:sz="4" w:space="0"/>
              <w:right w:val="single" w:color="auto" w:sz="4" w:space="0"/>
            </w:tcBorders>
            <w:noWrap/>
          </w:tcPr>
          <w:p w14:paraId="2CD224C5">
            <w:pPr>
              <w:spacing w:line="360" w:lineRule="auto"/>
              <w:rPr>
                <w:rFonts w:ascii="宋体" w:hAnsi="宋体" w:cs="宋体"/>
                <w:color w:val="auto"/>
                <w:sz w:val="24"/>
                <w:highlight w:val="none"/>
              </w:rPr>
            </w:pPr>
          </w:p>
        </w:tc>
      </w:tr>
      <w:tr w14:paraId="618DE52C">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438A687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总部地址</w:t>
            </w:r>
          </w:p>
        </w:tc>
        <w:tc>
          <w:tcPr>
            <w:tcW w:w="7229" w:type="dxa"/>
            <w:gridSpan w:val="8"/>
            <w:tcBorders>
              <w:top w:val="single" w:color="auto" w:sz="4" w:space="0"/>
              <w:left w:val="nil"/>
              <w:bottom w:val="single" w:color="auto" w:sz="4" w:space="0"/>
              <w:right w:val="single" w:color="auto" w:sz="4" w:space="0"/>
            </w:tcBorders>
            <w:noWrap/>
          </w:tcPr>
          <w:p w14:paraId="4945F5DD">
            <w:pPr>
              <w:spacing w:line="360" w:lineRule="auto"/>
              <w:rPr>
                <w:rFonts w:ascii="宋体" w:hAnsi="宋体" w:cs="宋体"/>
                <w:color w:val="auto"/>
                <w:sz w:val="24"/>
                <w:highlight w:val="none"/>
              </w:rPr>
            </w:pPr>
          </w:p>
        </w:tc>
      </w:tr>
      <w:tr w14:paraId="79C7B60F">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1CEF5F2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分支机构</w:t>
            </w:r>
          </w:p>
        </w:tc>
        <w:tc>
          <w:tcPr>
            <w:tcW w:w="7229" w:type="dxa"/>
            <w:gridSpan w:val="8"/>
            <w:tcBorders>
              <w:top w:val="single" w:color="auto" w:sz="4" w:space="0"/>
              <w:left w:val="nil"/>
              <w:bottom w:val="single" w:color="auto" w:sz="4" w:space="0"/>
              <w:right w:val="single" w:color="auto" w:sz="4" w:space="0"/>
            </w:tcBorders>
            <w:noWrap/>
          </w:tcPr>
          <w:p w14:paraId="0B605AC2">
            <w:pPr>
              <w:spacing w:line="360" w:lineRule="auto"/>
              <w:rPr>
                <w:rFonts w:ascii="宋体" w:hAnsi="宋体" w:cs="宋体"/>
                <w:color w:val="auto"/>
                <w:sz w:val="24"/>
                <w:highlight w:val="none"/>
              </w:rPr>
            </w:pPr>
          </w:p>
        </w:tc>
      </w:tr>
      <w:tr w14:paraId="31960C74">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0748A48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当地代表处地址</w:t>
            </w:r>
          </w:p>
        </w:tc>
        <w:tc>
          <w:tcPr>
            <w:tcW w:w="7229" w:type="dxa"/>
            <w:gridSpan w:val="8"/>
            <w:tcBorders>
              <w:top w:val="single" w:color="auto" w:sz="4" w:space="0"/>
              <w:left w:val="nil"/>
              <w:bottom w:val="single" w:color="auto" w:sz="4" w:space="0"/>
              <w:right w:val="single" w:color="auto" w:sz="4" w:space="0"/>
            </w:tcBorders>
            <w:noWrap/>
          </w:tcPr>
          <w:p w14:paraId="6099A9DB">
            <w:pPr>
              <w:spacing w:line="360" w:lineRule="auto"/>
              <w:rPr>
                <w:rFonts w:ascii="宋体" w:hAnsi="宋体" w:cs="宋体"/>
                <w:color w:val="auto"/>
                <w:sz w:val="24"/>
                <w:highlight w:val="none"/>
              </w:rPr>
            </w:pPr>
          </w:p>
        </w:tc>
      </w:tr>
      <w:tr w14:paraId="0AB487DE">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02F2647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电话</w:t>
            </w:r>
          </w:p>
        </w:tc>
        <w:tc>
          <w:tcPr>
            <w:tcW w:w="2408" w:type="dxa"/>
            <w:gridSpan w:val="3"/>
            <w:tcBorders>
              <w:top w:val="single" w:color="auto" w:sz="4" w:space="0"/>
              <w:left w:val="nil"/>
              <w:bottom w:val="single" w:color="auto" w:sz="4" w:space="0"/>
              <w:right w:val="single" w:color="auto" w:sz="4" w:space="0"/>
            </w:tcBorders>
            <w:noWrap/>
          </w:tcPr>
          <w:p w14:paraId="41A9F9F8">
            <w:pPr>
              <w:spacing w:line="360" w:lineRule="auto"/>
              <w:rPr>
                <w:rFonts w:ascii="宋体" w:hAnsi="宋体" w:cs="宋体"/>
                <w:color w:val="auto"/>
                <w:sz w:val="24"/>
                <w:highlight w:val="none"/>
              </w:rPr>
            </w:pPr>
          </w:p>
        </w:tc>
        <w:tc>
          <w:tcPr>
            <w:tcW w:w="1875" w:type="dxa"/>
            <w:gridSpan w:val="2"/>
            <w:tcBorders>
              <w:top w:val="single" w:color="auto" w:sz="4" w:space="0"/>
              <w:left w:val="nil"/>
              <w:bottom w:val="single" w:color="auto" w:sz="4" w:space="0"/>
              <w:right w:val="single" w:color="auto" w:sz="4" w:space="0"/>
            </w:tcBorders>
            <w:noWrap/>
          </w:tcPr>
          <w:p w14:paraId="7AE2EA1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联系人</w:t>
            </w:r>
          </w:p>
        </w:tc>
        <w:tc>
          <w:tcPr>
            <w:tcW w:w="2946" w:type="dxa"/>
            <w:gridSpan w:val="3"/>
            <w:tcBorders>
              <w:top w:val="single" w:color="auto" w:sz="4" w:space="0"/>
              <w:left w:val="nil"/>
              <w:bottom w:val="single" w:color="auto" w:sz="4" w:space="0"/>
              <w:right w:val="single" w:color="auto" w:sz="4" w:space="0"/>
            </w:tcBorders>
            <w:noWrap/>
          </w:tcPr>
          <w:p w14:paraId="6C4F4460">
            <w:pPr>
              <w:spacing w:line="360" w:lineRule="auto"/>
              <w:rPr>
                <w:rFonts w:ascii="宋体" w:hAnsi="宋体" w:cs="宋体"/>
                <w:color w:val="auto"/>
                <w:sz w:val="24"/>
                <w:highlight w:val="none"/>
              </w:rPr>
            </w:pPr>
          </w:p>
        </w:tc>
      </w:tr>
      <w:tr w14:paraId="079329B9">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51B6CB1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传真</w:t>
            </w:r>
          </w:p>
        </w:tc>
        <w:tc>
          <w:tcPr>
            <w:tcW w:w="2408" w:type="dxa"/>
            <w:gridSpan w:val="3"/>
            <w:tcBorders>
              <w:top w:val="single" w:color="auto" w:sz="4" w:space="0"/>
              <w:left w:val="nil"/>
              <w:bottom w:val="single" w:color="auto" w:sz="4" w:space="0"/>
              <w:right w:val="single" w:color="auto" w:sz="4" w:space="0"/>
            </w:tcBorders>
            <w:noWrap/>
          </w:tcPr>
          <w:p w14:paraId="3E6C217E">
            <w:pPr>
              <w:spacing w:line="360" w:lineRule="auto"/>
              <w:rPr>
                <w:rFonts w:ascii="宋体" w:hAnsi="宋体" w:cs="宋体"/>
                <w:color w:val="auto"/>
                <w:sz w:val="24"/>
                <w:highlight w:val="none"/>
              </w:rPr>
            </w:pPr>
          </w:p>
        </w:tc>
        <w:tc>
          <w:tcPr>
            <w:tcW w:w="1875" w:type="dxa"/>
            <w:gridSpan w:val="2"/>
            <w:tcBorders>
              <w:top w:val="single" w:color="auto" w:sz="4" w:space="0"/>
              <w:left w:val="nil"/>
              <w:bottom w:val="single" w:color="auto" w:sz="4" w:space="0"/>
              <w:right w:val="single" w:color="auto" w:sz="4" w:space="0"/>
            </w:tcBorders>
            <w:noWrap/>
          </w:tcPr>
          <w:p w14:paraId="50BEF9C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电子邮件</w:t>
            </w:r>
          </w:p>
        </w:tc>
        <w:tc>
          <w:tcPr>
            <w:tcW w:w="2946" w:type="dxa"/>
            <w:gridSpan w:val="3"/>
            <w:tcBorders>
              <w:top w:val="single" w:color="auto" w:sz="4" w:space="0"/>
              <w:left w:val="nil"/>
              <w:bottom w:val="single" w:color="auto" w:sz="4" w:space="0"/>
              <w:right w:val="single" w:color="auto" w:sz="4" w:space="0"/>
            </w:tcBorders>
            <w:noWrap/>
          </w:tcPr>
          <w:p w14:paraId="3BB300C7">
            <w:pPr>
              <w:spacing w:line="360" w:lineRule="auto"/>
              <w:rPr>
                <w:rFonts w:ascii="宋体" w:hAnsi="宋体" w:cs="宋体"/>
                <w:color w:val="auto"/>
                <w:sz w:val="24"/>
                <w:highlight w:val="none"/>
              </w:rPr>
            </w:pPr>
          </w:p>
        </w:tc>
      </w:tr>
      <w:tr w14:paraId="662C3145">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0BA0347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注册地</w:t>
            </w:r>
          </w:p>
        </w:tc>
        <w:tc>
          <w:tcPr>
            <w:tcW w:w="2408" w:type="dxa"/>
            <w:gridSpan w:val="3"/>
            <w:tcBorders>
              <w:top w:val="single" w:color="auto" w:sz="4" w:space="0"/>
              <w:left w:val="nil"/>
              <w:bottom w:val="single" w:color="auto" w:sz="4" w:space="0"/>
              <w:right w:val="single" w:color="auto" w:sz="4" w:space="0"/>
            </w:tcBorders>
            <w:noWrap/>
          </w:tcPr>
          <w:p w14:paraId="7A115E2F">
            <w:pPr>
              <w:spacing w:line="360" w:lineRule="auto"/>
              <w:rPr>
                <w:rFonts w:ascii="宋体" w:hAnsi="宋体" w:cs="宋体"/>
                <w:color w:val="auto"/>
                <w:sz w:val="24"/>
                <w:highlight w:val="none"/>
              </w:rPr>
            </w:pPr>
          </w:p>
        </w:tc>
        <w:tc>
          <w:tcPr>
            <w:tcW w:w="1875" w:type="dxa"/>
            <w:gridSpan w:val="2"/>
            <w:tcBorders>
              <w:top w:val="single" w:color="auto" w:sz="4" w:space="0"/>
              <w:left w:val="nil"/>
              <w:bottom w:val="single" w:color="auto" w:sz="4" w:space="0"/>
              <w:right w:val="single" w:color="auto" w:sz="4" w:space="0"/>
            </w:tcBorders>
            <w:noWrap/>
          </w:tcPr>
          <w:p w14:paraId="42265D3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注册年份</w:t>
            </w:r>
          </w:p>
        </w:tc>
        <w:tc>
          <w:tcPr>
            <w:tcW w:w="2946" w:type="dxa"/>
            <w:gridSpan w:val="3"/>
            <w:tcBorders>
              <w:top w:val="single" w:color="auto" w:sz="4" w:space="0"/>
              <w:left w:val="nil"/>
              <w:bottom w:val="single" w:color="auto" w:sz="4" w:space="0"/>
              <w:right w:val="single" w:color="auto" w:sz="4" w:space="0"/>
            </w:tcBorders>
            <w:noWrap/>
          </w:tcPr>
          <w:p w14:paraId="521ADF63">
            <w:pPr>
              <w:spacing w:line="360" w:lineRule="auto"/>
              <w:rPr>
                <w:rFonts w:ascii="宋体" w:hAnsi="宋体" w:cs="宋体"/>
                <w:color w:val="auto"/>
                <w:sz w:val="24"/>
                <w:highlight w:val="none"/>
              </w:rPr>
            </w:pPr>
          </w:p>
        </w:tc>
      </w:tr>
      <w:tr w14:paraId="1BD37350">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5EB43B1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资质等级</w:t>
            </w:r>
          </w:p>
        </w:tc>
        <w:tc>
          <w:tcPr>
            <w:tcW w:w="7229" w:type="dxa"/>
            <w:gridSpan w:val="8"/>
            <w:tcBorders>
              <w:top w:val="single" w:color="auto" w:sz="4" w:space="0"/>
              <w:left w:val="nil"/>
              <w:bottom w:val="single" w:color="auto" w:sz="4" w:space="0"/>
              <w:right w:val="single" w:color="auto" w:sz="4" w:space="0"/>
            </w:tcBorders>
            <w:noWrap/>
          </w:tcPr>
          <w:p w14:paraId="338B1D84">
            <w:pPr>
              <w:spacing w:line="360" w:lineRule="auto"/>
              <w:rPr>
                <w:rFonts w:ascii="宋体" w:hAnsi="宋体" w:cs="宋体"/>
                <w:color w:val="auto"/>
                <w:sz w:val="24"/>
                <w:highlight w:val="none"/>
              </w:rPr>
            </w:pPr>
            <w:r>
              <w:rPr>
                <w:rFonts w:hint="eastAsia" w:ascii="宋体" w:hAnsi="宋体" w:cs="宋体"/>
                <w:color w:val="auto"/>
                <w:sz w:val="24"/>
                <w:highlight w:val="none"/>
              </w:rPr>
              <w:t>公司具备的相关资质等级及相应的证书号</w:t>
            </w:r>
          </w:p>
          <w:p w14:paraId="2F5B54E4">
            <w:pPr>
              <w:spacing w:line="360" w:lineRule="auto"/>
              <w:rPr>
                <w:rFonts w:ascii="宋体" w:hAnsi="宋体" w:cs="宋体"/>
                <w:color w:val="auto"/>
                <w:sz w:val="24"/>
                <w:highlight w:val="none"/>
              </w:rPr>
            </w:pPr>
            <w:r>
              <w:rPr>
                <w:rFonts w:hint="eastAsia" w:ascii="宋体" w:hAnsi="宋体" w:cs="宋体"/>
                <w:color w:val="auto"/>
                <w:sz w:val="24"/>
                <w:highlight w:val="none"/>
              </w:rPr>
              <w:t>（请附有关证书的复印件）</w:t>
            </w:r>
          </w:p>
        </w:tc>
      </w:tr>
      <w:tr w14:paraId="618FB400">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5F9A49F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质量管理体系</w:t>
            </w:r>
          </w:p>
        </w:tc>
        <w:tc>
          <w:tcPr>
            <w:tcW w:w="7229" w:type="dxa"/>
            <w:gridSpan w:val="8"/>
            <w:tcBorders>
              <w:top w:val="single" w:color="auto" w:sz="4" w:space="0"/>
              <w:left w:val="nil"/>
              <w:bottom w:val="single" w:color="auto" w:sz="4" w:space="0"/>
              <w:right w:val="single" w:color="auto" w:sz="4" w:space="0"/>
            </w:tcBorders>
            <w:noWrap/>
          </w:tcPr>
          <w:p w14:paraId="75A50236">
            <w:pPr>
              <w:spacing w:line="360" w:lineRule="auto"/>
              <w:rPr>
                <w:rFonts w:ascii="宋体" w:hAnsi="宋体" w:cs="宋体"/>
                <w:color w:val="auto"/>
                <w:sz w:val="24"/>
                <w:highlight w:val="none"/>
              </w:rPr>
            </w:pPr>
            <w:r>
              <w:rPr>
                <w:rFonts w:hint="eastAsia" w:ascii="宋体" w:hAnsi="宋体" w:cs="宋体"/>
                <w:color w:val="auto"/>
                <w:sz w:val="24"/>
                <w:highlight w:val="none"/>
              </w:rPr>
              <w:t>公司</w:t>
            </w:r>
            <w:r>
              <w:rPr>
                <w:rFonts w:hint="eastAsia" w:ascii="宋体" w:hAnsi="宋体" w:cs="宋体"/>
                <w:color w:val="auto"/>
                <w:sz w:val="24"/>
                <w:highlight w:val="none"/>
                <w:u w:val="single"/>
              </w:rPr>
              <w:t xml:space="preserve">   （是否通过，何种）   </w:t>
            </w:r>
            <w:r>
              <w:rPr>
                <w:rFonts w:hint="eastAsia" w:ascii="宋体" w:hAnsi="宋体" w:cs="宋体"/>
                <w:color w:val="auto"/>
                <w:sz w:val="24"/>
                <w:highlight w:val="none"/>
              </w:rPr>
              <w:t>质量保证体系认证（如通过请附相关在有效期内的证书复印件）</w:t>
            </w:r>
          </w:p>
        </w:tc>
      </w:tr>
      <w:tr w14:paraId="6B5E7B1D">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3F54AD0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项目负责人</w:t>
            </w:r>
          </w:p>
        </w:tc>
        <w:tc>
          <w:tcPr>
            <w:tcW w:w="1559" w:type="dxa"/>
            <w:gridSpan w:val="2"/>
            <w:tcBorders>
              <w:top w:val="single" w:color="auto" w:sz="4" w:space="0"/>
              <w:left w:val="nil"/>
              <w:bottom w:val="single" w:color="auto" w:sz="4" w:space="0"/>
              <w:right w:val="single" w:color="auto" w:sz="4" w:space="0"/>
            </w:tcBorders>
            <w:noWrap/>
          </w:tcPr>
          <w:p w14:paraId="32157A88">
            <w:pPr>
              <w:spacing w:line="360" w:lineRule="auto"/>
              <w:jc w:val="center"/>
              <w:rPr>
                <w:rFonts w:ascii="宋体" w:hAnsi="宋体" w:cs="宋体"/>
                <w:color w:val="auto"/>
                <w:sz w:val="24"/>
                <w:highlight w:val="none"/>
              </w:rPr>
            </w:pPr>
          </w:p>
        </w:tc>
        <w:tc>
          <w:tcPr>
            <w:tcW w:w="1417" w:type="dxa"/>
            <w:gridSpan w:val="2"/>
            <w:tcBorders>
              <w:top w:val="single" w:color="auto" w:sz="4" w:space="0"/>
              <w:left w:val="nil"/>
              <w:bottom w:val="single" w:color="auto" w:sz="4" w:space="0"/>
              <w:right w:val="single" w:color="auto" w:sz="4" w:space="0"/>
            </w:tcBorders>
            <w:noWrap/>
          </w:tcPr>
          <w:p w14:paraId="7740A1E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466" w:type="dxa"/>
            <w:gridSpan w:val="2"/>
            <w:tcBorders>
              <w:top w:val="single" w:color="auto" w:sz="4" w:space="0"/>
              <w:left w:val="nil"/>
              <w:bottom w:val="single" w:color="auto" w:sz="4" w:space="0"/>
              <w:right w:val="single" w:color="auto" w:sz="4" w:space="0"/>
            </w:tcBorders>
            <w:noWrap/>
          </w:tcPr>
          <w:p w14:paraId="6A48A493">
            <w:pPr>
              <w:spacing w:line="360" w:lineRule="auto"/>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noWrap/>
          </w:tcPr>
          <w:p w14:paraId="1E4388B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1467" w:type="dxa"/>
            <w:tcBorders>
              <w:top w:val="single" w:color="auto" w:sz="4" w:space="0"/>
              <w:left w:val="nil"/>
              <w:bottom w:val="single" w:color="auto" w:sz="4" w:space="0"/>
              <w:right w:val="single" w:color="auto" w:sz="4" w:space="0"/>
            </w:tcBorders>
            <w:noWrap/>
          </w:tcPr>
          <w:p w14:paraId="67671702">
            <w:pPr>
              <w:spacing w:line="360" w:lineRule="auto"/>
              <w:jc w:val="center"/>
              <w:rPr>
                <w:rFonts w:ascii="宋体" w:hAnsi="宋体" w:cs="宋体"/>
                <w:color w:val="auto"/>
                <w:sz w:val="24"/>
                <w:highlight w:val="none"/>
              </w:rPr>
            </w:pPr>
          </w:p>
        </w:tc>
      </w:tr>
      <w:tr w14:paraId="45C00897">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5521B3F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职务职称</w:t>
            </w:r>
          </w:p>
        </w:tc>
        <w:tc>
          <w:tcPr>
            <w:tcW w:w="2976" w:type="dxa"/>
            <w:gridSpan w:val="4"/>
            <w:tcBorders>
              <w:top w:val="single" w:color="auto" w:sz="4" w:space="0"/>
              <w:left w:val="nil"/>
              <w:bottom w:val="single" w:color="auto" w:sz="4" w:space="0"/>
              <w:right w:val="single" w:color="auto" w:sz="4" w:space="0"/>
            </w:tcBorders>
            <w:noWrap/>
          </w:tcPr>
          <w:p w14:paraId="2218EE0D">
            <w:pPr>
              <w:spacing w:line="360" w:lineRule="auto"/>
              <w:rPr>
                <w:rFonts w:ascii="宋体" w:hAnsi="宋体" w:cs="宋体"/>
                <w:color w:val="auto"/>
                <w:sz w:val="24"/>
                <w:highlight w:val="none"/>
              </w:rPr>
            </w:pPr>
          </w:p>
        </w:tc>
        <w:tc>
          <w:tcPr>
            <w:tcW w:w="1466" w:type="dxa"/>
            <w:gridSpan w:val="2"/>
            <w:tcBorders>
              <w:top w:val="single" w:color="auto" w:sz="4" w:space="0"/>
              <w:left w:val="nil"/>
              <w:bottom w:val="single" w:color="auto" w:sz="4" w:space="0"/>
              <w:right w:val="single" w:color="auto" w:sz="4" w:space="0"/>
            </w:tcBorders>
            <w:noWrap/>
          </w:tcPr>
          <w:p w14:paraId="78F322B1">
            <w:pPr>
              <w:spacing w:line="360" w:lineRule="auto"/>
              <w:rPr>
                <w:rFonts w:ascii="宋体" w:hAnsi="宋体" w:cs="宋体"/>
                <w:color w:val="auto"/>
                <w:sz w:val="24"/>
                <w:highlight w:val="none"/>
              </w:rPr>
            </w:pPr>
            <w:r>
              <w:rPr>
                <w:rFonts w:hint="eastAsia" w:ascii="宋体" w:hAnsi="宋体" w:cs="宋体"/>
                <w:color w:val="auto"/>
                <w:sz w:val="24"/>
                <w:highlight w:val="none"/>
              </w:rPr>
              <w:t>执业资格</w:t>
            </w:r>
          </w:p>
        </w:tc>
        <w:tc>
          <w:tcPr>
            <w:tcW w:w="2787" w:type="dxa"/>
            <w:gridSpan w:val="2"/>
            <w:tcBorders>
              <w:top w:val="single" w:color="auto" w:sz="4" w:space="0"/>
              <w:left w:val="nil"/>
              <w:bottom w:val="single" w:color="auto" w:sz="4" w:space="0"/>
              <w:right w:val="single" w:color="auto" w:sz="4" w:space="0"/>
            </w:tcBorders>
            <w:noWrap/>
          </w:tcPr>
          <w:p w14:paraId="7AE2DA1E">
            <w:pPr>
              <w:spacing w:line="360" w:lineRule="auto"/>
              <w:rPr>
                <w:rFonts w:ascii="宋体" w:hAnsi="宋体" w:cs="宋体"/>
                <w:color w:val="auto"/>
                <w:sz w:val="24"/>
                <w:highlight w:val="none"/>
              </w:rPr>
            </w:pPr>
          </w:p>
        </w:tc>
      </w:tr>
      <w:tr w14:paraId="347B6643">
        <w:tblPrEx>
          <w:tblCellMar>
            <w:top w:w="0" w:type="dxa"/>
            <w:left w:w="108" w:type="dxa"/>
            <w:bottom w:w="0" w:type="dxa"/>
            <w:right w:w="108" w:type="dxa"/>
          </w:tblCellMar>
        </w:tblPrEx>
        <w:trPr>
          <w:cantSplit/>
          <w:trHeight w:val="2780"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5AB33E7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经营范围</w:t>
            </w:r>
          </w:p>
        </w:tc>
        <w:tc>
          <w:tcPr>
            <w:tcW w:w="7229" w:type="dxa"/>
            <w:gridSpan w:val="8"/>
            <w:tcBorders>
              <w:top w:val="single" w:color="auto" w:sz="4" w:space="0"/>
              <w:left w:val="nil"/>
              <w:bottom w:val="single" w:color="auto" w:sz="4" w:space="0"/>
              <w:right w:val="single" w:color="auto" w:sz="4" w:space="0"/>
            </w:tcBorders>
            <w:noWrap/>
          </w:tcPr>
          <w:p w14:paraId="1DC001FE">
            <w:pPr>
              <w:spacing w:line="360" w:lineRule="auto"/>
              <w:rPr>
                <w:rFonts w:ascii="宋体" w:hAnsi="宋体" w:cs="宋体"/>
                <w:color w:val="auto"/>
                <w:sz w:val="24"/>
                <w:highlight w:val="none"/>
              </w:rPr>
            </w:pPr>
            <w:r>
              <w:rPr>
                <w:rFonts w:hint="eastAsia" w:ascii="宋体" w:hAnsi="宋体" w:cs="宋体"/>
                <w:color w:val="auto"/>
                <w:sz w:val="24"/>
                <w:highlight w:val="none"/>
              </w:rPr>
              <w:t>营业执照载明：</w:t>
            </w:r>
          </w:p>
          <w:p w14:paraId="35D7717E">
            <w:pPr>
              <w:spacing w:line="360" w:lineRule="auto"/>
              <w:rPr>
                <w:rFonts w:ascii="宋体" w:hAnsi="宋体" w:cs="宋体"/>
                <w:color w:val="auto"/>
                <w:sz w:val="24"/>
                <w:highlight w:val="none"/>
                <w:u w:val="single"/>
              </w:rPr>
            </w:pPr>
            <w:r>
              <w:rPr>
                <w:rFonts w:hint="eastAsia" w:ascii="宋体" w:hAnsi="宋体" w:cs="宋体"/>
                <w:color w:val="auto"/>
                <w:sz w:val="24"/>
                <w:highlight w:val="none"/>
              </w:rPr>
              <w:t>1.</w:t>
            </w:r>
          </w:p>
          <w:p w14:paraId="7B5881E1">
            <w:pPr>
              <w:spacing w:line="360" w:lineRule="auto"/>
              <w:rPr>
                <w:rFonts w:ascii="宋体" w:hAnsi="宋体" w:cs="宋体"/>
                <w:color w:val="auto"/>
                <w:sz w:val="24"/>
                <w:highlight w:val="none"/>
                <w:u w:val="single"/>
              </w:rPr>
            </w:pPr>
            <w:r>
              <w:rPr>
                <w:rFonts w:hint="eastAsia" w:ascii="宋体" w:hAnsi="宋体" w:cs="宋体"/>
                <w:color w:val="auto"/>
                <w:sz w:val="24"/>
                <w:highlight w:val="none"/>
              </w:rPr>
              <w:t>2.</w:t>
            </w:r>
          </w:p>
          <w:p w14:paraId="3705E5AF">
            <w:pPr>
              <w:spacing w:line="360" w:lineRule="auto"/>
              <w:rPr>
                <w:rFonts w:ascii="宋体" w:hAnsi="宋体" w:cs="宋体"/>
                <w:color w:val="auto"/>
                <w:sz w:val="24"/>
                <w:highlight w:val="none"/>
                <w:u w:val="single"/>
              </w:rPr>
            </w:pPr>
            <w:r>
              <w:rPr>
                <w:rFonts w:hint="eastAsia" w:ascii="宋体" w:hAnsi="宋体" w:cs="宋体"/>
                <w:color w:val="auto"/>
                <w:sz w:val="24"/>
                <w:highlight w:val="none"/>
              </w:rPr>
              <w:t>3.</w:t>
            </w:r>
          </w:p>
          <w:p w14:paraId="507CAA85">
            <w:pPr>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14:paraId="5B7B3F8E">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noWrap/>
            <w:vAlign w:val="center"/>
          </w:tcPr>
          <w:p w14:paraId="2BC9D3C7">
            <w:pPr>
              <w:spacing w:line="360" w:lineRule="auto"/>
              <w:rPr>
                <w:rFonts w:ascii="宋体" w:hAnsi="宋体" w:cs="宋体"/>
                <w:color w:val="auto"/>
                <w:sz w:val="24"/>
                <w:highlight w:val="none"/>
              </w:rPr>
            </w:pPr>
            <w:r>
              <w:rPr>
                <w:rFonts w:hint="eastAsia" w:ascii="宋体" w:hAnsi="宋体" w:cs="宋体"/>
                <w:color w:val="auto"/>
                <w:sz w:val="24"/>
                <w:highlight w:val="none"/>
              </w:rPr>
              <w:t>从事类似相关项目的经历及年数</w:t>
            </w:r>
          </w:p>
        </w:tc>
        <w:tc>
          <w:tcPr>
            <w:tcW w:w="6521" w:type="dxa"/>
            <w:gridSpan w:val="7"/>
            <w:tcBorders>
              <w:top w:val="single" w:color="auto" w:sz="4" w:space="0"/>
              <w:left w:val="nil"/>
              <w:bottom w:val="single" w:color="auto" w:sz="4" w:space="0"/>
              <w:right w:val="single" w:color="auto" w:sz="4" w:space="0"/>
            </w:tcBorders>
            <w:noWrap/>
          </w:tcPr>
          <w:p w14:paraId="268EE1CA">
            <w:pPr>
              <w:spacing w:line="360" w:lineRule="auto"/>
              <w:rPr>
                <w:rFonts w:ascii="宋体" w:hAnsi="宋体" w:cs="宋体"/>
                <w:color w:val="auto"/>
                <w:sz w:val="24"/>
                <w:highlight w:val="none"/>
              </w:rPr>
            </w:pPr>
          </w:p>
        </w:tc>
      </w:tr>
      <w:tr w14:paraId="351E06BF">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noWrap/>
            <w:vAlign w:val="center"/>
          </w:tcPr>
          <w:p w14:paraId="2BC7B55C">
            <w:pPr>
              <w:spacing w:line="360" w:lineRule="auto"/>
              <w:rPr>
                <w:rFonts w:ascii="宋体" w:hAnsi="宋体" w:cs="宋体"/>
                <w:color w:val="auto"/>
                <w:sz w:val="24"/>
                <w:highlight w:val="none"/>
              </w:rPr>
            </w:pPr>
            <w:r>
              <w:rPr>
                <w:rFonts w:hint="eastAsia" w:ascii="宋体" w:hAnsi="宋体" w:cs="宋体"/>
                <w:color w:val="auto"/>
                <w:sz w:val="24"/>
                <w:highlight w:val="none"/>
              </w:rPr>
              <w:t>其他认为有必要提供的内容，可自行添加</w:t>
            </w:r>
          </w:p>
        </w:tc>
        <w:tc>
          <w:tcPr>
            <w:tcW w:w="6521" w:type="dxa"/>
            <w:gridSpan w:val="7"/>
            <w:tcBorders>
              <w:top w:val="single" w:color="auto" w:sz="4" w:space="0"/>
              <w:left w:val="nil"/>
              <w:bottom w:val="single" w:color="auto" w:sz="4" w:space="0"/>
              <w:right w:val="single" w:color="auto" w:sz="4" w:space="0"/>
            </w:tcBorders>
            <w:noWrap/>
          </w:tcPr>
          <w:p w14:paraId="2C98ED07">
            <w:pPr>
              <w:spacing w:line="360" w:lineRule="auto"/>
              <w:rPr>
                <w:rFonts w:ascii="宋体" w:hAnsi="宋体" w:cs="宋体"/>
                <w:color w:val="auto"/>
                <w:sz w:val="24"/>
                <w:highlight w:val="none"/>
              </w:rPr>
            </w:pPr>
          </w:p>
        </w:tc>
      </w:tr>
    </w:tbl>
    <w:p w14:paraId="5D2CB25F">
      <w:pPr>
        <w:spacing w:line="360" w:lineRule="auto"/>
        <w:ind w:firstLine="480" w:firstLineChars="200"/>
        <w:jc w:val="right"/>
        <w:rPr>
          <w:rFonts w:hint="eastAsia" w:ascii="宋体" w:hAnsi="宋体" w:cs="宋体"/>
          <w:color w:val="auto"/>
          <w:sz w:val="24"/>
          <w:highlight w:val="none"/>
        </w:rPr>
      </w:pPr>
    </w:p>
    <w:p w14:paraId="572653FF">
      <w:pPr>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供应商：（加盖公章）</w:t>
      </w:r>
    </w:p>
    <w:p w14:paraId="6AF7875F">
      <w:pPr>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法定代表人或被授权人：（签字或盖章）</w:t>
      </w:r>
    </w:p>
    <w:p w14:paraId="20B89E8B">
      <w:pPr>
        <w:spacing w:line="360" w:lineRule="auto"/>
        <w:ind w:firstLine="1320" w:firstLineChars="550"/>
        <w:jc w:val="right"/>
        <w:rPr>
          <w:rFonts w:hint="eastAsia" w:ascii="宋体" w:hAnsi="宋体" w:cs="宋体"/>
          <w:color w:val="auto"/>
          <w:sz w:val="24"/>
          <w:highlight w:val="none"/>
        </w:rPr>
      </w:pPr>
      <w:r>
        <w:rPr>
          <w:rFonts w:hint="eastAsia" w:ascii="宋体" w:hAnsi="宋体" w:cs="宋体"/>
          <w:color w:val="auto"/>
          <w:sz w:val="24"/>
          <w:highlight w:val="none"/>
        </w:rPr>
        <w:t>年      月     日</w:t>
      </w:r>
    </w:p>
    <w:p w14:paraId="36782D2B">
      <w:pPr>
        <w:rPr>
          <w:rFonts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三、</w:t>
      </w:r>
      <w:r>
        <w:rPr>
          <w:rFonts w:hint="eastAsia" w:ascii="宋体" w:hAnsi="宋体" w:cs="宋体"/>
          <w:b/>
          <w:color w:val="auto"/>
          <w:sz w:val="24"/>
          <w:highlight w:val="none"/>
          <w:lang w:val="en-US" w:eastAsia="zh-CN"/>
        </w:rPr>
        <w:t>报价</w:t>
      </w:r>
      <w:r>
        <w:rPr>
          <w:rFonts w:hint="eastAsia" w:ascii="宋体" w:hAnsi="宋体" w:cs="宋体"/>
          <w:b/>
          <w:color w:val="auto"/>
          <w:sz w:val="24"/>
          <w:highlight w:val="none"/>
        </w:rPr>
        <w:t>文件相关的格式文件及表格</w:t>
      </w:r>
    </w:p>
    <w:p w14:paraId="1B47B836">
      <w:pPr>
        <w:snapToGrid w:val="0"/>
        <w:spacing w:line="500" w:lineRule="exact"/>
        <w:jc w:val="center"/>
        <w:outlineLvl w:val="2"/>
        <w:rPr>
          <w:b/>
          <w:color w:val="auto"/>
          <w:sz w:val="28"/>
          <w:szCs w:val="28"/>
          <w:highlight w:val="none"/>
        </w:rPr>
      </w:pPr>
    </w:p>
    <w:p w14:paraId="41C8B047">
      <w:pPr>
        <w:snapToGrid w:val="0"/>
        <w:spacing w:line="500" w:lineRule="exact"/>
        <w:jc w:val="center"/>
        <w:outlineLvl w:val="2"/>
        <w:rPr>
          <w:b/>
          <w:color w:val="auto"/>
          <w:sz w:val="28"/>
          <w:szCs w:val="28"/>
          <w:highlight w:val="none"/>
        </w:rPr>
      </w:pPr>
      <w:r>
        <w:rPr>
          <w:rFonts w:hint="eastAsia"/>
          <w:b/>
          <w:color w:val="auto"/>
          <w:sz w:val="28"/>
          <w:szCs w:val="28"/>
          <w:highlight w:val="none"/>
        </w:rPr>
        <w:t>1、</w:t>
      </w:r>
      <w:r>
        <w:rPr>
          <w:b/>
          <w:color w:val="auto"/>
          <w:sz w:val="28"/>
          <w:szCs w:val="28"/>
          <w:highlight w:val="none"/>
        </w:rPr>
        <w:t>磋商报价总表</w:t>
      </w:r>
    </w:p>
    <w:tbl>
      <w:tblPr>
        <w:tblStyle w:val="14"/>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6323"/>
      </w:tblGrid>
      <w:tr w14:paraId="2BADD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noWrap/>
            <w:vAlign w:val="center"/>
          </w:tcPr>
          <w:p w14:paraId="0F79C648">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ascii="宋体" w:hAnsi="宋体"/>
                <w:color w:val="auto"/>
                <w:sz w:val="24"/>
                <w:highlight w:val="none"/>
              </w:rPr>
            </w:pPr>
            <w:r>
              <w:rPr>
                <w:rFonts w:hint="eastAsia" w:ascii="宋体" w:hAnsi="宋体" w:cs="宋体"/>
                <w:color w:val="auto"/>
                <w:sz w:val="24"/>
                <w:highlight w:val="none"/>
              </w:rPr>
              <w:t>项目名称</w:t>
            </w:r>
          </w:p>
        </w:tc>
        <w:tc>
          <w:tcPr>
            <w:tcW w:w="6323" w:type="dxa"/>
            <w:noWrap/>
            <w:vAlign w:val="center"/>
          </w:tcPr>
          <w:p w14:paraId="14C224C8">
            <w:pPr>
              <w:keepNext w:val="0"/>
              <w:keepLines w:val="0"/>
              <w:pageBreakBefore w:val="0"/>
              <w:widowControl w:val="0"/>
              <w:kinsoku w:val="0"/>
              <w:wordWrap/>
              <w:overflowPunct/>
              <w:topLinePunct/>
              <w:autoSpaceDE/>
              <w:autoSpaceDN/>
              <w:bidi w:val="0"/>
              <w:adjustRightInd/>
              <w:snapToGrid/>
              <w:spacing w:line="240" w:lineRule="auto"/>
              <w:textAlignment w:val="auto"/>
              <w:rPr>
                <w:rFonts w:ascii="宋体" w:hAnsi="宋体"/>
                <w:strike/>
                <w:color w:val="auto"/>
                <w:sz w:val="24"/>
                <w:highlight w:val="none"/>
              </w:rPr>
            </w:pPr>
          </w:p>
        </w:tc>
      </w:tr>
      <w:tr w14:paraId="54511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noWrap/>
            <w:vAlign w:val="center"/>
          </w:tcPr>
          <w:p w14:paraId="456D1EBD">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ascii="宋体" w:hAnsi="宋体"/>
                <w:color w:val="auto"/>
                <w:sz w:val="24"/>
                <w:highlight w:val="none"/>
              </w:rPr>
            </w:pPr>
            <w:r>
              <w:rPr>
                <w:rFonts w:hint="eastAsia" w:ascii="宋体" w:hAnsi="宋体" w:cs="宋体"/>
                <w:color w:val="auto"/>
                <w:sz w:val="24"/>
                <w:highlight w:val="none"/>
              </w:rPr>
              <w:t>项目编号</w:t>
            </w:r>
          </w:p>
        </w:tc>
        <w:tc>
          <w:tcPr>
            <w:tcW w:w="6323" w:type="dxa"/>
            <w:noWrap/>
            <w:vAlign w:val="center"/>
          </w:tcPr>
          <w:p w14:paraId="714DFE82">
            <w:pPr>
              <w:keepNext w:val="0"/>
              <w:keepLines w:val="0"/>
              <w:pageBreakBefore w:val="0"/>
              <w:widowControl w:val="0"/>
              <w:kinsoku w:val="0"/>
              <w:wordWrap/>
              <w:overflowPunct/>
              <w:topLinePunct/>
              <w:autoSpaceDE/>
              <w:autoSpaceDN/>
              <w:bidi w:val="0"/>
              <w:adjustRightInd/>
              <w:snapToGrid/>
              <w:spacing w:line="240" w:lineRule="auto"/>
              <w:textAlignment w:val="auto"/>
              <w:rPr>
                <w:rFonts w:ascii="宋体" w:hAnsi="宋体"/>
                <w:color w:val="auto"/>
                <w:sz w:val="24"/>
                <w:highlight w:val="none"/>
              </w:rPr>
            </w:pPr>
          </w:p>
        </w:tc>
      </w:tr>
      <w:tr w14:paraId="3500F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vMerge w:val="restart"/>
            <w:noWrap/>
            <w:vAlign w:val="center"/>
          </w:tcPr>
          <w:p w14:paraId="6CD2B508">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default" w:ascii="宋体" w:hAnsi="宋体" w:eastAsia="宋体"/>
                <w:color w:val="auto"/>
                <w:sz w:val="24"/>
                <w:highlight w:val="none"/>
                <w:lang w:val="en-US" w:eastAsia="zh-CN"/>
              </w:rPr>
            </w:pPr>
            <w:r>
              <w:rPr>
                <w:rFonts w:hint="eastAsia" w:ascii="宋体" w:hAnsi="宋体" w:cs="宋体"/>
                <w:color w:val="auto"/>
                <w:sz w:val="24"/>
                <w:highlight w:val="none"/>
                <w:lang w:val="en-US" w:eastAsia="zh-CN"/>
              </w:rPr>
              <w:t>首次报价</w:t>
            </w:r>
          </w:p>
        </w:tc>
        <w:tc>
          <w:tcPr>
            <w:tcW w:w="6323" w:type="dxa"/>
            <w:noWrap/>
            <w:vAlign w:val="center"/>
          </w:tcPr>
          <w:p w14:paraId="6D0555FA">
            <w:pPr>
              <w:keepNext w:val="0"/>
              <w:keepLines w:val="0"/>
              <w:pageBreakBefore w:val="0"/>
              <w:widowControl w:val="0"/>
              <w:kinsoku w:val="0"/>
              <w:wordWrap/>
              <w:overflowPunct/>
              <w:topLinePunct/>
              <w:autoSpaceDE/>
              <w:autoSpaceDN/>
              <w:bidi w:val="0"/>
              <w:adjustRightInd/>
              <w:snapToGrid/>
              <w:spacing w:line="500" w:lineRule="exact"/>
              <w:textAlignment w:val="auto"/>
              <w:rPr>
                <w:rFonts w:hint="eastAsia" w:ascii="宋体" w:hAnsi="宋体" w:cs="宋体"/>
                <w:color w:val="auto"/>
                <w:sz w:val="24"/>
                <w:highlight w:val="none"/>
                <w:u w:val="single"/>
              </w:rPr>
            </w:pPr>
            <w:r>
              <w:rPr>
                <w:rFonts w:hint="eastAsia" w:ascii="宋体" w:hAnsi="宋体"/>
                <w:color w:val="auto"/>
                <w:sz w:val="24"/>
                <w:highlight w:val="none"/>
                <w:u w:val="none"/>
                <w:lang w:val="en-US" w:eastAsia="zh-CN"/>
              </w:rPr>
              <w:t>含税总价：</w:t>
            </w:r>
            <w:r>
              <w:rPr>
                <w:rFonts w:ascii="宋体" w:hAnsi="宋体"/>
                <w:color w:val="auto"/>
                <w:sz w:val="24"/>
                <w:highlight w:val="none"/>
                <w:u w:val="single"/>
              </w:rPr>
              <w:t>¥</w:t>
            </w:r>
            <w:r>
              <w:rPr>
                <w:rFonts w:hint="eastAsia" w:ascii="宋体" w:hAnsi="宋体"/>
                <w:color w:val="auto"/>
                <w:sz w:val="24"/>
                <w:highlight w:val="none"/>
                <w:u w:val="single"/>
                <w:lang w:val="en-US" w:eastAsia="zh-CN"/>
              </w:rPr>
              <w:t xml:space="preserve">       </w:t>
            </w:r>
            <w:r>
              <w:rPr>
                <w:rFonts w:hint="eastAsia" w:ascii="宋体" w:hAnsi="宋体" w:cs="宋体"/>
                <w:color w:val="auto"/>
                <w:sz w:val="24"/>
                <w:highlight w:val="none"/>
                <w:u w:val="single"/>
              </w:rPr>
              <w:t>元</w:t>
            </w:r>
          </w:p>
          <w:p w14:paraId="04F062BC">
            <w:pPr>
              <w:keepNext w:val="0"/>
              <w:keepLines w:val="0"/>
              <w:pageBreakBefore w:val="0"/>
              <w:widowControl w:val="0"/>
              <w:kinsoku w:val="0"/>
              <w:wordWrap/>
              <w:overflowPunct/>
              <w:topLinePunct/>
              <w:autoSpaceDE/>
              <w:autoSpaceDN/>
              <w:bidi w:val="0"/>
              <w:adjustRightInd/>
              <w:snapToGrid/>
              <w:spacing w:line="500" w:lineRule="exact"/>
              <w:textAlignment w:val="auto"/>
              <w:rPr>
                <w:rFonts w:ascii="宋体" w:hAnsi="宋体" w:cs="宋体"/>
                <w:color w:val="auto"/>
                <w:sz w:val="24"/>
                <w:highlight w:val="none"/>
              </w:rPr>
            </w:pPr>
            <w:r>
              <w:rPr>
                <w:rFonts w:hint="eastAsia" w:ascii="宋体" w:hAnsi="宋体" w:cs="宋体"/>
                <w:color w:val="auto"/>
                <w:sz w:val="24"/>
                <w:highlight w:val="none"/>
                <w:u w:val="none"/>
              </w:rPr>
              <w:t>人民币大写：</w:t>
            </w:r>
            <w:r>
              <w:rPr>
                <w:rFonts w:hint="eastAsia" w:ascii="宋体" w:hAnsi="宋体" w:cs="宋体"/>
                <w:color w:val="auto"/>
                <w:sz w:val="24"/>
                <w:highlight w:val="none"/>
                <w:u w:val="single"/>
                <w:lang w:val="en-US" w:eastAsia="zh-CN"/>
              </w:rPr>
              <w:t xml:space="preserve">        </w:t>
            </w:r>
          </w:p>
        </w:tc>
      </w:tr>
      <w:tr w14:paraId="21A0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vMerge w:val="continue"/>
            <w:noWrap/>
            <w:vAlign w:val="center"/>
          </w:tcPr>
          <w:p w14:paraId="7CB19C9B">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eastAsia" w:ascii="宋体" w:hAnsi="宋体" w:cs="宋体"/>
                <w:color w:val="auto"/>
                <w:sz w:val="24"/>
                <w:highlight w:val="none"/>
                <w:lang w:eastAsia="zh-CN"/>
              </w:rPr>
            </w:pPr>
          </w:p>
        </w:tc>
        <w:tc>
          <w:tcPr>
            <w:tcW w:w="6323" w:type="dxa"/>
            <w:noWrap/>
            <w:vAlign w:val="center"/>
          </w:tcPr>
          <w:p w14:paraId="271E474B">
            <w:pPr>
              <w:keepNext w:val="0"/>
              <w:keepLines w:val="0"/>
              <w:pageBreakBefore w:val="0"/>
              <w:widowControl w:val="0"/>
              <w:kinsoku w:val="0"/>
              <w:wordWrap/>
              <w:overflowPunct/>
              <w:topLinePunct/>
              <w:autoSpaceDE/>
              <w:autoSpaceDN/>
              <w:bidi w:val="0"/>
              <w:adjustRightInd/>
              <w:snapToGrid/>
              <w:spacing w:line="240" w:lineRule="auto"/>
              <w:textAlignment w:val="auto"/>
              <w:rPr>
                <w:rFonts w:ascii="宋体" w:hAnsi="宋体"/>
                <w:color w:val="auto"/>
                <w:sz w:val="24"/>
                <w:highlight w:val="none"/>
                <w:u w:val="single"/>
              </w:rPr>
            </w:pPr>
            <w:r>
              <w:rPr>
                <w:rFonts w:hint="eastAsia" w:ascii="宋体" w:hAnsi="宋体"/>
                <w:color w:val="auto"/>
                <w:sz w:val="24"/>
                <w:highlight w:val="none"/>
                <w:u w:val="none"/>
                <w:lang w:val="en-US" w:eastAsia="zh-CN"/>
              </w:rPr>
              <w:t>税率：</w:t>
            </w:r>
            <w:r>
              <w:rPr>
                <w:rFonts w:hint="eastAsia" w:ascii="宋体" w:hAnsi="宋体"/>
                <w:color w:val="auto"/>
                <w:sz w:val="24"/>
                <w:highlight w:val="none"/>
                <w:u w:val="single"/>
                <w:lang w:val="en-US" w:eastAsia="zh-CN"/>
              </w:rPr>
              <w:t xml:space="preserve">   %</w:t>
            </w:r>
          </w:p>
        </w:tc>
      </w:tr>
      <w:tr w14:paraId="1A84D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vMerge w:val="continue"/>
            <w:noWrap/>
            <w:vAlign w:val="center"/>
          </w:tcPr>
          <w:p w14:paraId="10613AAB">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eastAsia" w:ascii="宋体" w:hAnsi="宋体" w:cs="宋体"/>
                <w:color w:val="auto"/>
                <w:sz w:val="24"/>
                <w:highlight w:val="none"/>
                <w:lang w:eastAsia="zh-CN"/>
              </w:rPr>
            </w:pPr>
          </w:p>
        </w:tc>
        <w:tc>
          <w:tcPr>
            <w:tcW w:w="6323" w:type="dxa"/>
            <w:noWrap/>
            <w:vAlign w:val="center"/>
          </w:tcPr>
          <w:p w14:paraId="1609B59F">
            <w:pPr>
              <w:keepNext w:val="0"/>
              <w:keepLines w:val="0"/>
              <w:pageBreakBefore w:val="0"/>
              <w:widowControl w:val="0"/>
              <w:kinsoku w:val="0"/>
              <w:wordWrap/>
              <w:overflowPunct/>
              <w:topLinePunct/>
              <w:autoSpaceDE/>
              <w:autoSpaceDN/>
              <w:bidi w:val="0"/>
              <w:adjustRightInd/>
              <w:snapToGrid/>
              <w:spacing w:line="500" w:lineRule="exact"/>
              <w:textAlignment w:val="auto"/>
              <w:rPr>
                <w:rFonts w:hint="eastAsia" w:ascii="宋体" w:hAnsi="宋体" w:cs="宋体"/>
                <w:color w:val="auto"/>
                <w:sz w:val="24"/>
                <w:highlight w:val="none"/>
                <w:u w:val="single"/>
              </w:rPr>
            </w:pPr>
            <w:r>
              <w:rPr>
                <w:rFonts w:hint="eastAsia" w:ascii="宋体" w:hAnsi="宋体"/>
                <w:color w:val="auto"/>
                <w:sz w:val="24"/>
                <w:highlight w:val="none"/>
                <w:u w:val="none"/>
                <w:lang w:val="en-US" w:eastAsia="zh-CN"/>
              </w:rPr>
              <w:t>不含税总价：</w:t>
            </w:r>
            <w:r>
              <w:rPr>
                <w:rFonts w:ascii="宋体" w:hAnsi="宋体"/>
                <w:color w:val="auto"/>
                <w:sz w:val="24"/>
                <w:highlight w:val="none"/>
                <w:u w:val="single"/>
              </w:rPr>
              <w:t>¥</w:t>
            </w:r>
            <w:r>
              <w:rPr>
                <w:rFonts w:hint="eastAsia" w:ascii="宋体" w:hAnsi="宋体"/>
                <w:color w:val="auto"/>
                <w:sz w:val="24"/>
                <w:highlight w:val="none"/>
                <w:u w:val="single"/>
                <w:lang w:val="en-US" w:eastAsia="zh-CN"/>
              </w:rPr>
              <w:t xml:space="preserve">       </w:t>
            </w:r>
            <w:r>
              <w:rPr>
                <w:rFonts w:hint="eastAsia" w:ascii="宋体" w:hAnsi="宋体" w:cs="宋体"/>
                <w:color w:val="auto"/>
                <w:sz w:val="24"/>
                <w:highlight w:val="none"/>
                <w:u w:val="single"/>
              </w:rPr>
              <w:t>元</w:t>
            </w:r>
          </w:p>
          <w:p w14:paraId="6227B68A">
            <w:pPr>
              <w:keepNext w:val="0"/>
              <w:keepLines w:val="0"/>
              <w:pageBreakBefore w:val="0"/>
              <w:widowControl w:val="0"/>
              <w:kinsoku w:val="0"/>
              <w:wordWrap/>
              <w:overflowPunct/>
              <w:topLinePunct/>
              <w:autoSpaceDE/>
              <w:autoSpaceDN/>
              <w:bidi w:val="0"/>
              <w:adjustRightInd/>
              <w:snapToGrid/>
              <w:spacing w:line="500" w:lineRule="exact"/>
              <w:textAlignment w:val="auto"/>
              <w:rPr>
                <w:rFonts w:ascii="宋体" w:hAnsi="宋体"/>
                <w:color w:val="auto"/>
                <w:sz w:val="24"/>
                <w:highlight w:val="none"/>
                <w:u w:val="single"/>
              </w:rPr>
            </w:pPr>
            <w:r>
              <w:rPr>
                <w:rFonts w:hint="eastAsia" w:ascii="宋体" w:hAnsi="宋体" w:cs="宋体"/>
                <w:color w:val="auto"/>
                <w:sz w:val="24"/>
                <w:highlight w:val="none"/>
                <w:u w:val="none"/>
              </w:rPr>
              <w:t>人民币大写：</w:t>
            </w:r>
            <w:r>
              <w:rPr>
                <w:rFonts w:hint="eastAsia" w:ascii="宋体" w:hAnsi="宋体" w:cs="宋体"/>
                <w:color w:val="auto"/>
                <w:sz w:val="24"/>
                <w:highlight w:val="none"/>
                <w:u w:val="single"/>
                <w:lang w:val="en-US" w:eastAsia="zh-CN"/>
              </w:rPr>
              <w:t xml:space="preserve">          </w:t>
            </w:r>
          </w:p>
        </w:tc>
      </w:tr>
      <w:tr w14:paraId="6E935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vMerge w:val="restart"/>
            <w:noWrap/>
            <w:vAlign w:val="center"/>
          </w:tcPr>
          <w:p w14:paraId="39101EF8">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最后报价</w:t>
            </w:r>
          </w:p>
        </w:tc>
        <w:tc>
          <w:tcPr>
            <w:tcW w:w="6323" w:type="dxa"/>
            <w:noWrap/>
            <w:vAlign w:val="center"/>
          </w:tcPr>
          <w:p w14:paraId="2F28E790">
            <w:pPr>
              <w:keepNext w:val="0"/>
              <w:keepLines w:val="0"/>
              <w:pageBreakBefore w:val="0"/>
              <w:widowControl w:val="0"/>
              <w:kinsoku w:val="0"/>
              <w:wordWrap/>
              <w:overflowPunct/>
              <w:topLinePunct/>
              <w:autoSpaceDE/>
              <w:autoSpaceDN/>
              <w:bidi w:val="0"/>
              <w:adjustRightInd/>
              <w:snapToGrid/>
              <w:spacing w:line="500" w:lineRule="exact"/>
              <w:textAlignment w:val="auto"/>
              <w:rPr>
                <w:rFonts w:hint="eastAsia" w:ascii="宋体" w:hAnsi="宋体" w:cs="宋体"/>
                <w:color w:val="auto"/>
                <w:sz w:val="24"/>
                <w:highlight w:val="none"/>
                <w:u w:val="single"/>
              </w:rPr>
            </w:pPr>
            <w:r>
              <w:rPr>
                <w:rFonts w:hint="eastAsia" w:ascii="宋体" w:hAnsi="宋体"/>
                <w:color w:val="auto"/>
                <w:sz w:val="24"/>
                <w:highlight w:val="none"/>
                <w:u w:val="none"/>
                <w:lang w:val="en-US" w:eastAsia="zh-CN"/>
              </w:rPr>
              <w:t>含税总价：</w:t>
            </w:r>
            <w:r>
              <w:rPr>
                <w:rFonts w:ascii="宋体" w:hAnsi="宋体"/>
                <w:color w:val="auto"/>
                <w:sz w:val="24"/>
                <w:highlight w:val="none"/>
                <w:u w:val="single"/>
              </w:rPr>
              <w:t>¥</w:t>
            </w:r>
            <w:r>
              <w:rPr>
                <w:rFonts w:hint="eastAsia" w:ascii="宋体" w:hAnsi="宋体"/>
                <w:color w:val="auto"/>
                <w:sz w:val="24"/>
                <w:highlight w:val="none"/>
                <w:u w:val="single"/>
                <w:lang w:val="en-US" w:eastAsia="zh-CN"/>
              </w:rPr>
              <w:t xml:space="preserve">       </w:t>
            </w:r>
            <w:r>
              <w:rPr>
                <w:rFonts w:hint="eastAsia" w:ascii="宋体" w:hAnsi="宋体" w:cs="宋体"/>
                <w:color w:val="auto"/>
                <w:sz w:val="24"/>
                <w:highlight w:val="none"/>
                <w:u w:val="single"/>
              </w:rPr>
              <w:t>元</w:t>
            </w:r>
          </w:p>
          <w:p w14:paraId="0B0D53F5">
            <w:pPr>
              <w:keepNext w:val="0"/>
              <w:keepLines w:val="0"/>
              <w:pageBreakBefore w:val="0"/>
              <w:widowControl w:val="0"/>
              <w:kinsoku w:val="0"/>
              <w:wordWrap/>
              <w:overflowPunct/>
              <w:topLinePunct/>
              <w:autoSpaceDE/>
              <w:autoSpaceDN/>
              <w:bidi w:val="0"/>
              <w:adjustRightInd/>
              <w:snapToGrid/>
              <w:spacing w:line="500" w:lineRule="exact"/>
              <w:textAlignment w:val="auto"/>
              <w:rPr>
                <w:rFonts w:ascii="宋体" w:hAnsi="宋体"/>
                <w:color w:val="auto"/>
                <w:sz w:val="24"/>
                <w:highlight w:val="none"/>
                <w:u w:val="single"/>
              </w:rPr>
            </w:pPr>
            <w:r>
              <w:rPr>
                <w:rFonts w:hint="eastAsia" w:ascii="宋体" w:hAnsi="宋体" w:cs="宋体"/>
                <w:color w:val="auto"/>
                <w:sz w:val="24"/>
                <w:highlight w:val="none"/>
                <w:u w:val="none"/>
              </w:rPr>
              <w:t>人民币大写：</w:t>
            </w:r>
            <w:r>
              <w:rPr>
                <w:rFonts w:hint="eastAsia" w:ascii="宋体" w:hAnsi="宋体" w:cs="宋体"/>
                <w:color w:val="auto"/>
                <w:sz w:val="24"/>
                <w:highlight w:val="none"/>
                <w:u w:val="single"/>
                <w:lang w:val="en-US" w:eastAsia="zh-CN"/>
              </w:rPr>
              <w:t xml:space="preserve">        </w:t>
            </w:r>
          </w:p>
        </w:tc>
      </w:tr>
      <w:tr w14:paraId="70EC8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vMerge w:val="continue"/>
            <w:noWrap/>
            <w:vAlign w:val="center"/>
          </w:tcPr>
          <w:p w14:paraId="60568A3C">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eastAsia" w:ascii="宋体" w:hAnsi="宋体" w:cs="宋体"/>
                <w:color w:val="auto"/>
                <w:sz w:val="24"/>
                <w:highlight w:val="none"/>
                <w:lang w:eastAsia="zh-CN"/>
              </w:rPr>
            </w:pPr>
          </w:p>
        </w:tc>
        <w:tc>
          <w:tcPr>
            <w:tcW w:w="6323" w:type="dxa"/>
            <w:noWrap/>
            <w:vAlign w:val="center"/>
          </w:tcPr>
          <w:p w14:paraId="54174C2C">
            <w:pPr>
              <w:keepNext w:val="0"/>
              <w:keepLines w:val="0"/>
              <w:pageBreakBefore w:val="0"/>
              <w:widowControl w:val="0"/>
              <w:kinsoku w:val="0"/>
              <w:wordWrap/>
              <w:overflowPunct/>
              <w:topLinePunct/>
              <w:autoSpaceDE/>
              <w:autoSpaceDN/>
              <w:bidi w:val="0"/>
              <w:adjustRightInd/>
              <w:snapToGrid/>
              <w:spacing w:line="240" w:lineRule="auto"/>
              <w:textAlignment w:val="auto"/>
              <w:rPr>
                <w:rFonts w:ascii="宋体" w:hAnsi="宋体"/>
                <w:color w:val="auto"/>
                <w:sz w:val="24"/>
                <w:highlight w:val="none"/>
                <w:u w:val="single"/>
              </w:rPr>
            </w:pPr>
            <w:r>
              <w:rPr>
                <w:rFonts w:hint="eastAsia" w:ascii="宋体" w:hAnsi="宋体"/>
                <w:color w:val="auto"/>
                <w:sz w:val="24"/>
                <w:highlight w:val="none"/>
                <w:u w:val="none"/>
                <w:lang w:val="en-US" w:eastAsia="zh-CN"/>
              </w:rPr>
              <w:t>税率：</w:t>
            </w:r>
            <w:r>
              <w:rPr>
                <w:rFonts w:hint="eastAsia" w:ascii="宋体" w:hAnsi="宋体"/>
                <w:color w:val="auto"/>
                <w:sz w:val="24"/>
                <w:highlight w:val="none"/>
                <w:u w:val="single"/>
                <w:lang w:val="en-US" w:eastAsia="zh-CN"/>
              </w:rPr>
              <w:t xml:space="preserve">   %</w:t>
            </w:r>
          </w:p>
        </w:tc>
      </w:tr>
      <w:tr w14:paraId="48014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vMerge w:val="continue"/>
            <w:noWrap/>
            <w:vAlign w:val="center"/>
          </w:tcPr>
          <w:p w14:paraId="109AF1AD">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eastAsia" w:ascii="宋体" w:hAnsi="宋体" w:cs="宋体"/>
                <w:color w:val="auto"/>
                <w:sz w:val="24"/>
                <w:highlight w:val="none"/>
                <w:lang w:eastAsia="zh-CN"/>
              </w:rPr>
            </w:pPr>
          </w:p>
        </w:tc>
        <w:tc>
          <w:tcPr>
            <w:tcW w:w="6323" w:type="dxa"/>
            <w:noWrap/>
            <w:vAlign w:val="center"/>
          </w:tcPr>
          <w:p w14:paraId="69F72E1D">
            <w:pPr>
              <w:keepNext w:val="0"/>
              <w:keepLines w:val="0"/>
              <w:pageBreakBefore w:val="0"/>
              <w:widowControl w:val="0"/>
              <w:kinsoku w:val="0"/>
              <w:wordWrap/>
              <w:overflowPunct/>
              <w:topLinePunct/>
              <w:autoSpaceDE/>
              <w:autoSpaceDN/>
              <w:bidi w:val="0"/>
              <w:adjustRightInd/>
              <w:snapToGrid/>
              <w:spacing w:line="500" w:lineRule="exact"/>
              <w:textAlignment w:val="auto"/>
              <w:rPr>
                <w:rFonts w:hint="eastAsia" w:ascii="宋体" w:hAnsi="宋体" w:cs="宋体"/>
                <w:color w:val="auto"/>
                <w:sz w:val="24"/>
                <w:highlight w:val="none"/>
                <w:u w:val="single"/>
              </w:rPr>
            </w:pPr>
            <w:r>
              <w:rPr>
                <w:rFonts w:hint="eastAsia" w:ascii="宋体" w:hAnsi="宋体"/>
                <w:color w:val="auto"/>
                <w:sz w:val="24"/>
                <w:highlight w:val="none"/>
                <w:u w:val="none"/>
                <w:lang w:val="en-US" w:eastAsia="zh-CN"/>
              </w:rPr>
              <w:t>不含税总价：</w:t>
            </w:r>
            <w:r>
              <w:rPr>
                <w:rFonts w:ascii="宋体" w:hAnsi="宋体"/>
                <w:color w:val="auto"/>
                <w:sz w:val="24"/>
                <w:highlight w:val="none"/>
                <w:u w:val="single"/>
              </w:rPr>
              <w:t>¥</w:t>
            </w:r>
            <w:r>
              <w:rPr>
                <w:rFonts w:hint="eastAsia" w:ascii="宋体" w:hAnsi="宋体"/>
                <w:color w:val="auto"/>
                <w:sz w:val="24"/>
                <w:highlight w:val="none"/>
                <w:u w:val="single"/>
                <w:lang w:val="en-US" w:eastAsia="zh-CN"/>
              </w:rPr>
              <w:t xml:space="preserve">       </w:t>
            </w:r>
            <w:r>
              <w:rPr>
                <w:rFonts w:hint="eastAsia" w:ascii="宋体" w:hAnsi="宋体" w:cs="宋体"/>
                <w:color w:val="auto"/>
                <w:sz w:val="24"/>
                <w:highlight w:val="none"/>
                <w:u w:val="single"/>
              </w:rPr>
              <w:t>元</w:t>
            </w:r>
          </w:p>
          <w:p w14:paraId="35EA693D">
            <w:pPr>
              <w:keepNext w:val="0"/>
              <w:keepLines w:val="0"/>
              <w:pageBreakBefore w:val="0"/>
              <w:widowControl w:val="0"/>
              <w:kinsoku w:val="0"/>
              <w:wordWrap/>
              <w:overflowPunct/>
              <w:topLinePunct/>
              <w:autoSpaceDE/>
              <w:autoSpaceDN/>
              <w:bidi w:val="0"/>
              <w:adjustRightInd/>
              <w:snapToGrid/>
              <w:spacing w:line="500" w:lineRule="exact"/>
              <w:textAlignment w:val="auto"/>
              <w:rPr>
                <w:rFonts w:ascii="宋体" w:hAnsi="宋体"/>
                <w:color w:val="auto"/>
                <w:sz w:val="24"/>
                <w:highlight w:val="none"/>
                <w:u w:val="single"/>
              </w:rPr>
            </w:pPr>
            <w:r>
              <w:rPr>
                <w:rFonts w:hint="eastAsia" w:ascii="宋体" w:hAnsi="宋体" w:cs="宋体"/>
                <w:color w:val="auto"/>
                <w:sz w:val="24"/>
                <w:highlight w:val="none"/>
                <w:u w:val="none"/>
              </w:rPr>
              <w:t>人民币大写：</w:t>
            </w:r>
            <w:r>
              <w:rPr>
                <w:rFonts w:hint="eastAsia" w:ascii="宋体" w:hAnsi="宋体" w:cs="宋体"/>
                <w:color w:val="auto"/>
                <w:sz w:val="24"/>
                <w:highlight w:val="none"/>
                <w:u w:val="single"/>
                <w:lang w:val="en-US" w:eastAsia="zh-CN"/>
              </w:rPr>
              <w:t xml:space="preserve">          </w:t>
            </w:r>
          </w:p>
        </w:tc>
      </w:tr>
      <w:tr w14:paraId="59309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079" w:type="dxa"/>
            <w:gridSpan w:val="2"/>
            <w:noWrap/>
            <w:vAlign w:val="center"/>
          </w:tcPr>
          <w:p w14:paraId="534CE69C">
            <w:pPr>
              <w:keepNext w:val="0"/>
              <w:keepLines w:val="0"/>
              <w:pageBreakBefore w:val="0"/>
              <w:widowControl w:val="0"/>
              <w:kinsoku/>
              <w:wordWrap/>
              <w:overflowPunct/>
              <w:topLinePunct/>
              <w:autoSpaceDE/>
              <w:autoSpaceDN/>
              <w:bidi w:val="0"/>
              <w:adjustRightInd/>
              <w:snapToGrid/>
              <w:spacing w:line="500" w:lineRule="exact"/>
              <w:ind w:firstLine="482" w:firstLineChars="200"/>
              <w:textAlignment w:val="auto"/>
              <w:rPr>
                <w:rFonts w:hint="eastAsia" w:ascii="宋体" w:hAnsi="宋体" w:cs="宋体"/>
                <w:color w:val="auto"/>
                <w:sz w:val="24"/>
                <w:highlight w:val="none"/>
                <w:u w:val="none"/>
              </w:rPr>
            </w:pPr>
            <w:r>
              <w:rPr>
                <w:rFonts w:hint="eastAsia" w:ascii="宋体" w:hAnsi="宋体" w:cs="宋体"/>
                <w:b/>
                <w:bCs/>
                <w:color w:val="auto"/>
                <w:sz w:val="24"/>
                <w:highlight w:val="none"/>
                <w:lang w:val="en-US" w:eastAsia="zh-CN"/>
              </w:rPr>
              <w:t>注：不含税总价=</w:t>
            </w:r>
            <w:r>
              <w:rPr>
                <w:rFonts w:hint="eastAsia" w:ascii="宋体" w:hAnsi="宋体"/>
                <w:b/>
                <w:bCs/>
                <w:color w:val="auto"/>
                <w:sz w:val="24"/>
                <w:highlight w:val="none"/>
                <w:u w:val="none"/>
                <w:lang w:val="en-US" w:eastAsia="zh-CN"/>
              </w:rPr>
              <w:t>含税总价/（1+税率），如不含税总价与此公式计算出来的结果不一致时，以含税总价修正不含税总价，如供应商拒绝修正的，作无效标处理。报价可以四舍五入到分。税率由供应商根据自身单位情况自行填报。</w:t>
            </w:r>
          </w:p>
        </w:tc>
      </w:tr>
    </w:tbl>
    <w:p w14:paraId="5266E20F">
      <w:pPr>
        <w:kinsoku w:val="0"/>
        <w:topLinePunct/>
        <w:snapToGrid w:val="0"/>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竞争性磋商响应单位：（盖章）</w:t>
      </w:r>
    </w:p>
    <w:p w14:paraId="59DD1122">
      <w:pPr>
        <w:kinsoku w:val="0"/>
        <w:topLinePunct/>
        <w:snapToGrid w:val="0"/>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法定代表人或被授权人（签字或盖章）：</w:t>
      </w:r>
    </w:p>
    <w:p w14:paraId="4D38124E">
      <w:pPr>
        <w:kinsoku w:val="0"/>
        <w:topLinePunct/>
        <w:snapToGrid w:val="0"/>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290D101D">
      <w:pPr>
        <w:snapToGrid w:val="0"/>
        <w:spacing w:line="480" w:lineRule="exact"/>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rPr>
        <w:t>注：</w:t>
      </w:r>
    </w:p>
    <w:p w14:paraId="7FB40AEA">
      <w:pPr>
        <w:snapToGrid w:val="0"/>
        <w:spacing w:line="480" w:lineRule="exact"/>
        <w:ind w:firstLine="482" w:firstLineChars="200"/>
        <w:jc w:val="left"/>
        <w:rPr>
          <w:rFonts w:ascii="宋体"/>
          <w:b/>
          <w:bCs/>
          <w:color w:val="auto"/>
          <w:sz w:val="24"/>
          <w:highlight w:val="none"/>
        </w:rPr>
      </w:pPr>
      <w:r>
        <w:rPr>
          <w:rFonts w:hint="eastAsia" w:ascii="宋体" w:hAnsi="宋体" w:cs="宋体"/>
          <w:b/>
          <w:bCs/>
          <w:color w:val="auto"/>
          <w:sz w:val="24"/>
          <w:highlight w:val="none"/>
        </w:rPr>
        <w:t>（</w:t>
      </w:r>
      <w:r>
        <w:rPr>
          <w:rFonts w:ascii="宋体" w:hAnsi="宋体" w:cs="宋体"/>
          <w:b/>
          <w:bCs/>
          <w:color w:val="auto"/>
          <w:sz w:val="24"/>
          <w:highlight w:val="none"/>
        </w:rPr>
        <w:t>1</w:t>
      </w:r>
      <w:r>
        <w:rPr>
          <w:rFonts w:hint="eastAsia" w:ascii="宋体" w:hAnsi="宋体" w:cs="宋体"/>
          <w:b/>
          <w:bCs/>
          <w:color w:val="auto"/>
          <w:sz w:val="24"/>
          <w:highlight w:val="none"/>
        </w:rPr>
        <w:t>）本表为格式表，不得自行改动，必须提供。</w:t>
      </w:r>
    </w:p>
    <w:p w14:paraId="22561F2C">
      <w:pPr>
        <w:snapToGrid w:val="0"/>
        <w:spacing w:line="480" w:lineRule="exact"/>
        <w:ind w:firstLine="472" w:firstLineChars="196"/>
        <w:jc w:val="left"/>
        <w:outlineLvl w:val="2"/>
        <w:rPr>
          <w:rFonts w:hint="eastAsia" w:ascii="宋体" w:hAnsi="宋体" w:eastAsia="宋体" w:cs="宋体"/>
          <w:b/>
          <w:bCs/>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最后报价</w:t>
      </w:r>
      <w:r>
        <w:rPr>
          <w:rFonts w:hint="eastAsia" w:ascii="宋体" w:hAnsi="宋体" w:cs="宋体"/>
          <w:b/>
          <w:bCs/>
          <w:color w:val="auto"/>
          <w:sz w:val="24"/>
          <w:highlight w:val="none"/>
        </w:rPr>
        <w:t>将在开标现场填写，响应文件密封提交时只需填写</w:t>
      </w:r>
      <w:r>
        <w:rPr>
          <w:rFonts w:hint="eastAsia" w:ascii="宋体" w:hAnsi="宋体" w:eastAsia="宋体" w:cs="宋体"/>
          <w:b/>
          <w:bCs/>
          <w:color w:val="auto"/>
          <w:sz w:val="24"/>
          <w:highlight w:val="none"/>
        </w:rPr>
        <w:t>首次</w:t>
      </w:r>
      <w:r>
        <w:rPr>
          <w:rFonts w:hint="eastAsia" w:ascii="宋体" w:hAnsi="宋体" w:cs="宋体"/>
          <w:b/>
          <w:bCs/>
          <w:color w:val="auto"/>
          <w:sz w:val="24"/>
          <w:highlight w:val="none"/>
          <w:lang w:val="en-US" w:eastAsia="zh-CN"/>
        </w:rPr>
        <w:t>报价</w:t>
      </w:r>
      <w:r>
        <w:rPr>
          <w:rFonts w:hint="eastAsia" w:ascii="宋体" w:hAnsi="宋体" w:eastAsia="宋体" w:cs="宋体"/>
          <w:b/>
          <w:bCs/>
          <w:color w:val="auto"/>
          <w:sz w:val="24"/>
          <w:highlight w:val="none"/>
        </w:rPr>
        <w:t>。</w:t>
      </w:r>
    </w:p>
    <w:p w14:paraId="65B77351">
      <w:pPr>
        <w:snapToGrid w:val="0"/>
        <w:spacing w:line="480" w:lineRule="exact"/>
        <w:ind w:firstLine="472" w:firstLineChars="196"/>
        <w:jc w:val="left"/>
        <w:outlineLvl w:val="2"/>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（3）最后</w:t>
      </w:r>
      <w:r>
        <w:rPr>
          <w:rFonts w:hint="eastAsia" w:ascii="宋体" w:hAnsi="宋体" w:cs="宋体"/>
          <w:b/>
          <w:bCs/>
          <w:color w:val="auto"/>
          <w:sz w:val="24"/>
          <w:highlight w:val="none"/>
        </w:rPr>
        <w:t>报价</w:t>
      </w:r>
      <w:r>
        <w:rPr>
          <w:rFonts w:hint="eastAsia" w:ascii="宋体" w:hAnsi="宋体" w:cs="宋体"/>
          <w:b/>
          <w:bCs/>
          <w:color w:val="auto"/>
          <w:sz w:val="24"/>
          <w:highlight w:val="none"/>
          <w:lang w:val="en-US" w:eastAsia="zh-CN"/>
        </w:rPr>
        <w:t>中的税率必须与首次报价中的税率相同，否则作无效标处理。</w:t>
      </w:r>
    </w:p>
    <w:p w14:paraId="23C67EE8">
      <w:pPr>
        <w:snapToGrid w:val="0"/>
        <w:spacing w:line="480" w:lineRule="exact"/>
        <w:ind w:firstLine="472" w:firstLineChars="196"/>
        <w:jc w:val="left"/>
        <w:outlineLvl w:val="2"/>
        <w:rPr>
          <w:rFonts w:hint="default" w:ascii="宋体" w:hAnsi="宋体" w:cs="宋体"/>
          <w:b/>
          <w:bCs/>
          <w:color w:val="auto"/>
          <w:sz w:val="24"/>
          <w:highlight w:val="none"/>
          <w:lang w:val="en-US" w:eastAsia="zh-CN"/>
        </w:rPr>
        <w:sectPr>
          <w:footerReference r:id="rId3" w:type="default"/>
          <w:pgSz w:w="11907" w:h="16839"/>
          <w:pgMar w:top="1418" w:right="1588" w:bottom="1418" w:left="1588" w:header="851" w:footer="851" w:gutter="0"/>
          <w:pgBorders>
            <w:top w:val="none" w:sz="0" w:space="0"/>
            <w:left w:val="none" w:sz="0" w:space="0"/>
            <w:bottom w:val="none" w:sz="0" w:space="0"/>
            <w:right w:val="none" w:sz="0" w:space="0"/>
          </w:pgBorders>
          <w:cols w:space="720" w:num="1"/>
          <w:docGrid w:linePitch="286" w:charSpace="0"/>
        </w:sectPr>
      </w:pPr>
      <w:r>
        <w:rPr>
          <w:rFonts w:hint="eastAsia" w:ascii="宋体" w:hAnsi="宋体" w:cs="宋体"/>
          <w:b/>
          <w:bCs/>
          <w:color w:val="auto"/>
          <w:sz w:val="24"/>
          <w:highlight w:val="none"/>
          <w:lang w:val="en-US" w:eastAsia="zh-CN"/>
        </w:rPr>
        <w:t>（4）最后报价不得高于各自供应商首次报价，否则作无效标处理。</w:t>
      </w:r>
    </w:p>
    <w:p w14:paraId="386950F2">
      <w:pPr>
        <w:widowControl/>
        <w:numPr>
          <w:ilvl w:val="0"/>
          <w:numId w:val="0"/>
        </w:numPr>
        <w:shd w:val="clear" w:color="auto" w:fill="FFFFFF"/>
        <w:jc w:val="center"/>
        <w:rPr>
          <w:rFonts w:hint="default" w:ascii="宋体" w:hAnsi="宋体" w:eastAsia="宋体" w:cs="Times New Roman"/>
          <w:b/>
          <w:color w:val="auto"/>
          <w:sz w:val="32"/>
          <w:szCs w:val="32"/>
          <w:highlight w:val="none"/>
          <w:lang w:val="en-US" w:eastAsia="zh-CN"/>
        </w:rPr>
      </w:pPr>
      <w:r>
        <w:rPr>
          <w:rFonts w:hint="eastAsia" w:ascii="宋体" w:hAnsi="宋体" w:cs="Times New Roman"/>
          <w:b/>
          <w:color w:val="auto"/>
          <w:sz w:val="32"/>
          <w:szCs w:val="32"/>
          <w:highlight w:val="none"/>
          <w:lang w:val="en-US" w:eastAsia="zh-CN"/>
        </w:rPr>
        <w:t>2、品牌选用表</w:t>
      </w:r>
    </w:p>
    <w:p w14:paraId="71F620A9">
      <w:pPr>
        <w:widowControl/>
        <w:numPr>
          <w:ilvl w:val="0"/>
          <w:numId w:val="0"/>
        </w:numPr>
        <w:shd w:val="clear" w:color="auto" w:fill="FFFFFF"/>
        <w:jc w:val="both"/>
        <w:rPr>
          <w:rFonts w:hint="eastAsia" w:ascii="宋体" w:hAnsi="宋体"/>
          <w:b/>
          <w:bCs/>
          <w:color w:val="auto"/>
          <w:sz w:val="32"/>
          <w:szCs w:val="32"/>
          <w:highlight w:val="none"/>
        </w:rPr>
      </w:pPr>
    </w:p>
    <w:tbl>
      <w:tblPr>
        <w:tblStyle w:val="14"/>
        <w:tblW w:w="470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5"/>
        <w:gridCol w:w="2143"/>
        <w:gridCol w:w="1288"/>
        <w:gridCol w:w="921"/>
        <w:gridCol w:w="3469"/>
      </w:tblGrid>
      <w:tr w14:paraId="442F3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12E1BD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273" w:type="pct"/>
            <w:tcBorders>
              <w:top w:val="single" w:color="000000" w:sz="4" w:space="0"/>
              <w:left w:val="single" w:color="000000" w:sz="4" w:space="0"/>
              <w:bottom w:val="single" w:color="000000" w:sz="4" w:space="0"/>
              <w:right w:val="single" w:color="000000" w:sz="4" w:space="0"/>
            </w:tcBorders>
            <w:noWrap w:val="0"/>
            <w:vAlign w:val="center"/>
          </w:tcPr>
          <w:p w14:paraId="3130F5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cs="宋体"/>
                <w:b/>
                <w:bCs/>
                <w:i w:val="0"/>
                <w:iCs w:val="0"/>
                <w:color w:val="auto"/>
                <w:kern w:val="0"/>
                <w:sz w:val="22"/>
                <w:szCs w:val="22"/>
                <w:highlight w:val="none"/>
                <w:u w:val="none"/>
                <w:lang w:val="en-US" w:eastAsia="zh-CN" w:bidi="ar"/>
              </w:rPr>
              <w:t>服务产品</w:t>
            </w:r>
            <w:r>
              <w:rPr>
                <w:rFonts w:hint="eastAsia" w:ascii="宋体" w:hAnsi="宋体" w:eastAsia="宋体" w:cs="宋体"/>
                <w:b/>
                <w:bCs/>
                <w:i w:val="0"/>
                <w:iCs w:val="0"/>
                <w:color w:val="auto"/>
                <w:kern w:val="0"/>
                <w:sz w:val="22"/>
                <w:szCs w:val="22"/>
                <w:highlight w:val="none"/>
                <w:u w:val="none"/>
                <w:lang w:val="en-US" w:eastAsia="zh-CN" w:bidi="ar"/>
              </w:rPr>
              <w:t>名称</w:t>
            </w:r>
          </w:p>
        </w:tc>
        <w:tc>
          <w:tcPr>
            <w:tcW w:w="765" w:type="pct"/>
            <w:tcBorders>
              <w:top w:val="single" w:color="000000" w:sz="4" w:space="0"/>
              <w:left w:val="single" w:color="000000" w:sz="4" w:space="0"/>
              <w:bottom w:val="single" w:color="000000" w:sz="4" w:space="0"/>
              <w:right w:val="single" w:color="000000" w:sz="4" w:space="0"/>
            </w:tcBorders>
            <w:noWrap w:val="0"/>
            <w:vAlign w:val="center"/>
          </w:tcPr>
          <w:p w14:paraId="5D2EFD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数量</w:t>
            </w:r>
          </w:p>
        </w:tc>
        <w:tc>
          <w:tcPr>
            <w:tcW w:w="547" w:type="pct"/>
            <w:tcBorders>
              <w:top w:val="single" w:color="000000" w:sz="4" w:space="0"/>
              <w:left w:val="single" w:color="000000" w:sz="4" w:space="0"/>
              <w:bottom w:val="single" w:color="auto" w:sz="4" w:space="0"/>
              <w:right w:val="single" w:color="000000" w:sz="4" w:space="0"/>
            </w:tcBorders>
            <w:noWrap w:val="0"/>
            <w:vAlign w:val="center"/>
          </w:tcPr>
          <w:p w14:paraId="7C37CB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2059" w:type="pct"/>
            <w:tcBorders>
              <w:top w:val="single" w:color="000000" w:sz="4" w:space="0"/>
              <w:left w:val="single" w:color="000000" w:sz="4" w:space="0"/>
              <w:bottom w:val="single" w:color="auto" w:sz="4" w:space="0"/>
              <w:right w:val="single" w:color="000000" w:sz="4" w:space="0"/>
            </w:tcBorders>
            <w:noWrap w:val="0"/>
            <w:vAlign w:val="center"/>
          </w:tcPr>
          <w:p w14:paraId="36AED4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cs="宋体"/>
                <w:b/>
                <w:bCs/>
                <w:i w:val="0"/>
                <w:iCs w:val="0"/>
                <w:color w:val="auto"/>
                <w:kern w:val="0"/>
                <w:sz w:val="22"/>
                <w:szCs w:val="22"/>
                <w:highlight w:val="none"/>
                <w:u w:val="none"/>
                <w:lang w:val="en-US" w:eastAsia="zh-CN" w:bidi="ar"/>
              </w:rPr>
              <w:t>选用品牌</w:t>
            </w:r>
          </w:p>
        </w:tc>
      </w:tr>
      <w:tr w14:paraId="02A4D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210102D2">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w:t>
            </w:r>
          </w:p>
        </w:tc>
        <w:tc>
          <w:tcPr>
            <w:tcW w:w="1273" w:type="pct"/>
            <w:tcBorders>
              <w:top w:val="single" w:color="000000" w:sz="4" w:space="0"/>
              <w:left w:val="single" w:color="000000" w:sz="4" w:space="0"/>
              <w:bottom w:val="single" w:color="000000" w:sz="4" w:space="0"/>
              <w:right w:val="single" w:color="000000" w:sz="4" w:space="0"/>
            </w:tcBorders>
            <w:noWrap w:val="0"/>
            <w:vAlign w:val="center"/>
          </w:tcPr>
          <w:p w14:paraId="5C956375">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超融合一体机</w:t>
            </w:r>
          </w:p>
        </w:tc>
        <w:tc>
          <w:tcPr>
            <w:tcW w:w="765" w:type="pct"/>
            <w:tcBorders>
              <w:top w:val="single" w:color="000000" w:sz="4" w:space="0"/>
              <w:left w:val="single" w:color="000000" w:sz="4" w:space="0"/>
              <w:bottom w:val="single" w:color="000000" w:sz="4" w:space="0"/>
              <w:right w:val="single" w:color="auto" w:sz="4" w:space="0"/>
            </w:tcBorders>
            <w:noWrap w:val="0"/>
            <w:vAlign w:val="center"/>
          </w:tcPr>
          <w:p w14:paraId="7E325AD4">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w:t>
            </w:r>
          </w:p>
        </w:tc>
        <w:tc>
          <w:tcPr>
            <w:tcW w:w="547" w:type="pct"/>
            <w:tcBorders>
              <w:top w:val="single" w:color="auto" w:sz="4" w:space="0"/>
              <w:left w:val="single" w:color="auto" w:sz="4" w:space="0"/>
              <w:bottom w:val="single" w:color="auto" w:sz="4" w:space="0"/>
              <w:right w:val="single" w:color="auto" w:sz="4" w:space="0"/>
            </w:tcBorders>
            <w:noWrap w:val="0"/>
            <w:vAlign w:val="center"/>
          </w:tcPr>
          <w:p w14:paraId="240B9E6F">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台</w:t>
            </w:r>
          </w:p>
        </w:tc>
        <w:tc>
          <w:tcPr>
            <w:tcW w:w="2059" w:type="pct"/>
            <w:tcBorders>
              <w:top w:val="single" w:color="auto" w:sz="4" w:space="0"/>
              <w:left w:val="single" w:color="auto" w:sz="4" w:space="0"/>
              <w:bottom w:val="single" w:color="auto" w:sz="4" w:space="0"/>
              <w:right w:val="single" w:color="auto" w:sz="4" w:space="0"/>
            </w:tcBorders>
            <w:noWrap w:val="0"/>
            <w:vAlign w:val="center"/>
          </w:tcPr>
          <w:p w14:paraId="3EFD1F84">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2"/>
                <w:szCs w:val="22"/>
                <w:highlight w:val="none"/>
                <w:lang w:val="en-US" w:eastAsia="zh-CN"/>
              </w:rPr>
            </w:pPr>
          </w:p>
        </w:tc>
      </w:tr>
      <w:tr w14:paraId="44ED0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37301615">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w:t>
            </w:r>
          </w:p>
        </w:tc>
        <w:tc>
          <w:tcPr>
            <w:tcW w:w="1273" w:type="pct"/>
            <w:tcBorders>
              <w:top w:val="single" w:color="000000" w:sz="4" w:space="0"/>
              <w:left w:val="single" w:color="000000" w:sz="4" w:space="0"/>
              <w:bottom w:val="single" w:color="000000" w:sz="4" w:space="0"/>
              <w:right w:val="single" w:color="000000" w:sz="4" w:space="0"/>
            </w:tcBorders>
            <w:noWrap w:val="0"/>
            <w:vAlign w:val="center"/>
          </w:tcPr>
          <w:p w14:paraId="3E277617">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存储交换机</w:t>
            </w:r>
          </w:p>
        </w:tc>
        <w:tc>
          <w:tcPr>
            <w:tcW w:w="765" w:type="pct"/>
            <w:tcBorders>
              <w:top w:val="single" w:color="000000" w:sz="4" w:space="0"/>
              <w:left w:val="single" w:color="000000" w:sz="4" w:space="0"/>
              <w:bottom w:val="single" w:color="000000" w:sz="4" w:space="0"/>
              <w:right w:val="single" w:color="auto" w:sz="4" w:space="0"/>
            </w:tcBorders>
            <w:noWrap w:val="0"/>
            <w:vAlign w:val="center"/>
          </w:tcPr>
          <w:p w14:paraId="29490A9D">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w:t>
            </w:r>
          </w:p>
        </w:tc>
        <w:tc>
          <w:tcPr>
            <w:tcW w:w="547" w:type="pct"/>
            <w:tcBorders>
              <w:top w:val="single" w:color="auto" w:sz="4" w:space="0"/>
              <w:left w:val="single" w:color="auto" w:sz="4" w:space="0"/>
              <w:bottom w:val="single" w:color="auto" w:sz="4" w:space="0"/>
              <w:right w:val="single" w:color="auto" w:sz="4" w:space="0"/>
            </w:tcBorders>
            <w:noWrap w:val="0"/>
            <w:vAlign w:val="center"/>
          </w:tcPr>
          <w:p w14:paraId="798C7A06">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台</w:t>
            </w:r>
          </w:p>
        </w:tc>
        <w:tc>
          <w:tcPr>
            <w:tcW w:w="2059" w:type="pct"/>
            <w:tcBorders>
              <w:top w:val="single" w:color="auto" w:sz="4" w:space="0"/>
              <w:left w:val="single" w:color="auto" w:sz="4" w:space="0"/>
              <w:bottom w:val="single" w:color="auto" w:sz="4" w:space="0"/>
              <w:right w:val="single" w:color="auto" w:sz="4" w:space="0"/>
            </w:tcBorders>
            <w:noWrap w:val="0"/>
            <w:vAlign w:val="center"/>
          </w:tcPr>
          <w:p w14:paraId="4E781518">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color w:val="auto"/>
                <w:kern w:val="0"/>
                <w:sz w:val="22"/>
                <w:szCs w:val="22"/>
                <w:highlight w:val="none"/>
                <w:lang w:val="en-US" w:eastAsia="zh-CN"/>
              </w:rPr>
            </w:pPr>
          </w:p>
        </w:tc>
      </w:tr>
      <w:tr w14:paraId="0F2FA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070BE67B">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w:t>
            </w:r>
          </w:p>
        </w:tc>
        <w:tc>
          <w:tcPr>
            <w:tcW w:w="1273" w:type="pct"/>
            <w:tcBorders>
              <w:top w:val="single" w:color="000000" w:sz="4" w:space="0"/>
              <w:left w:val="single" w:color="000000" w:sz="4" w:space="0"/>
              <w:bottom w:val="single" w:color="000000" w:sz="4" w:space="0"/>
              <w:right w:val="single" w:color="000000" w:sz="4" w:space="0"/>
            </w:tcBorders>
            <w:noWrap w:val="0"/>
            <w:vAlign w:val="center"/>
          </w:tcPr>
          <w:p w14:paraId="05D0BDB5">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业务交换机/万兆汇聚交换机</w:t>
            </w:r>
          </w:p>
        </w:tc>
        <w:tc>
          <w:tcPr>
            <w:tcW w:w="765" w:type="pct"/>
            <w:tcBorders>
              <w:top w:val="single" w:color="000000" w:sz="4" w:space="0"/>
              <w:left w:val="single" w:color="000000" w:sz="4" w:space="0"/>
              <w:bottom w:val="single" w:color="000000" w:sz="4" w:space="0"/>
              <w:right w:val="single" w:color="000000" w:sz="4" w:space="0"/>
            </w:tcBorders>
            <w:noWrap w:val="0"/>
            <w:vAlign w:val="center"/>
          </w:tcPr>
          <w:p w14:paraId="1E67785B">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5</w:t>
            </w:r>
          </w:p>
        </w:tc>
        <w:tc>
          <w:tcPr>
            <w:tcW w:w="547" w:type="pct"/>
            <w:tcBorders>
              <w:top w:val="single" w:color="auto" w:sz="4" w:space="0"/>
              <w:left w:val="single" w:color="000000" w:sz="4" w:space="0"/>
              <w:bottom w:val="single" w:color="000000" w:sz="4" w:space="0"/>
              <w:right w:val="single" w:color="000000" w:sz="4" w:space="0"/>
            </w:tcBorders>
            <w:noWrap w:val="0"/>
            <w:vAlign w:val="center"/>
          </w:tcPr>
          <w:p w14:paraId="400E7E87">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台</w:t>
            </w:r>
          </w:p>
        </w:tc>
        <w:tc>
          <w:tcPr>
            <w:tcW w:w="2059" w:type="pct"/>
            <w:tcBorders>
              <w:top w:val="single" w:color="auto" w:sz="4" w:space="0"/>
              <w:left w:val="single" w:color="000000" w:sz="4" w:space="0"/>
              <w:bottom w:val="single" w:color="000000" w:sz="4" w:space="0"/>
              <w:right w:val="single" w:color="000000" w:sz="4" w:space="0"/>
            </w:tcBorders>
            <w:noWrap w:val="0"/>
            <w:vAlign w:val="center"/>
          </w:tcPr>
          <w:p w14:paraId="40F61CA5">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2"/>
                <w:szCs w:val="22"/>
                <w:highlight w:val="none"/>
                <w:lang w:val="en-US" w:eastAsia="zh-CN"/>
              </w:rPr>
            </w:pPr>
          </w:p>
        </w:tc>
      </w:tr>
      <w:tr w14:paraId="53BED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01A6BE45">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w:t>
            </w:r>
          </w:p>
        </w:tc>
        <w:tc>
          <w:tcPr>
            <w:tcW w:w="1273" w:type="pct"/>
            <w:tcBorders>
              <w:top w:val="single" w:color="000000" w:sz="4" w:space="0"/>
              <w:left w:val="single" w:color="000000" w:sz="4" w:space="0"/>
              <w:bottom w:val="single" w:color="000000" w:sz="4" w:space="0"/>
              <w:right w:val="single" w:color="000000" w:sz="4" w:space="0"/>
            </w:tcBorders>
            <w:noWrap w:val="0"/>
            <w:vAlign w:val="center"/>
          </w:tcPr>
          <w:p w14:paraId="1CEC09B0">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分布式存储</w:t>
            </w:r>
          </w:p>
        </w:tc>
        <w:tc>
          <w:tcPr>
            <w:tcW w:w="765" w:type="pct"/>
            <w:tcBorders>
              <w:top w:val="single" w:color="000000" w:sz="4" w:space="0"/>
              <w:left w:val="single" w:color="000000" w:sz="4" w:space="0"/>
              <w:bottom w:val="single" w:color="000000" w:sz="4" w:space="0"/>
              <w:right w:val="single" w:color="000000" w:sz="4" w:space="0"/>
            </w:tcBorders>
            <w:noWrap w:val="0"/>
            <w:vAlign w:val="center"/>
          </w:tcPr>
          <w:p w14:paraId="4497BA4F">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w:t>
            </w:r>
          </w:p>
        </w:tc>
        <w:tc>
          <w:tcPr>
            <w:tcW w:w="547" w:type="pct"/>
            <w:tcBorders>
              <w:top w:val="single" w:color="000000" w:sz="4" w:space="0"/>
              <w:left w:val="single" w:color="000000" w:sz="4" w:space="0"/>
              <w:bottom w:val="single" w:color="000000" w:sz="4" w:space="0"/>
              <w:right w:val="single" w:color="000000" w:sz="4" w:space="0"/>
            </w:tcBorders>
            <w:noWrap w:val="0"/>
            <w:vAlign w:val="center"/>
          </w:tcPr>
          <w:p w14:paraId="0EF2D1AC">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台</w:t>
            </w:r>
          </w:p>
        </w:tc>
        <w:tc>
          <w:tcPr>
            <w:tcW w:w="2059" w:type="pct"/>
            <w:tcBorders>
              <w:top w:val="single" w:color="000000" w:sz="4" w:space="0"/>
              <w:left w:val="single" w:color="000000" w:sz="4" w:space="0"/>
              <w:bottom w:val="single" w:color="000000" w:sz="4" w:space="0"/>
              <w:right w:val="single" w:color="000000" w:sz="4" w:space="0"/>
            </w:tcBorders>
            <w:noWrap w:val="0"/>
            <w:vAlign w:val="center"/>
          </w:tcPr>
          <w:p w14:paraId="0F6B7A86">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2"/>
                <w:szCs w:val="22"/>
                <w:highlight w:val="none"/>
                <w:lang w:val="en-US" w:eastAsia="zh-CN"/>
              </w:rPr>
            </w:pPr>
          </w:p>
        </w:tc>
      </w:tr>
      <w:tr w14:paraId="7BC4E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6"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6AE1ED7B">
            <w:pPr>
              <w:spacing w:line="360" w:lineRule="auto"/>
              <w:ind w:firstLine="482" w:firstLineChars="200"/>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注：</w:t>
            </w:r>
          </w:p>
          <w:p w14:paraId="2C193E15">
            <w:pPr>
              <w:spacing w:line="360" w:lineRule="auto"/>
              <w:ind w:firstLine="482" w:firstLineChars="200"/>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1、本表序号1-4，响应供应商必须明确“选用品牌”，否则作无效标处理。</w:t>
            </w:r>
          </w:p>
          <w:p w14:paraId="5C4A6DEB">
            <w:pPr>
              <w:spacing w:line="360" w:lineRule="auto"/>
              <w:ind w:firstLine="482" w:firstLineChars="200"/>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2、本表内的服务产品技术参数要求详见第三章项目需求。</w:t>
            </w:r>
          </w:p>
          <w:p w14:paraId="5BC98D5A">
            <w:pPr>
              <w:spacing w:line="360" w:lineRule="auto"/>
              <w:ind w:firstLine="482" w:firstLineChars="200"/>
              <w:rPr>
                <w:rFonts w:hint="eastAsia" w:ascii="宋体" w:hAnsi="宋体" w:eastAsia="宋体" w:cs="宋体"/>
                <w:color w:val="auto"/>
                <w:kern w:val="0"/>
                <w:sz w:val="18"/>
                <w:szCs w:val="18"/>
                <w:highlight w:val="none"/>
                <w:lang w:val="en-US" w:eastAsia="zh-CN"/>
              </w:rPr>
            </w:pPr>
            <w:r>
              <w:rPr>
                <w:rFonts w:hint="eastAsia" w:ascii="宋体" w:hAnsi="宋体" w:cs="宋体"/>
                <w:b/>
                <w:bCs/>
                <w:color w:val="auto"/>
                <w:sz w:val="24"/>
                <w:szCs w:val="24"/>
                <w:highlight w:val="none"/>
                <w:lang w:val="en-US" w:eastAsia="zh-CN"/>
              </w:rPr>
              <w:t>3、本表在响应文件中不得变动，否则作无效响应处理。</w:t>
            </w:r>
          </w:p>
        </w:tc>
      </w:tr>
    </w:tbl>
    <w:p w14:paraId="3AEBF128">
      <w:pPr>
        <w:widowControl/>
        <w:numPr>
          <w:ilvl w:val="0"/>
          <w:numId w:val="0"/>
        </w:numPr>
        <w:shd w:val="clear" w:color="auto" w:fill="FFFFFF"/>
        <w:jc w:val="both"/>
        <w:rPr>
          <w:rFonts w:hint="eastAsia" w:ascii="宋体" w:hAnsi="宋体"/>
          <w:b/>
          <w:bCs/>
          <w:color w:val="auto"/>
          <w:sz w:val="32"/>
          <w:szCs w:val="32"/>
          <w:highlight w:val="none"/>
        </w:rPr>
      </w:pPr>
    </w:p>
    <w:p w14:paraId="63ADE650">
      <w:pPr>
        <w:spacing w:line="360" w:lineRule="auto"/>
        <w:ind w:firstLine="480" w:firstLineChars="200"/>
        <w:rPr>
          <w:rFonts w:hint="eastAsia" w:ascii="宋体" w:hAnsi="宋体" w:cs="宋体"/>
          <w:color w:val="auto"/>
          <w:sz w:val="24"/>
          <w:szCs w:val="24"/>
          <w:highlight w:val="none"/>
          <w:lang w:val="en-US" w:eastAsia="zh-CN"/>
        </w:rPr>
      </w:pPr>
    </w:p>
    <w:p w14:paraId="25EC872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(盖单位公章）：</w:t>
      </w:r>
    </w:p>
    <w:p w14:paraId="0C5EF1A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drawing>
          <wp:anchor distT="0" distB="0" distL="114300" distR="114300" simplePos="0" relativeHeight="251659264" behindDoc="1" locked="0" layoutInCell="0" allowOverlap="1">
            <wp:simplePos x="0" y="0"/>
            <wp:positionH relativeFrom="column">
              <wp:posOffset>2799715</wp:posOffset>
            </wp:positionH>
            <wp:positionV relativeFrom="paragraph">
              <wp:posOffset>219710</wp:posOffset>
            </wp:positionV>
            <wp:extent cx="1930400" cy="12065"/>
            <wp:effectExtent l="0" t="0" r="0" b="0"/>
            <wp:wrapNone/>
            <wp:docPr id="1" name="图片 2"/>
            <wp:cNvGraphicFramePr/>
            <a:graphic xmlns:a="http://schemas.openxmlformats.org/drawingml/2006/main">
              <a:graphicData uri="http://schemas.openxmlformats.org/drawingml/2006/picture">
                <pic:pic xmlns:pic="http://schemas.openxmlformats.org/drawingml/2006/picture">
                  <pic:nvPicPr>
                    <pic:cNvPr id="1" name="图片 2"/>
                    <pic:cNvPicPr/>
                  </pic:nvPicPr>
                  <pic:blipFill>
                    <a:blip r:embed="rId9"/>
                    <a:stretch>
                      <a:fillRect/>
                    </a:stretch>
                  </pic:blipFill>
                  <pic:spPr>
                    <a:xfrm>
                      <a:off x="0" y="0"/>
                      <a:ext cx="1930400" cy="12065"/>
                    </a:xfrm>
                    <a:prstGeom prst="rect">
                      <a:avLst/>
                    </a:prstGeom>
                    <a:noFill/>
                    <a:ln>
                      <a:noFill/>
                    </a:ln>
                  </pic:spPr>
                </pic:pic>
              </a:graphicData>
            </a:graphic>
          </wp:anchor>
        </w:drawing>
      </w:r>
      <w:r>
        <w:rPr>
          <w:rFonts w:hint="eastAsia" w:ascii="宋体" w:hAnsi="宋体" w:cs="宋体"/>
          <w:color w:val="auto"/>
          <w:sz w:val="24"/>
          <w:szCs w:val="24"/>
          <w:highlight w:val="none"/>
        </w:rPr>
        <w:t>法定代表人或被授权人(签字或盖章)：</w:t>
      </w:r>
    </w:p>
    <w:p w14:paraId="42CEB6EC">
      <w:pPr>
        <w:pStyle w:val="6"/>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日期：         年    月    日</w:t>
      </w:r>
    </w:p>
    <w:p w14:paraId="670E5E41">
      <w:pPr>
        <w:rPr>
          <w:color w:val="auto"/>
          <w:highlight w:val="none"/>
        </w:rPr>
      </w:pPr>
    </w:p>
    <w:sectPr>
      <w:footerReference r:id="rId4" w:type="default"/>
      <w:pgSz w:w="11907" w:h="16839"/>
      <w:pgMar w:top="1418" w:right="1588" w:bottom="1418" w:left="1588" w:header="851" w:footer="851" w:gutter="0"/>
      <w:pgBorders>
        <w:top w:val="none" w:sz="0" w:space="0"/>
        <w:left w:val="none" w:sz="0" w:space="0"/>
        <w:bottom w:val="none" w:sz="0" w:space="0"/>
        <w:right w:val="none" w:sz="0" w:space="0"/>
      </w:pgBorders>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6FA6E">
    <w:pPr>
      <w:pStyle w:val="11"/>
      <w:jc w:val="center"/>
    </w:pPr>
    <w:r>
      <w:fldChar w:fldCharType="begin"/>
    </w:r>
    <w:r>
      <w:instrText xml:space="preserve"> PAGE   \* MERGEFORMAT </w:instrText>
    </w:r>
    <w:r>
      <w:fldChar w:fldCharType="separate"/>
    </w:r>
    <w:r>
      <w:rPr>
        <w:lang w:val="zh-CN"/>
      </w:rPr>
      <w:t>1</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42F37">
    <w:pPr>
      <w:pStyle w:val="11"/>
      <w:jc w:val="center"/>
    </w:pPr>
    <w:r>
      <w:fldChar w:fldCharType="begin"/>
    </w:r>
    <w:r>
      <w:instrText xml:space="preserve"> PAGE   \* MERGEFORMAT </w:instrText>
    </w:r>
    <w:r>
      <w:fldChar w:fldCharType="separate"/>
    </w:r>
    <w:r>
      <w:rPr>
        <w:lang w:val="zh-CN"/>
      </w:rPr>
      <w:t>1</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B4908E"/>
    <w:multiLevelType w:val="singleLevel"/>
    <w:tmpl w:val="D7B4908E"/>
    <w:lvl w:ilvl="0" w:tentative="0">
      <w:start w:val="1"/>
      <w:numFmt w:val="decimal"/>
      <w:suff w:val="nothing"/>
      <w:lvlText w:val="%1、"/>
      <w:lvlJc w:val="left"/>
    </w:lvl>
  </w:abstractNum>
  <w:abstractNum w:abstractNumId="1">
    <w:nsid w:val="DC781F60"/>
    <w:multiLevelType w:val="singleLevel"/>
    <w:tmpl w:val="DC781F60"/>
    <w:lvl w:ilvl="0" w:tentative="0">
      <w:start w:val="1"/>
      <w:numFmt w:val="decimal"/>
      <w:suff w:val="nothing"/>
      <w:lvlText w:val="%1、"/>
      <w:lvlJc w:val="left"/>
    </w:lvl>
  </w:abstractNum>
  <w:abstractNum w:abstractNumId="2">
    <w:nsid w:val="00294D2F"/>
    <w:multiLevelType w:val="singleLevel"/>
    <w:tmpl w:val="00294D2F"/>
    <w:lvl w:ilvl="0" w:tentative="0">
      <w:start w:val="1"/>
      <w:numFmt w:val="decimal"/>
      <w:suff w:val="nothing"/>
      <w:lvlText w:val="%1）"/>
      <w:lvlJc w:val="left"/>
    </w:lvl>
  </w:abstractNum>
  <w:abstractNum w:abstractNumId="3">
    <w:nsid w:val="0EEC1A4C"/>
    <w:multiLevelType w:val="multilevel"/>
    <w:tmpl w:val="0EEC1A4C"/>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9357A7D"/>
    <w:multiLevelType w:val="singleLevel"/>
    <w:tmpl w:val="19357A7D"/>
    <w:lvl w:ilvl="0" w:tentative="0">
      <w:start w:val="1"/>
      <w:numFmt w:val="decimal"/>
      <w:suff w:val="nothing"/>
      <w:lvlText w:val="%1、"/>
      <w:lvlJc w:val="left"/>
    </w:lvl>
  </w:abstractNum>
  <w:abstractNum w:abstractNumId="5">
    <w:nsid w:val="31731FFA"/>
    <w:multiLevelType w:val="singleLevel"/>
    <w:tmpl w:val="31731FFA"/>
    <w:lvl w:ilvl="0" w:tentative="0">
      <w:start w:val="1"/>
      <w:numFmt w:val="decimal"/>
      <w:suff w:val="space"/>
      <w:lvlText w:val="%1、"/>
      <w:lvlJc w:val="left"/>
    </w:lvl>
  </w:abstractNum>
  <w:abstractNum w:abstractNumId="6">
    <w:nsid w:val="6B1054B5"/>
    <w:multiLevelType w:val="singleLevel"/>
    <w:tmpl w:val="6B1054B5"/>
    <w:lvl w:ilvl="0" w:tentative="0">
      <w:start w:val="1"/>
      <w:numFmt w:val="decimal"/>
      <w:suff w:val="nothing"/>
      <w:lvlText w:val="%1、"/>
      <w:lvlJc w:val="left"/>
    </w:lvl>
  </w:abstractNum>
  <w:num w:numId="1">
    <w:abstractNumId w:val="2"/>
  </w:num>
  <w:num w:numId="2">
    <w:abstractNumId w:val="0"/>
  </w:num>
  <w:num w:numId="3">
    <w:abstractNumId w:val="4"/>
  </w:num>
  <w:num w:numId="4">
    <w:abstractNumId w:val="3"/>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lNmU4ZDRhMzFiYmFkYzNlMjAwOTU1NWNjODY2MGMifQ=="/>
  </w:docVars>
  <w:rsids>
    <w:rsidRoot w:val="00000000"/>
    <w:rsid w:val="01600513"/>
    <w:rsid w:val="01791714"/>
    <w:rsid w:val="018B2121"/>
    <w:rsid w:val="01AA5738"/>
    <w:rsid w:val="024C7377"/>
    <w:rsid w:val="02E132C9"/>
    <w:rsid w:val="051B3A21"/>
    <w:rsid w:val="052F5A4A"/>
    <w:rsid w:val="06C453DB"/>
    <w:rsid w:val="07F92E63"/>
    <w:rsid w:val="094C3466"/>
    <w:rsid w:val="095A6680"/>
    <w:rsid w:val="09A514F4"/>
    <w:rsid w:val="0B3F7726"/>
    <w:rsid w:val="0BB4198C"/>
    <w:rsid w:val="0BBE4AEF"/>
    <w:rsid w:val="0CD65E68"/>
    <w:rsid w:val="0D2210AE"/>
    <w:rsid w:val="0D847672"/>
    <w:rsid w:val="0DFA5B87"/>
    <w:rsid w:val="0E236E8B"/>
    <w:rsid w:val="0E5A4271"/>
    <w:rsid w:val="0ED10695"/>
    <w:rsid w:val="0F67724C"/>
    <w:rsid w:val="0FCF68E2"/>
    <w:rsid w:val="1077526D"/>
    <w:rsid w:val="11FE3E97"/>
    <w:rsid w:val="129C0FBA"/>
    <w:rsid w:val="13174AE5"/>
    <w:rsid w:val="14C04A41"/>
    <w:rsid w:val="150572EB"/>
    <w:rsid w:val="15485429"/>
    <w:rsid w:val="159367EC"/>
    <w:rsid w:val="15E36499"/>
    <w:rsid w:val="15FB249C"/>
    <w:rsid w:val="16921052"/>
    <w:rsid w:val="16B85124"/>
    <w:rsid w:val="16C16B51"/>
    <w:rsid w:val="16CA07EC"/>
    <w:rsid w:val="17BD20FF"/>
    <w:rsid w:val="17C84600"/>
    <w:rsid w:val="17FF00DB"/>
    <w:rsid w:val="18814B4E"/>
    <w:rsid w:val="198B7312"/>
    <w:rsid w:val="19FD4A34"/>
    <w:rsid w:val="1C3404B6"/>
    <w:rsid w:val="1C9F0025"/>
    <w:rsid w:val="1D1A254A"/>
    <w:rsid w:val="1D644DCB"/>
    <w:rsid w:val="1DAC0C4B"/>
    <w:rsid w:val="201725C8"/>
    <w:rsid w:val="20337402"/>
    <w:rsid w:val="20E56222"/>
    <w:rsid w:val="21933ED0"/>
    <w:rsid w:val="2217065D"/>
    <w:rsid w:val="23005595"/>
    <w:rsid w:val="233C31BC"/>
    <w:rsid w:val="236D2C2B"/>
    <w:rsid w:val="237D0994"/>
    <w:rsid w:val="23E17175"/>
    <w:rsid w:val="25916979"/>
    <w:rsid w:val="25CE197B"/>
    <w:rsid w:val="26601321"/>
    <w:rsid w:val="26630315"/>
    <w:rsid w:val="270B1B53"/>
    <w:rsid w:val="271F3928"/>
    <w:rsid w:val="277716AD"/>
    <w:rsid w:val="285E0D94"/>
    <w:rsid w:val="29226266"/>
    <w:rsid w:val="29A22F02"/>
    <w:rsid w:val="2A742AF1"/>
    <w:rsid w:val="2AFC4894"/>
    <w:rsid w:val="2BCF1FA9"/>
    <w:rsid w:val="2BFB6AA7"/>
    <w:rsid w:val="2C2E0A7D"/>
    <w:rsid w:val="2C462EC9"/>
    <w:rsid w:val="2CDA29B3"/>
    <w:rsid w:val="2D945258"/>
    <w:rsid w:val="2E586286"/>
    <w:rsid w:val="2E7A444E"/>
    <w:rsid w:val="2E9B6172"/>
    <w:rsid w:val="2F156382"/>
    <w:rsid w:val="2F523ABD"/>
    <w:rsid w:val="2FFB336C"/>
    <w:rsid w:val="30087837"/>
    <w:rsid w:val="308570DA"/>
    <w:rsid w:val="31413001"/>
    <w:rsid w:val="3231094A"/>
    <w:rsid w:val="3240775C"/>
    <w:rsid w:val="326E42CA"/>
    <w:rsid w:val="32C71C2C"/>
    <w:rsid w:val="32F30122"/>
    <w:rsid w:val="33244988"/>
    <w:rsid w:val="33B10912"/>
    <w:rsid w:val="33D20A5F"/>
    <w:rsid w:val="340A6274"/>
    <w:rsid w:val="36415851"/>
    <w:rsid w:val="37052D23"/>
    <w:rsid w:val="37A036E8"/>
    <w:rsid w:val="37AC319E"/>
    <w:rsid w:val="37B00EE0"/>
    <w:rsid w:val="387737AC"/>
    <w:rsid w:val="3B8C57C0"/>
    <w:rsid w:val="3BA61D83"/>
    <w:rsid w:val="3C0161AE"/>
    <w:rsid w:val="3CC2593E"/>
    <w:rsid w:val="3CCA034E"/>
    <w:rsid w:val="3CD25455"/>
    <w:rsid w:val="3D6A7D83"/>
    <w:rsid w:val="3DBD7EB3"/>
    <w:rsid w:val="3DBE75AD"/>
    <w:rsid w:val="3DDF7E2A"/>
    <w:rsid w:val="3ED5122D"/>
    <w:rsid w:val="3F2521B4"/>
    <w:rsid w:val="3FBD419A"/>
    <w:rsid w:val="40692574"/>
    <w:rsid w:val="411249BA"/>
    <w:rsid w:val="42813BA5"/>
    <w:rsid w:val="428D254A"/>
    <w:rsid w:val="435B2648"/>
    <w:rsid w:val="43664B49"/>
    <w:rsid w:val="437E1E93"/>
    <w:rsid w:val="440C3942"/>
    <w:rsid w:val="4413082D"/>
    <w:rsid w:val="45A32CAB"/>
    <w:rsid w:val="4665733A"/>
    <w:rsid w:val="476C0FD7"/>
    <w:rsid w:val="47EA7AF7"/>
    <w:rsid w:val="48BB76E5"/>
    <w:rsid w:val="4B413ED2"/>
    <w:rsid w:val="4B5F07FC"/>
    <w:rsid w:val="4C4E76E5"/>
    <w:rsid w:val="4E031912"/>
    <w:rsid w:val="4E6C5709"/>
    <w:rsid w:val="4EB175C0"/>
    <w:rsid w:val="4EDF4D7F"/>
    <w:rsid w:val="4EF86F9D"/>
    <w:rsid w:val="4F960564"/>
    <w:rsid w:val="4FA47125"/>
    <w:rsid w:val="502A3A06"/>
    <w:rsid w:val="51850890"/>
    <w:rsid w:val="5199563C"/>
    <w:rsid w:val="51CB0999"/>
    <w:rsid w:val="51D830B6"/>
    <w:rsid w:val="520B348B"/>
    <w:rsid w:val="548968E9"/>
    <w:rsid w:val="549534E0"/>
    <w:rsid w:val="54A159E1"/>
    <w:rsid w:val="54A51975"/>
    <w:rsid w:val="550146D2"/>
    <w:rsid w:val="56004989"/>
    <w:rsid w:val="560426CB"/>
    <w:rsid w:val="57B43C7D"/>
    <w:rsid w:val="587A4EC7"/>
    <w:rsid w:val="5A0E58C7"/>
    <w:rsid w:val="5AA149DD"/>
    <w:rsid w:val="5BD41FD1"/>
    <w:rsid w:val="5C342C52"/>
    <w:rsid w:val="5CBA1D36"/>
    <w:rsid w:val="5D170F36"/>
    <w:rsid w:val="5D861C18"/>
    <w:rsid w:val="5E4D0988"/>
    <w:rsid w:val="5FCA04E2"/>
    <w:rsid w:val="5FF90DC7"/>
    <w:rsid w:val="61131A15"/>
    <w:rsid w:val="61C62F2B"/>
    <w:rsid w:val="620B4DE2"/>
    <w:rsid w:val="63732C3E"/>
    <w:rsid w:val="63F7561D"/>
    <w:rsid w:val="653B59DE"/>
    <w:rsid w:val="66507267"/>
    <w:rsid w:val="6765227E"/>
    <w:rsid w:val="687731D1"/>
    <w:rsid w:val="69782D5D"/>
    <w:rsid w:val="699851AD"/>
    <w:rsid w:val="69A753F0"/>
    <w:rsid w:val="69FA19C4"/>
    <w:rsid w:val="6A2922A9"/>
    <w:rsid w:val="6A4C5F97"/>
    <w:rsid w:val="6AF723A7"/>
    <w:rsid w:val="6B511AB7"/>
    <w:rsid w:val="6B9419A4"/>
    <w:rsid w:val="6D1C7EA3"/>
    <w:rsid w:val="6E731D44"/>
    <w:rsid w:val="6E9A19C7"/>
    <w:rsid w:val="6ECE5F81"/>
    <w:rsid w:val="6EF70BC7"/>
    <w:rsid w:val="701932CF"/>
    <w:rsid w:val="708C39AE"/>
    <w:rsid w:val="71202A4F"/>
    <w:rsid w:val="7141437C"/>
    <w:rsid w:val="718304F0"/>
    <w:rsid w:val="71E76CD1"/>
    <w:rsid w:val="73361949"/>
    <w:rsid w:val="7346211D"/>
    <w:rsid w:val="73B513F3"/>
    <w:rsid w:val="746C6120"/>
    <w:rsid w:val="74CA4688"/>
    <w:rsid w:val="7521074C"/>
    <w:rsid w:val="77742528"/>
    <w:rsid w:val="7782124A"/>
    <w:rsid w:val="78994A9D"/>
    <w:rsid w:val="78B11DE7"/>
    <w:rsid w:val="797F3C93"/>
    <w:rsid w:val="7A0F14BB"/>
    <w:rsid w:val="7B615D46"/>
    <w:rsid w:val="7BB87930"/>
    <w:rsid w:val="7D1A5069"/>
    <w:rsid w:val="7D1F7C67"/>
    <w:rsid w:val="7DB639FC"/>
    <w:rsid w:val="7DED716A"/>
    <w:rsid w:val="7E351EDD"/>
    <w:rsid w:val="7F030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Body Text"/>
    <w:basedOn w:val="1"/>
    <w:next w:val="1"/>
    <w:qFormat/>
    <w:uiPriority w:val="0"/>
    <w:rPr>
      <w:rFonts w:ascii="仿宋_GB2312" w:eastAsia="仿宋_GB2312"/>
      <w:kern w:val="0"/>
      <w:sz w:val="24"/>
      <w:szCs w:val="20"/>
    </w:rPr>
  </w:style>
  <w:style w:type="paragraph" w:styleId="7">
    <w:name w:val="Body Text Indent"/>
    <w:basedOn w:val="1"/>
    <w:next w:val="8"/>
    <w:qFormat/>
    <w:uiPriority w:val="0"/>
    <w:pPr>
      <w:spacing w:after="120"/>
      <w:ind w:left="420" w:leftChars="200"/>
    </w:pPr>
  </w:style>
  <w:style w:type="paragraph" w:styleId="8">
    <w:name w:val="envelope return"/>
    <w:basedOn w:val="1"/>
    <w:unhideWhenUsed/>
    <w:qFormat/>
    <w:uiPriority w:val="99"/>
    <w:pPr>
      <w:snapToGrid w:val="0"/>
    </w:pPr>
    <w:rPr>
      <w:rFonts w:ascii="Arial" w:hAnsi="Arial"/>
    </w:rPr>
  </w:style>
  <w:style w:type="paragraph" w:styleId="9">
    <w:name w:val="Block Text"/>
    <w:basedOn w:val="1"/>
    <w:qFormat/>
    <w:uiPriority w:val="0"/>
    <w:pPr>
      <w:spacing w:line="360" w:lineRule="auto"/>
      <w:ind w:right="210" w:firstLine="560"/>
    </w:pPr>
    <w:rPr>
      <w:rFonts w:ascii="宋体" w:hAnsi="宋体" w:cs="宋体"/>
      <w:color w:val="000000"/>
      <w:kern w:val="0"/>
      <w:sz w:val="24"/>
      <w:szCs w:val="20"/>
    </w:rPr>
  </w:style>
  <w:style w:type="paragraph" w:styleId="10">
    <w:name w:val="Plain Text"/>
    <w:basedOn w:val="1"/>
    <w:qFormat/>
    <w:uiPriority w:val="0"/>
    <w:rPr>
      <w:rFonts w:ascii="宋体" w:hAnsi="Courier New"/>
      <w:kern w:val="0"/>
      <w:sz w:val="20"/>
      <w:szCs w:val="21"/>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2"/>
    <w:basedOn w:val="7"/>
    <w:next w:val="9"/>
    <w:unhideWhenUsed/>
    <w:qFormat/>
    <w:uiPriority w:val="99"/>
    <w:pPr>
      <w:ind w:firstLine="420" w:firstLineChars="200"/>
    </w:pPr>
  </w:style>
  <w:style w:type="paragraph" w:customStyle="1" w:styleId="16">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1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44</Pages>
  <Words>21708</Words>
  <Characters>22329</Characters>
  <Lines>0</Lines>
  <Paragraphs>0</Paragraphs>
  <TotalTime>1</TotalTime>
  <ScaleCrop>false</ScaleCrop>
  <LinksUpToDate>false</LinksUpToDate>
  <CharactersWithSpaces>23527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2024-09-23T15:06:00Z</dcterms:created>
  <dc:creator>Administrator</dc:creator>
  <cp:lastModifiedBy>wyk</cp:lastModifiedBy>
  <dcterms:modified xsi:type="dcterms:W3CDTF">2024-10-08T06:07:16Z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34A3D1389C9A4489A7042F1FD8A938D7_12</vt:lpwstr>
  </property>
</Properties>
</file>