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5B566">
      <w:pPr>
        <w:autoSpaceDE w:val="0"/>
        <w:autoSpaceDN w:val="0"/>
        <w:adjustRightInd w:val="0"/>
        <w:jc w:val="center"/>
        <w:rPr>
          <w:rFonts w:hint="eastAsia" w:ascii="宋体" w:hAnsi="宋体"/>
          <w:b/>
          <w:color w:val="auto"/>
          <w:spacing w:val="20"/>
          <w:sz w:val="40"/>
          <w:szCs w:val="22"/>
          <w:highlight w:val="none"/>
          <w:u w:val="none"/>
        </w:rPr>
      </w:pPr>
    </w:p>
    <w:p w14:paraId="00B7A2C2">
      <w:pPr>
        <w:autoSpaceDE w:val="0"/>
        <w:autoSpaceDN w:val="0"/>
        <w:adjustRightInd w:val="0"/>
        <w:jc w:val="center"/>
        <w:rPr>
          <w:rFonts w:hint="eastAsia" w:eastAsia="宋体"/>
          <w:color w:val="auto"/>
          <w:sz w:val="20"/>
          <w:szCs w:val="20"/>
          <w:highlight w:val="none"/>
          <w:u w:val="none"/>
          <w:lang w:eastAsia="zh-CN"/>
        </w:rPr>
      </w:pPr>
      <w:r>
        <w:rPr>
          <w:rFonts w:hint="eastAsia" w:ascii="宋体" w:hAnsi="宋体"/>
          <w:b/>
          <w:color w:val="auto"/>
          <w:spacing w:val="20"/>
          <w:sz w:val="40"/>
          <w:szCs w:val="22"/>
          <w:highlight w:val="none"/>
          <w:u w:val="none"/>
          <w:lang w:eastAsia="zh-CN"/>
        </w:rPr>
        <w:t>南通日报社智能媒资平台项目</w:t>
      </w:r>
    </w:p>
    <w:p w14:paraId="6F7B950A">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000E4630">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3A6C6447">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14:paraId="0A3F4EBF">
      <w:pPr>
        <w:keepNext/>
        <w:keepLines/>
        <w:autoSpaceDE w:val="0"/>
        <w:autoSpaceDN w:val="0"/>
        <w:adjustRightInd w:val="0"/>
        <w:spacing w:before="260" w:after="260" w:line="600" w:lineRule="exact"/>
        <w:ind w:right="210"/>
        <w:jc w:val="center"/>
        <w:outlineLvl w:val="9"/>
        <w:rPr>
          <w:rFonts w:hint="default" w:ascii="楷体_GB2312" w:eastAsia="宋体"/>
          <w:b/>
          <w:color w:val="auto"/>
          <w:sz w:val="44"/>
          <w:szCs w:val="44"/>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HSNT202425</w:t>
      </w:r>
      <w:bookmarkStart w:id="85" w:name="_GoBack"/>
      <w:bookmarkEnd w:id="85"/>
    </w:p>
    <w:p w14:paraId="3C1BA113">
      <w:pPr>
        <w:autoSpaceDE w:val="0"/>
        <w:autoSpaceDN w:val="0"/>
        <w:adjustRightInd w:val="0"/>
        <w:spacing w:line="360" w:lineRule="auto"/>
        <w:ind w:firstLine="420"/>
        <w:jc w:val="center"/>
        <w:rPr>
          <w:rFonts w:eastAsia="黑体"/>
          <w:color w:val="auto"/>
          <w:szCs w:val="21"/>
          <w:highlight w:val="none"/>
        </w:rPr>
      </w:pPr>
    </w:p>
    <w:p w14:paraId="2B1D40C5">
      <w:pPr>
        <w:autoSpaceDE w:val="0"/>
        <w:autoSpaceDN w:val="0"/>
        <w:adjustRightInd w:val="0"/>
        <w:spacing w:line="360" w:lineRule="auto"/>
        <w:ind w:firstLine="420"/>
        <w:jc w:val="center"/>
        <w:rPr>
          <w:rFonts w:eastAsia="黑体"/>
          <w:color w:val="auto"/>
          <w:szCs w:val="21"/>
          <w:highlight w:val="none"/>
        </w:rPr>
      </w:pPr>
    </w:p>
    <w:p w14:paraId="7B902F7A">
      <w:pPr>
        <w:autoSpaceDE w:val="0"/>
        <w:autoSpaceDN w:val="0"/>
        <w:adjustRightInd w:val="0"/>
        <w:spacing w:line="360" w:lineRule="auto"/>
        <w:ind w:firstLine="420"/>
        <w:jc w:val="center"/>
        <w:rPr>
          <w:rFonts w:eastAsia="黑体"/>
          <w:color w:val="auto"/>
          <w:szCs w:val="21"/>
          <w:highlight w:val="none"/>
        </w:rPr>
      </w:pPr>
    </w:p>
    <w:p w14:paraId="549E7A55">
      <w:pPr>
        <w:autoSpaceDE w:val="0"/>
        <w:autoSpaceDN w:val="0"/>
        <w:adjustRightInd w:val="0"/>
        <w:spacing w:line="360" w:lineRule="auto"/>
        <w:ind w:firstLine="420"/>
        <w:jc w:val="center"/>
        <w:rPr>
          <w:rFonts w:eastAsia="黑体"/>
          <w:color w:val="auto"/>
          <w:szCs w:val="21"/>
          <w:highlight w:val="none"/>
        </w:rPr>
      </w:pPr>
    </w:p>
    <w:p w14:paraId="302E8795">
      <w:pPr>
        <w:autoSpaceDE w:val="0"/>
        <w:autoSpaceDN w:val="0"/>
        <w:adjustRightInd w:val="0"/>
        <w:spacing w:line="360" w:lineRule="auto"/>
        <w:ind w:firstLine="420"/>
        <w:jc w:val="center"/>
        <w:rPr>
          <w:rFonts w:eastAsia="黑体"/>
          <w:color w:val="auto"/>
          <w:szCs w:val="21"/>
          <w:highlight w:val="none"/>
        </w:rPr>
      </w:pPr>
    </w:p>
    <w:p w14:paraId="6FBB11D8">
      <w:pPr>
        <w:autoSpaceDE w:val="0"/>
        <w:autoSpaceDN w:val="0"/>
        <w:adjustRightInd w:val="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14:paraId="72B55C86">
      <w:pPr>
        <w:autoSpaceDE w:val="0"/>
        <w:autoSpaceDN w:val="0"/>
        <w:adjustRightInd w:val="0"/>
        <w:spacing w:line="360" w:lineRule="auto"/>
        <w:ind w:firstLine="420"/>
        <w:jc w:val="center"/>
        <w:rPr>
          <w:color w:val="auto"/>
          <w:szCs w:val="21"/>
          <w:highlight w:val="none"/>
        </w:rPr>
      </w:pPr>
    </w:p>
    <w:p w14:paraId="0334B8BF">
      <w:pPr>
        <w:autoSpaceDE w:val="0"/>
        <w:autoSpaceDN w:val="0"/>
        <w:adjustRightInd w:val="0"/>
        <w:spacing w:line="360" w:lineRule="auto"/>
        <w:ind w:firstLine="420"/>
        <w:jc w:val="center"/>
        <w:rPr>
          <w:color w:val="auto"/>
          <w:szCs w:val="21"/>
          <w:highlight w:val="none"/>
        </w:rPr>
      </w:pPr>
    </w:p>
    <w:p w14:paraId="3125E14C">
      <w:pPr>
        <w:autoSpaceDE w:val="0"/>
        <w:autoSpaceDN w:val="0"/>
        <w:adjustRightInd w:val="0"/>
        <w:spacing w:line="360" w:lineRule="auto"/>
        <w:ind w:firstLine="420"/>
        <w:jc w:val="center"/>
        <w:rPr>
          <w:color w:val="auto"/>
          <w:szCs w:val="21"/>
          <w:highlight w:val="none"/>
        </w:rPr>
      </w:pPr>
    </w:p>
    <w:p w14:paraId="5D7E4509">
      <w:pPr>
        <w:autoSpaceDE w:val="0"/>
        <w:autoSpaceDN w:val="0"/>
        <w:adjustRightInd w:val="0"/>
        <w:spacing w:line="360" w:lineRule="auto"/>
        <w:ind w:firstLine="420"/>
        <w:jc w:val="center"/>
        <w:rPr>
          <w:color w:val="auto"/>
          <w:szCs w:val="21"/>
          <w:highlight w:val="none"/>
        </w:rPr>
      </w:pPr>
    </w:p>
    <w:p w14:paraId="3D666EB7">
      <w:pPr>
        <w:spacing w:line="500" w:lineRule="exact"/>
        <w:jc w:val="center"/>
        <w:rPr>
          <w:rFonts w:ascii="宋体" w:hAnsi="宋体"/>
          <w:color w:val="auto"/>
          <w:spacing w:val="20"/>
          <w:sz w:val="28"/>
          <w:szCs w:val="28"/>
          <w:highlight w:val="none"/>
        </w:rPr>
      </w:pPr>
    </w:p>
    <w:p w14:paraId="63BE9AC2">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南通日报社</w:t>
      </w:r>
    </w:p>
    <w:p w14:paraId="147F01DF">
      <w:pPr>
        <w:spacing w:line="500" w:lineRule="exact"/>
        <w:ind w:firstLine="1280" w:firstLineChars="4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江苏海审工程咨询有限公司</w:t>
      </w:r>
    </w:p>
    <w:p w14:paraId="0FC71492">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10</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8</w:t>
      </w:r>
      <w:r>
        <w:rPr>
          <w:rFonts w:hint="eastAsia" w:ascii="宋体" w:hAnsi="宋体"/>
          <w:color w:val="auto"/>
          <w:spacing w:val="20"/>
          <w:sz w:val="28"/>
          <w:szCs w:val="28"/>
          <w:highlight w:val="none"/>
          <w:u w:val="single"/>
        </w:rPr>
        <w:t>日</w:t>
      </w:r>
    </w:p>
    <w:p w14:paraId="515D5934">
      <w:pPr>
        <w:adjustRightInd w:val="0"/>
        <w:snapToGrid w:val="0"/>
        <w:ind w:left="-158" w:leftChars="-75" w:right="-601" w:rightChars="-286"/>
        <w:rPr>
          <w:rFonts w:ascii="宋体" w:hAnsi="宋体"/>
          <w:snapToGrid w:val="0"/>
          <w:color w:val="auto"/>
          <w:sz w:val="26"/>
          <w:szCs w:val="28"/>
          <w:highlight w:val="none"/>
        </w:rPr>
      </w:pPr>
    </w:p>
    <w:p w14:paraId="18E3F4CF">
      <w:pPr>
        <w:spacing w:line="360" w:lineRule="auto"/>
        <w:jc w:val="center"/>
        <w:rPr>
          <w:rFonts w:asciiTheme="minorEastAsia" w:hAnsiTheme="minorEastAsia" w:eastAsiaTheme="minorEastAsia"/>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Theme="minorEastAsia" w:hAnsiTheme="minorEastAsia" w:eastAsiaTheme="minorEastAsia"/>
          <w:b/>
          <w:bCs/>
          <w:color w:val="auto"/>
          <w:sz w:val="44"/>
          <w:szCs w:val="44"/>
          <w:highlight w:val="none"/>
          <w:lang w:val="zh-CN"/>
        </w:rPr>
        <w:t>目   录</w:t>
      </w:r>
    </w:p>
    <w:p w14:paraId="14DC3934">
      <w:pPr>
        <w:autoSpaceDE w:val="0"/>
        <w:autoSpaceDN w:val="0"/>
        <w:adjustRightInd w:val="0"/>
        <w:spacing w:line="480" w:lineRule="auto"/>
        <w:ind w:firstLine="556"/>
        <w:rPr>
          <w:rFonts w:asciiTheme="minorEastAsia" w:hAnsiTheme="minorEastAsia" w:eastAsiaTheme="minorEastAsia"/>
          <w:b/>
          <w:bCs/>
          <w:color w:val="auto"/>
          <w:sz w:val="32"/>
          <w:szCs w:val="32"/>
          <w:highlight w:val="none"/>
        </w:rPr>
      </w:pPr>
    </w:p>
    <w:p w14:paraId="2383F777">
      <w:pPr>
        <w:autoSpaceDE w:val="0"/>
        <w:autoSpaceDN w:val="0"/>
        <w:adjustRightInd w:val="0"/>
        <w:spacing w:line="480" w:lineRule="auto"/>
        <w:ind w:firstLine="556"/>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color w:val="auto"/>
          <w:sz w:val="28"/>
          <w:szCs w:val="28"/>
          <w:highlight w:val="none"/>
          <w:lang w:val="zh-CN"/>
        </w:rPr>
        <w:t>公告</w:t>
      </w:r>
    </w:p>
    <w:p w14:paraId="611855D8">
      <w:pPr>
        <w:autoSpaceDE w:val="0"/>
        <w:autoSpaceDN w:val="0"/>
        <w:adjustRightInd w:val="0"/>
        <w:spacing w:line="480" w:lineRule="auto"/>
        <w:ind w:firstLine="556"/>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color w:val="auto"/>
          <w:sz w:val="28"/>
          <w:szCs w:val="28"/>
          <w:highlight w:val="none"/>
          <w:lang w:val="zh-CN"/>
        </w:rPr>
        <w:t>须知</w:t>
      </w:r>
    </w:p>
    <w:p w14:paraId="2A814F94">
      <w:pPr>
        <w:autoSpaceDE w:val="0"/>
        <w:autoSpaceDN w:val="0"/>
        <w:adjustRightInd w:val="0"/>
        <w:spacing w:line="480" w:lineRule="auto"/>
        <w:ind w:firstLine="537"/>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color w:val="auto"/>
          <w:sz w:val="28"/>
          <w:szCs w:val="28"/>
          <w:highlight w:val="none"/>
          <w:lang w:val="zh-CN"/>
        </w:rPr>
        <w:t>项目需求</w:t>
      </w:r>
    </w:p>
    <w:p w14:paraId="2BB79588">
      <w:pPr>
        <w:autoSpaceDE w:val="0"/>
        <w:autoSpaceDN w:val="0"/>
        <w:adjustRightInd w:val="0"/>
        <w:spacing w:line="480" w:lineRule="auto"/>
        <w:ind w:firstLine="537"/>
        <w:rPr>
          <w:rFonts w:asciiTheme="minorEastAsia" w:hAnsiTheme="minorEastAsia" w:eastAsiaTheme="minorEastAsia"/>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color w:val="auto"/>
          <w:sz w:val="28"/>
          <w:szCs w:val="28"/>
          <w:highlight w:val="none"/>
          <w:lang w:val="zh-CN"/>
        </w:rPr>
        <w:t>程序和内容</w:t>
      </w:r>
    </w:p>
    <w:p w14:paraId="546193F7">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14:paraId="6247A4AA">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14:paraId="2164C06E">
      <w:pPr>
        <w:tabs>
          <w:tab w:val="left" w:pos="7740"/>
        </w:tabs>
        <w:spacing w:line="500" w:lineRule="exact"/>
        <w:ind w:firstLine="546" w:firstLineChars="195"/>
        <w:rPr>
          <w:rFonts w:asciiTheme="minorEastAsia" w:hAnsiTheme="minorEastAsia" w:eastAsiaTheme="minorEastAsia"/>
          <w:color w:val="auto"/>
          <w:spacing w:val="2"/>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14:paraId="0FF02C16">
      <w:pPr>
        <w:autoSpaceDE w:val="0"/>
        <w:autoSpaceDN w:val="0"/>
        <w:adjustRightInd w:val="0"/>
        <w:snapToGrid w:val="0"/>
        <w:spacing w:line="300" w:lineRule="auto"/>
        <w:jc w:val="center"/>
        <w:outlineLvl w:val="0"/>
        <w:rPr>
          <w:rFonts w:ascii="Microsoft YaHei UI" w:hAnsi="Microsoft YaHei UI" w:eastAsia="Microsoft YaHei UI" w:cs="宋体"/>
          <w:color w:val="auto"/>
          <w:spacing w:val="7"/>
          <w:kern w:val="0"/>
          <w:sz w:val="23"/>
          <w:szCs w:val="23"/>
          <w:highlight w:val="none"/>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14:paraId="06E1E500">
      <w:pPr>
        <w:snapToGrid w:val="0"/>
        <w:spacing w:line="480" w:lineRule="exact"/>
        <w:ind w:firstLine="440" w:firstLineChars="200"/>
        <w:rPr>
          <w:color w:val="auto"/>
          <w:sz w:val="22"/>
          <w:szCs w:val="22"/>
          <w:highlight w:val="none"/>
        </w:rPr>
      </w:pPr>
      <w:r>
        <w:rPr>
          <w:bCs/>
          <w:color w:val="auto"/>
          <w:sz w:val="22"/>
          <w:szCs w:val="22"/>
          <w:highlight w:val="none"/>
        </w:rPr>
        <w:t>项目概况</w:t>
      </w:r>
      <w:r>
        <w:rPr>
          <w:rFonts w:hint="eastAsia"/>
          <w:bCs/>
          <w:color w:val="auto"/>
          <w:sz w:val="22"/>
          <w:szCs w:val="22"/>
          <w:highlight w:val="none"/>
        </w:rPr>
        <w:t>：</w:t>
      </w:r>
      <w:r>
        <w:rPr>
          <w:rFonts w:hint="eastAsia"/>
          <w:b/>
          <w:bCs/>
          <w:color w:val="auto"/>
          <w:sz w:val="22"/>
          <w:szCs w:val="22"/>
          <w:highlight w:val="none"/>
          <w:u w:val="single"/>
          <w:lang w:eastAsia="zh-CN"/>
        </w:rPr>
        <w:t>南通日报社智能媒资平台项目</w:t>
      </w:r>
      <w:r>
        <w:rPr>
          <w:rFonts w:hint="eastAsia"/>
          <w:color w:val="auto"/>
          <w:sz w:val="22"/>
          <w:szCs w:val="22"/>
          <w:highlight w:val="none"/>
        </w:rPr>
        <w:t>采购项目</w:t>
      </w:r>
      <w:r>
        <w:rPr>
          <w:color w:val="auto"/>
          <w:sz w:val="22"/>
          <w:szCs w:val="22"/>
          <w:highlight w:val="none"/>
        </w:rPr>
        <w:t>的潜在</w:t>
      </w:r>
      <w:r>
        <w:rPr>
          <w:rFonts w:hint="eastAsia"/>
          <w:color w:val="auto"/>
          <w:sz w:val="22"/>
          <w:szCs w:val="22"/>
          <w:highlight w:val="none"/>
        </w:rPr>
        <w:t>供应商</w:t>
      </w:r>
      <w:r>
        <w:rPr>
          <w:color w:val="auto"/>
          <w:sz w:val="22"/>
          <w:szCs w:val="22"/>
          <w:highlight w:val="none"/>
        </w:rPr>
        <w:t>应在</w:t>
      </w:r>
      <w:r>
        <w:rPr>
          <w:rFonts w:hint="eastAsia"/>
          <w:b/>
          <w:bCs/>
          <w:color w:val="auto"/>
          <w:sz w:val="22"/>
          <w:szCs w:val="22"/>
          <w:highlight w:val="none"/>
          <w:u w:val="single"/>
          <w:lang w:val="en-US" w:eastAsia="zh-CN"/>
        </w:rPr>
        <w:t>南通市公共资源交易网、南通网</w:t>
      </w:r>
      <w:r>
        <w:rPr>
          <w:color w:val="auto"/>
          <w:sz w:val="22"/>
          <w:szCs w:val="22"/>
          <w:highlight w:val="none"/>
        </w:rPr>
        <w:t>获取</w:t>
      </w:r>
      <w:r>
        <w:rPr>
          <w:rFonts w:hint="eastAsia"/>
          <w:color w:val="auto"/>
          <w:sz w:val="22"/>
          <w:szCs w:val="22"/>
          <w:highlight w:val="none"/>
        </w:rPr>
        <w:t>采购</w:t>
      </w:r>
      <w:r>
        <w:rPr>
          <w:color w:val="auto"/>
          <w:sz w:val="22"/>
          <w:szCs w:val="22"/>
          <w:highlight w:val="none"/>
        </w:rPr>
        <w:t>文件，并于</w:t>
      </w:r>
      <w:r>
        <w:rPr>
          <w:rFonts w:hint="eastAsia"/>
          <w:b/>
          <w:bCs/>
          <w:color w:val="auto"/>
          <w:sz w:val="22"/>
          <w:szCs w:val="22"/>
          <w:highlight w:val="none"/>
          <w:u w:val="single"/>
        </w:rPr>
        <w:t>20</w:t>
      </w:r>
      <w:r>
        <w:rPr>
          <w:rFonts w:hint="eastAsia"/>
          <w:b/>
          <w:bCs/>
          <w:color w:val="auto"/>
          <w:sz w:val="22"/>
          <w:szCs w:val="22"/>
          <w:highlight w:val="none"/>
          <w:u w:val="single"/>
          <w:lang w:val="en-US" w:eastAsia="zh-CN"/>
        </w:rPr>
        <w:t>24</w:t>
      </w:r>
      <w:r>
        <w:rPr>
          <w:b/>
          <w:bCs/>
          <w:color w:val="auto"/>
          <w:sz w:val="22"/>
          <w:szCs w:val="22"/>
          <w:highlight w:val="none"/>
          <w:u w:val="single"/>
        </w:rPr>
        <w:t>年</w:t>
      </w:r>
      <w:r>
        <w:rPr>
          <w:rFonts w:hint="eastAsia"/>
          <w:b/>
          <w:bCs/>
          <w:color w:val="auto"/>
          <w:sz w:val="22"/>
          <w:szCs w:val="22"/>
          <w:highlight w:val="none"/>
          <w:u w:val="single"/>
          <w:lang w:val="en-US" w:eastAsia="zh-CN"/>
        </w:rPr>
        <w:t>10</w:t>
      </w:r>
      <w:r>
        <w:rPr>
          <w:b/>
          <w:bCs/>
          <w:color w:val="auto"/>
          <w:sz w:val="22"/>
          <w:szCs w:val="22"/>
          <w:highlight w:val="none"/>
          <w:u w:val="single"/>
        </w:rPr>
        <w:t>月</w:t>
      </w:r>
      <w:r>
        <w:rPr>
          <w:rFonts w:hint="eastAsia"/>
          <w:b/>
          <w:bCs/>
          <w:color w:val="auto"/>
          <w:sz w:val="22"/>
          <w:szCs w:val="22"/>
          <w:highlight w:val="none"/>
          <w:u w:val="single"/>
          <w:lang w:val="en-US" w:eastAsia="zh-CN"/>
        </w:rPr>
        <w:t>21</w:t>
      </w:r>
      <w:r>
        <w:rPr>
          <w:b/>
          <w:bCs/>
          <w:color w:val="auto"/>
          <w:sz w:val="22"/>
          <w:szCs w:val="22"/>
          <w:highlight w:val="none"/>
          <w:u w:val="single"/>
        </w:rPr>
        <w:t>日</w:t>
      </w:r>
      <w:r>
        <w:rPr>
          <w:rFonts w:hint="eastAsia"/>
          <w:b/>
          <w:bCs/>
          <w:color w:val="auto"/>
          <w:sz w:val="22"/>
          <w:szCs w:val="22"/>
          <w:highlight w:val="none"/>
          <w:u w:val="single"/>
          <w:lang w:val="en-US" w:eastAsia="zh-CN"/>
        </w:rPr>
        <w:t>14</w:t>
      </w:r>
      <w:r>
        <w:rPr>
          <w:b/>
          <w:bCs/>
          <w:color w:val="auto"/>
          <w:sz w:val="22"/>
          <w:szCs w:val="22"/>
          <w:highlight w:val="none"/>
          <w:u w:val="single"/>
        </w:rPr>
        <w:t>点</w:t>
      </w:r>
      <w:r>
        <w:rPr>
          <w:rFonts w:hint="eastAsia"/>
          <w:b/>
          <w:bCs/>
          <w:color w:val="auto"/>
          <w:sz w:val="22"/>
          <w:szCs w:val="22"/>
          <w:highlight w:val="none"/>
          <w:u w:val="single"/>
          <w:lang w:val="en-US" w:eastAsia="zh-CN"/>
        </w:rPr>
        <w:t>00</w:t>
      </w:r>
      <w:r>
        <w:rPr>
          <w:b/>
          <w:bCs/>
          <w:color w:val="auto"/>
          <w:sz w:val="22"/>
          <w:szCs w:val="22"/>
          <w:highlight w:val="none"/>
          <w:u w:val="single"/>
        </w:rPr>
        <w:t>分</w:t>
      </w:r>
      <w:r>
        <w:rPr>
          <w:color w:val="auto"/>
          <w:sz w:val="22"/>
          <w:szCs w:val="22"/>
          <w:highlight w:val="none"/>
        </w:rPr>
        <w:t>（北京时间）前递交</w:t>
      </w:r>
      <w:r>
        <w:rPr>
          <w:rFonts w:hint="eastAsia"/>
          <w:color w:val="auto"/>
          <w:sz w:val="22"/>
          <w:szCs w:val="22"/>
          <w:highlight w:val="none"/>
        </w:rPr>
        <w:t>响应</w:t>
      </w:r>
      <w:r>
        <w:rPr>
          <w:color w:val="auto"/>
          <w:sz w:val="22"/>
          <w:szCs w:val="22"/>
          <w:highlight w:val="none"/>
        </w:rPr>
        <w:t>文件。</w:t>
      </w:r>
    </w:p>
    <w:p w14:paraId="34440BA2">
      <w:pPr>
        <w:snapToGrid w:val="0"/>
        <w:spacing w:line="480" w:lineRule="exact"/>
        <w:ind w:firstLine="482" w:firstLineChars="200"/>
        <w:rPr>
          <w:b/>
          <w:color w:val="auto"/>
          <w:sz w:val="24"/>
          <w:szCs w:val="24"/>
          <w:highlight w:val="none"/>
        </w:rPr>
      </w:pPr>
      <w:r>
        <w:rPr>
          <w:b/>
          <w:color w:val="auto"/>
          <w:sz w:val="24"/>
          <w:szCs w:val="24"/>
          <w:highlight w:val="none"/>
        </w:rPr>
        <w:t xml:space="preserve"> 一、项目基本情况</w:t>
      </w:r>
    </w:p>
    <w:p w14:paraId="22DF4A20">
      <w:pPr>
        <w:snapToGrid w:val="0"/>
        <w:spacing w:line="480" w:lineRule="exact"/>
        <w:ind w:firstLine="440" w:firstLineChars="200"/>
        <w:rPr>
          <w:rFonts w:hint="default" w:eastAsia="宋体"/>
          <w:color w:val="auto"/>
          <w:sz w:val="22"/>
          <w:szCs w:val="22"/>
          <w:highlight w:val="none"/>
          <w:lang w:val="en-US" w:eastAsia="zh-CN"/>
        </w:rPr>
      </w:pPr>
      <w:r>
        <w:rPr>
          <w:color w:val="auto"/>
          <w:sz w:val="22"/>
          <w:szCs w:val="22"/>
          <w:highlight w:val="none"/>
        </w:rPr>
        <w:t>项目编号：</w:t>
      </w:r>
      <w:r>
        <w:rPr>
          <w:rFonts w:hint="eastAsia"/>
          <w:color w:val="auto"/>
          <w:sz w:val="22"/>
          <w:szCs w:val="22"/>
          <w:highlight w:val="none"/>
          <w:lang w:val="en-US" w:eastAsia="zh-CN"/>
        </w:rPr>
        <w:t>HSNT202425</w:t>
      </w:r>
    </w:p>
    <w:p w14:paraId="7033EB71">
      <w:pPr>
        <w:snapToGrid w:val="0"/>
        <w:spacing w:line="480" w:lineRule="exact"/>
        <w:ind w:firstLine="440" w:firstLineChars="200"/>
        <w:rPr>
          <w:rFonts w:hint="eastAsia" w:eastAsia="宋体"/>
          <w:color w:val="auto"/>
          <w:sz w:val="22"/>
          <w:szCs w:val="22"/>
          <w:highlight w:val="none"/>
          <w:lang w:eastAsia="zh-CN"/>
        </w:rPr>
      </w:pPr>
      <w:r>
        <w:rPr>
          <w:color w:val="auto"/>
          <w:sz w:val="22"/>
          <w:szCs w:val="22"/>
          <w:highlight w:val="none"/>
        </w:rPr>
        <w:t>项目名称：</w:t>
      </w:r>
      <w:r>
        <w:rPr>
          <w:rFonts w:hint="eastAsia"/>
          <w:color w:val="auto"/>
          <w:sz w:val="22"/>
          <w:szCs w:val="22"/>
          <w:highlight w:val="none"/>
          <w:lang w:eastAsia="zh-CN"/>
        </w:rPr>
        <w:t>南通日报社智能媒资平台项目</w:t>
      </w:r>
    </w:p>
    <w:p w14:paraId="79572E86">
      <w:pPr>
        <w:snapToGrid w:val="0"/>
        <w:spacing w:line="480" w:lineRule="exact"/>
        <w:ind w:firstLine="440" w:firstLineChars="200"/>
        <w:rPr>
          <w:color w:val="auto"/>
          <w:sz w:val="22"/>
          <w:szCs w:val="22"/>
          <w:highlight w:val="none"/>
        </w:rPr>
      </w:pPr>
      <w:r>
        <w:rPr>
          <w:rFonts w:hint="eastAsia"/>
          <w:color w:val="auto"/>
          <w:sz w:val="22"/>
          <w:szCs w:val="22"/>
          <w:highlight w:val="none"/>
        </w:rPr>
        <w:t>采购方式：竞争性磋商</w:t>
      </w:r>
    </w:p>
    <w:p w14:paraId="6B9D6F68">
      <w:pPr>
        <w:snapToGrid w:val="0"/>
        <w:spacing w:line="480" w:lineRule="exact"/>
        <w:ind w:firstLine="440" w:firstLineChars="200"/>
        <w:rPr>
          <w:color w:val="auto"/>
          <w:sz w:val="22"/>
          <w:szCs w:val="22"/>
          <w:highlight w:val="none"/>
        </w:rPr>
      </w:pPr>
      <w:r>
        <w:rPr>
          <w:color w:val="auto"/>
          <w:sz w:val="22"/>
          <w:szCs w:val="22"/>
          <w:highlight w:val="none"/>
        </w:rPr>
        <w:t>预算金额：</w:t>
      </w:r>
      <w:r>
        <w:rPr>
          <w:rFonts w:hint="eastAsia"/>
          <w:color w:val="auto"/>
          <w:sz w:val="22"/>
          <w:szCs w:val="22"/>
          <w:highlight w:val="none"/>
          <w:u w:val="single"/>
          <w:lang w:val="en-US" w:eastAsia="zh-CN"/>
        </w:rPr>
        <w:t xml:space="preserve"> 100 </w:t>
      </w:r>
      <w:r>
        <w:rPr>
          <w:color w:val="auto"/>
          <w:sz w:val="22"/>
          <w:szCs w:val="22"/>
          <w:highlight w:val="none"/>
        </w:rPr>
        <w:t>万元</w:t>
      </w:r>
    </w:p>
    <w:p w14:paraId="1B6A0D14">
      <w:pPr>
        <w:snapToGrid w:val="0"/>
        <w:spacing w:line="480" w:lineRule="exact"/>
        <w:ind w:firstLine="440" w:firstLineChars="200"/>
        <w:rPr>
          <w:rFonts w:hint="eastAsia" w:eastAsia="宋体"/>
          <w:color w:val="auto"/>
          <w:sz w:val="22"/>
          <w:szCs w:val="22"/>
          <w:highlight w:val="none"/>
          <w:lang w:val="en-US" w:eastAsia="zh-CN"/>
        </w:rPr>
      </w:pPr>
      <w:r>
        <w:rPr>
          <w:rFonts w:hint="eastAsia"/>
          <w:color w:val="auto"/>
          <w:sz w:val="22"/>
          <w:szCs w:val="22"/>
          <w:highlight w:val="none"/>
        </w:rPr>
        <w:t>最高限价：</w:t>
      </w:r>
      <w:r>
        <w:rPr>
          <w:rFonts w:hint="eastAsia"/>
          <w:color w:val="auto"/>
          <w:sz w:val="22"/>
          <w:szCs w:val="22"/>
          <w:highlight w:val="none"/>
          <w:u w:val="single"/>
          <w:lang w:val="en-US" w:eastAsia="zh-CN"/>
        </w:rPr>
        <w:t xml:space="preserve"> 100 </w:t>
      </w:r>
      <w:r>
        <w:rPr>
          <w:color w:val="auto"/>
          <w:sz w:val="22"/>
          <w:szCs w:val="22"/>
          <w:highlight w:val="none"/>
        </w:rPr>
        <w:t>万元</w:t>
      </w:r>
      <w:r>
        <w:rPr>
          <w:rFonts w:hint="eastAsia"/>
          <w:color w:val="auto"/>
          <w:sz w:val="22"/>
          <w:szCs w:val="22"/>
          <w:highlight w:val="none"/>
          <w:lang w:eastAsia="zh-CN"/>
        </w:rPr>
        <w:t>，最</w:t>
      </w:r>
      <w:r>
        <w:rPr>
          <w:rFonts w:hint="eastAsia"/>
          <w:color w:val="auto"/>
          <w:sz w:val="22"/>
          <w:szCs w:val="22"/>
          <w:highlight w:val="none"/>
          <w:lang w:val="en-US" w:eastAsia="zh-CN"/>
        </w:rPr>
        <w:t>后</w:t>
      </w:r>
      <w:r>
        <w:rPr>
          <w:rFonts w:hint="eastAsia"/>
          <w:color w:val="auto"/>
          <w:sz w:val="22"/>
          <w:szCs w:val="22"/>
          <w:highlight w:val="none"/>
          <w:lang w:eastAsia="zh-CN"/>
        </w:rPr>
        <w:t>报价超过预算的为无效投标。</w:t>
      </w:r>
    </w:p>
    <w:p w14:paraId="20D35D3E">
      <w:pPr>
        <w:snapToGrid w:val="0"/>
        <w:spacing w:line="480" w:lineRule="exact"/>
        <w:ind w:firstLine="440" w:firstLineChars="200"/>
        <w:rPr>
          <w:color w:val="auto"/>
          <w:sz w:val="22"/>
          <w:szCs w:val="22"/>
          <w:highlight w:val="none"/>
        </w:rPr>
      </w:pPr>
      <w:r>
        <w:rPr>
          <w:color w:val="auto"/>
          <w:sz w:val="22"/>
          <w:szCs w:val="22"/>
          <w:highlight w:val="none"/>
        </w:rPr>
        <w:t>采购需求：详见</w:t>
      </w:r>
      <w:r>
        <w:rPr>
          <w:color w:val="auto"/>
          <w:spacing w:val="7"/>
          <w:kern w:val="0"/>
          <w:sz w:val="22"/>
          <w:szCs w:val="22"/>
          <w:highlight w:val="none"/>
        </w:rPr>
        <w:t>第三部分</w:t>
      </w:r>
      <w:r>
        <w:rPr>
          <w:color w:val="auto"/>
          <w:sz w:val="22"/>
          <w:szCs w:val="22"/>
          <w:highlight w:val="none"/>
        </w:rPr>
        <w:t>项目需求。</w:t>
      </w:r>
    </w:p>
    <w:p w14:paraId="721D84C8">
      <w:pPr>
        <w:snapToGrid w:val="0"/>
        <w:spacing w:line="480" w:lineRule="exact"/>
        <w:ind w:firstLine="440" w:firstLineChars="200"/>
        <w:rPr>
          <w:color w:val="auto"/>
          <w:sz w:val="22"/>
          <w:szCs w:val="22"/>
          <w:highlight w:val="none"/>
        </w:rPr>
      </w:pPr>
      <w:r>
        <w:rPr>
          <w:color w:val="auto"/>
          <w:sz w:val="22"/>
          <w:szCs w:val="22"/>
          <w:highlight w:val="none"/>
        </w:rPr>
        <w:t>合同履行期限：详见</w:t>
      </w:r>
      <w:r>
        <w:rPr>
          <w:color w:val="auto"/>
          <w:spacing w:val="7"/>
          <w:kern w:val="0"/>
          <w:sz w:val="22"/>
          <w:szCs w:val="22"/>
          <w:highlight w:val="none"/>
        </w:rPr>
        <w:t>第三部分</w:t>
      </w:r>
      <w:r>
        <w:rPr>
          <w:color w:val="auto"/>
          <w:sz w:val="22"/>
          <w:szCs w:val="22"/>
          <w:highlight w:val="none"/>
        </w:rPr>
        <w:t>项目需求。</w:t>
      </w:r>
    </w:p>
    <w:p w14:paraId="1FD5CF18">
      <w:pPr>
        <w:snapToGrid w:val="0"/>
        <w:spacing w:line="480" w:lineRule="exact"/>
        <w:ind w:firstLine="440" w:firstLineChars="200"/>
        <w:rPr>
          <w:color w:val="auto"/>
          <w:sz w:val="22"/>
          <w:szCs w:val="22"/>
          <w:highlight w:val="none"/>
        </w:rPr>
      </w:pPr>
      <w:r>
        <w:rPr>
          <w:color w:val="auto"/>
          <w:sz w:val="22"/>
          <w:szCs w:val="22"/>
          <w:highlight w:val="none"/>
        </w:rPr>
        <w:t>本项目不接受联合体</w:t>
      </w:r>
      <w:r>
        <w:rPr>
          <w:rFonts w:hint="eastAsia"/>
          <w:color w:val="auto"/>
          <w:sz w:val="22"/>
          <w:szCs w:val="22"/>
          <w:highlight w:val="none"/>
        </w:rPr>
        <w:t>响应</w:t>
      </w:r>
      <w:r>
        <w:rPr>
          <w:color w:val="auto"/>
          <w:sz w:val="22"/>
          <w:szCs w:val="22"/>
          <w:highlight w:val="none"/>
        </w:rPr>
        <w:t>。</w:t>
      </w:r>
    </w:p>
    <w:p w14:paraId="75BF3095">
      <w:pPr>
        <w:snapToGrid w:val="0"/>
        <w:spacing w:line="480" w:lineRule="exact"/>
        <w:ind w:firstLine="482" w:firstLineChars="200"/>
        <w:rPr>
          <w:b/>
          <w:color w:val="auto"/>
          <w:sz w:val="24"/>
          <w:szCs w:val="24"/>
          <w:highlight w:val="none"/>
        </w:rPr>
      </w:pPr>
      <w:r>
        <w:rPr>
          <w:b/>
          <w:color w:val="auto"/>
          <w:sz w:val="24"/>
          <w:szCs w:val="24"/>
          <w:highlight w:val="none"/>
        </w:rPr>
        <w:t>二、申请人的资格要求：</w:t>
      </w:r>
    </w:p>
    <w:p w14:paraId="01BF8D41">
      <w:pPr>
        <w:snapToGrid w:val="0"/>
        <w:spacing w:line="480" w:lineRule="exact"/>
        <w:ind w:firstLine="440" w:firstLineChars="200"/>
        <w:rPr>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供应商</w:t>
      </w:r>
      <w:r>
        <w:rPr>
          <w:rFonts w:hint="eastAsia"/>
          <w:color w:val="auto"/>
          <w:sz w:val="22"/>
          <w:szCs w:val="22"/>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2"/>
          <w:szCs w:val="22"/>
          <w:highlight w:val="none"/>
          <w:lang w:eastAsia="zh-CN"/>
        </w:rPr>
        <w:t>；具</w:t>
      </w:r>
      <w:r>
        <w:rPr>
          <w:rFonts w:hint="eastAsia"/>
          <w:color w:val="auto"/>
          <w:sz w:val="22"/>
          <w:szCs w:val="22"/>
          <w:highlight w:val="none"/>
        </w:rPr>
        <w:t>有依法缴纳税收和社会保障资金的良好记录；参加采购活动前三年内，在经营活动中没有重大违法记录；</w:t>
      </w:r>
    </w:p>
    <w:p w14:paraId="17A2ABB4">
      <w:pPr>
        <w:snapToGrid w:val="0"/>
        <w:spacing w:line="480" w:lineRule="exact"/>
        <w:ind w:firstLine="440" w:firstLineChars="200"/>
        <w:rPr>
          <w:color w:val="auto"/>
          <w:sz w:val="22"/>
          <w:szCs w:val="22"/>
          <w:highlight w:val="none"/>
        </w:rPr>
      </w:pPr>
      <w:r>
        <w:rPr>
          <w:rFonts w:hint="eastAsia"/>
          <w:color w:val="auto"/>
          <w:sz w:val="22"/>
          <w:szCs w:val="22"/>
          <w:highlight w:val="none"/>
        </w:rPr>
        <w:t>2.未被“信用中国”网站（www.creditchina.gov.cn）列入失信被执行人、重大税收违法案件当事人名单、政府采购严重失信行为记录名单；</w:t>
      </w:r>
    </w:p>
    <w:p w14:paraId="015ECC73">
      <w:pPr>
        <w:snapToGrid w:val="0"/>
        <w:spacing w:line="480" w:lineRule="exact"/>
        <w:ind w:firstLine="440" w:firstLineChars="200"/>
        <w:rPr>
          <w:rFonts w:hint="eastAsia" w:ascii="Times New Roman" w:hAnsi="Times New Roman" w:eastAsia="宋体" w:cs="Times New Roman"/>
          <w:color w:val="auto"/>
          <w:sz w:val="22"/>
          <w:szCs w:val="22"/>
          <w:highlight w:val="none"/>
          <w:lang w:val="en-US" w:eastAsia="zh-CN"/>
        </w:rPr>
      </w:pPr>
      <w:r>
        <w:rPr>
          <w:rFonts w:hint="eastAsia"/>
          <w:color w:val="auto"/>
          <w:sz w:val="22"/>
          <w:szCs w:val="22"/>
          <w:highlight w:val="none"/>
        </w:rPr>
        <w:t>3.本项目的特定资格要求：</w:t>
      </w:r>
      <w:r>
        <w:rPr>
          <w:rFonts w:hint="eastAsia"/>
          <w:color w:val="auto"/>
          <w:sz w:val="22"/>
          <w:szCs w:val="22"/>
          <w:highlight w:val="none"/>
          <w:lang w:val="en-US" w:eastAsia="zh-CN"/>
        </w:rPr>
        <w:t>无</w:t>
      </w:r>
    </w:p>
    <w:p w14:paraId="557D928F">
      <w:pPr>
        <w:snapToGrid w:val="0"/>
        <w:spacing w:line="480" w:lineRule="exact"/>
        <w:ind w:firstLine="482" w:firstLineChars="200"/>
        <w:rPr>
          <w:b/>
          <w:color w:val="auto"/>
          <w:sz w:val="24"/>
          <w:szCs w:val="24"/>
          <w:highlight w:val="none"/>
        </w:rPr>
      </w:pPr>
      <w:r>
        <w:rPr>
          <w:b/>
          <w:color w:val="auto"/>
          <w:sz w:val="24"/>
          <w:szCs w:val="24"/>
          <w:highlight w:val="none"/>
        </w:rPr>
        <w:t>三、获取</w:t>
      </w:r>
      <w:r>
        <w:rPr>
          <w:rFonts w:hint="eastAsia"/>
          <w:b/>
          <w:color w:val="auto"/>
          <w:sz w:val="24"/>
          <w:szCs w:val="24"/>
          <w:highlight w:val="none"/>
        </w:rPr>
        <w:t>采购</w:t>
      </w:r>
      <w:r>
        <w:rPr>
          <w:b/>
          <w:color w:val="auto"/>
          <w:sz w:val="24"/>
          <w:szCs w:val="24"/>
          <w:highlight w:val="none"/>
        </w:rPr>
        <w:t>文件</w:t>
      </w:r>
    </w:p>
    <w:p w14:paraId="1813B832">
      <w:pPr>
        <w:snapToGrid w:val="0"/>
        <w:spacing w:line="480" w:lineRule="exact"/>
        <w:ind w:firstLine="442" w:firstLineChars="200"/>
        <w:rPr>
          <w:b/>
          <w:bCs/>
          <w:color w:val="auto"/>
          <w:sz w:val="22"/>
          <w:szCs w:val="22"/>
          <w:highlight w:val="none"/>
        </w:rPr>
      </w:pPr>
      <w:r>
        <w:rPr>
          <w:b/>
          <w:bCs/>
          <w:color w:val="auto"/>
          <w:sz w:val="22"/>
          <w:szCs w:val="22"/>
          <w:highlight w:val="none"/>
        </w:rPr>
        <w:t>时间：</w:t>
      </w:r>
      <w:r>
        <w:rPr>
          <w:rFonts w:hint="eastAsia"/>
          <w:b/>
          <w:bCs/>
          <w:color w:val="auto"/>
          <w:sz w:val="22"/>
          <w:szCs w:val="22"/>
          <w:highlight w:val="none"/>
          <w:u w:val="single"/>
        </w:rPr>
        <w:t>202</w:t>
      </w:r>
      <w:r>
        <w:rPr>
          <w:rFonts w:hint="eastAsia"/>
          <w:b/>
          <w:bCs/>
          <w:color w:val="auto"/>
          <w:sz w:val="22"/>
          <w:szCs w:val="22"/>
          <w:highlight w:val="none"/>
          <w:u w:val="single"/>
          <w:lang w:val="en-US" w:eastAsia="zh-CN"/>
        </w:rPr>
        <w:t>4</w:t>
      </w:r>
      <w:r>
        <w:rPr>
          <w:b/>
          <w:bCs/>
          <w:color w:val="auto"/>
          <w:sz w:val="22"/>
          <w:szCs w:val="22"/>
          <w:highlight w:val="none"/>
          <w:u w:val="single"/>
        </w:rPr>
        <w:t>年</w:t>
      </w:r>
      <w:r>
        <w:rPr>
          <w:rFonts w:hint="eastAsia"/>
          <w:b/>
          <w:bCs/>
          <w:color w:val="auto"/>
          <w:sz w:val="22"/>
          <w:szCs w:val="22"/>
          <w:highlight w:val="none"/>
          <w:u w:val="single"/>
          <w:lang w:val="en-US" w:eastAsia="zh-CN"/>
        </w:rPr>
        <w:t>10</w:t>
      </w:r>
      <w:r>
        <w:rPr>
          <w:b/>
          <w:bCs/>
          <w:color w:val="auto"/>
          <w:sz w:val="22"/>
          <w:szCs w:val="22"/>
          <w:highlight w:val="none"/>
          <w:u w:val="single"/>
        </w:rPr>
        <w:t>月</w:t>
      </w:r>
      <w:r>
        <w:rPr>
          <w:rFonts w:hint="eastAsia"/>
          <w:b/>
          <w:bCs/>
          <w:color w:val="auto"/>
          <w:sz w:val="22"/>
          <w:szCs w:val="22"/>
          <w:highlight w:val="none"/>
          <w:u w:val="single"/>
          <w:lang w:val="en-US" w:eastAsia="zh-CN"/>
        </w:rPr>
        <w:t>8</w:t>
      </w:r>
      <w:r>
        <w:rPr>
          <w:b/>
          <w:bCs/>
          <w:color w:val="auto"/>
          <w:sz w:val="22"/>
          <w:szCs w:val="22"/>
          <w:highlight w:val="none"/>
          <w:u w:val="single"/>
        </w:rPr>
        <w:t>日至</w:t>
      </w:r>
      <w:r>
        <w:rPr>
          <w:rFonts w:hint="eastAsia"/>
          <w:b/>
          <w:bCs/>
          <w:color w:val="auto"/>
          <w:sz w:val="22"/>
          <w:szCs w:val="22"/>
          <w:highlight w:val="none"/>
          <w:u w:val="single"/>
        </w:rPr>
        <w:t>202</w:t>
      </w:r>
      <w:r>
        <w:rPr>
          <w:rFonts w:hint="eastAsia"/>
          <w:b/>
          <w:bCs/>
          <w:color w:val="auto"/>
          <w:sz w:val="22"/>
          <w:szCs w:val="22"/>
          <w:highlight w:val="none"/>
          <w:u w:val="single"/>
          <w:lang w:val="en-US" w:eastAsia="zh-CN"/>
        </w:rPr>
        <w:t>4</w:t>
      </w:r>
      <w:r>
        <w:rPr>
          <w:b/>
          <w:bCs/>
          <w:color w:val="auto"/>
          <w:sz w:val="22"/>
          <w:szCs w:val="22"/>
          <w:highlight w:val="none"/>
          <w:u w:val="single"/>
        </w:rPr>
        <w:t>年</w:t>
      </w:r>
      <w:r>
        <w:rPr>
          <w:rFonts w:hint="eastAsia"/>
          <w:b/>
          <w:bCs/>
          <w:color w:val="auto"/>
          <w:sz w:val="22"/>
          <w:szCs w:val="22"/>
          <w:highlight w:val="none"/>
          <w:u w:val="single"/>
          <w:lang w:val="en-US" w:eastAsia="zh-CN"/>
        </w:rPr>
        <w:t>10</w:t>
      </w:r>
      <w:r>
        <w:rPr>
          <w:b/>
          <w:bCs/>
          <w:color w:val="auto"/>
          <w:sz w:val="22"/>
          <w:szCs w:val="22"/>
          <w:highlight w:val="none"/>
          <w:u w:val="single"/>
        </w:rPr>
        <w:t>月</w:t>
      </w:r>
      <w:r>
        <w:rPr>
          <w:rFonts w:hint="eastAsia"/>
          <w:b/>
          <w:bCs/>
          <w:color w:val="auto"/>
          <w:sz w:val="22"/>
          <w:szCs w:val="22"/>
          <w:highlight w:val="none"/>
          <w:u w:val="single"/>
          <w:lang w:val="en-US" w:eastAsia="zh-CN"/>
        </w:rPr>
        <w:t>14</w:t>
      </w:r>
      <w:r>
        <w:rPr>
          <w:b/>
          <w:bCs/>
          <w:color w:val="auto"/>
          <w:sz w:val="22"/>
          <w:szCs w:val="22"/>
          <w:highlight w:val="none"/>
          <w:u w:val="single"/>
        </w:rPr>
        <w:t>日</w:t>
      </w:r>
      <w:r>
        <w:rPr>
          <w:b/>
          <w:bCs/>
          <w:color w:val="auto"/>
          <w:sz w:val="22"/>
          <w:szCs w:val="22"/>
          <w:highlight w:val="none"/>
        </w:rPr>
        <w:t>。</w:t>
      </w:r>
    </w:p>
    <w:p w14:paraId="0E2BC674">
      <w:pPr>
        <w:snapToGrid w:val="0"/>
        <w:spacing w:line="480" w:lineRule="exact"/>
        <w:ind w:firstLine="442" w:firstLineChars="200"/>
        <w:rPr>
          <w:rFonts w:hint="default" w:eastAsia="宋体"/>
          <w:b/>
          <w:bCs/>
          <w:color w:val="auto"/>
          <w:sz w:val="22"/>
          <w:szCs w:val="22"/>
          <w:highlight w:val="none"/>
          <w:lang w:val="en-US" w:eastAsia="zh-CN"/>
        </w:rPr>
      </w:pPr>
      <w:r>
        <w:rPr>
          <w:rFonts w:hint="eastAsia"/>
          <w:b/>
          <w:bCs/>
          <w:color w:val="auto"/>
          <w:sz w:val="22"/>
          <w:szCs w:val="22"/>
          <w:highlight w:val="none"/>
          <w:lang w:val="en-US" w:eastAsia="zh-CN"/>
        </w:rPr>
        <w:t>地点：南通市公共资源交易网、南通网</w:t>
      </w:r>
    </w:p>
    <w:p w14:paraId="0EF1B9C9">
      <w:pPr>
        <w:snapToGrid w:val="0"/>
        <w:spacing w:line="480" w:lineRule="exact"/>
        <w:ind w:firstLine="442" w:firstLineChars="200"/>
        <w:rPr>
          <w:rFonts w:hint="default" w:eastAsia="宋体"/>
          <w:b/>
          <w:bCs/>
          <w:color w:val="auto"/>
          <w:sz w:val="22"/>
          <w:szCs w:val="22"/>
          <w:highlight w:val="none"/>
          <w:lang w:val="en-US" w:eastAsia="zh-CN"/>
        </w:rPr>
      </w:pPr>
      <w:r>
        <w:rPr>
          <w:rFonts w:hint="eastAsia"/>
          <w:b/>
          <w:bCs/>
          <w:color w:val="auto"/>
          <w:sz w:val="22"/>
          <w:szCs w:val="22"/>
          <w:highlight w:val="none"/>
        </w:rPr>
        <w:t>方式：</w:t>
      </w:r>
      <w:r>
        <w:rPr>
          <w:rFonts w:hint="eastAsia"/>
          <w:b/>
          <w:bCs/>
          <w:color w:val="auto"/>
          <w:sz w:val="22"/>
          <w:szCs w:val="22"/>
          <w:highlight w:val="none"/>
          <w:lang w:val="en-US" w:eastAsia="zh-CN"/>
        </w:rPr>
        <w:t>自行下载。</w:t>
      </w:r>
    </w:p>
    <w:p w14:paraId="1169E1CF">
      <w:pPr>
        <w:snapToGrid w:val="0"/>
        <w:spacing w:line="480" w:lineRule="exact"/>
        <w:ind w:firstLine="442" w:firstLineChars="200"/>
        <w:rPr>
          <w:rFonts w:hint="default" w:eastAsia="宋体"/>
          <w:b/>
          <w:bCs/>
          <w:color w:val="auto"/>
          <w:sz w:val="22"/>
          <w:szCs w:val="22"/>
          <w:highlight w:val="none"/>
          <w:lang w:val="en-US" w:eastAsia="zh-CN"/>
        </w:rPr>
      </w:pPr>
      <w:r>
        <w:rPr>
          <w:b/>
          <w:bCs/>
          <w:color w:val="auto"/>
          <w:sz w:val="22"/>
          <w:szCs w:val="22"/>
          <w:highlight w:val="none"/>
        </w:rPr>
        <w:t>售价：</w:t>
      </w:r>
      <w:r>
        <w:rPr>
          <w:rFonts w:hint="eastAsia"/>
          <w:b/>
          <w:bCs/>
          <w:color w:val="auto"/>
          <w:sz w:val="22"/>
          <w:szCs w:val="22"/>
          <w:highlight w:val="none"/>
          <w:lang w:val="en-US" w:eastAsia="zh-CN"/>
        </w:rPr>
        <w:t>免费。</w:t>
      </w:r>
    </w:p>
    <w:p w14:paraId="651ED82B">
      <w:pPr>
        <w:snapToGrid w:val="0"/>
        <w:spacing w:line="480" w:lineRule="exact"/>
        <w:ind w:firstLine="482" w:firstLineChars="200"/>
        <w:rPr>
          <w:b/>
          <w:color w:val="auto"/>
          <w:sz w:val="24"/>
          <w:szCs w:val="24"/>
          <w:highlight w:val="none"/>
        </w:rPr>
      </w:pPr>
      <w:r>
        <w:rPr>
          <w:b/>
          <w:color w:val="auto"/>
          <w:sz w:val="24"/>
          <w:szCs w:val="24"/>
          <w:highlight w:val="none"/>
        </w:rPr>
        <w:t>四、</w:t>
      </w:r>
      <w:r>
        <w:rPr>
          <w:rFonts w:hint="eastAsia"/>
          <w:b/>
          <w:color w:val="auto"/>
          <w:sz w:val="24"/>
          <w:szCs w:val="24"/>
          <w:highlight w:val="none"/>
        </w:rPr>
        <w:t>响应</w:t>
      </w:r>
      <w:r>
        <w:rPr>
          <w:b/>
          <w:color w:val="auto"/>
          <w:sz w:val="24"/>
          <w:szCs w:val="24"/>
          <w:highlight w:val="none"/>
        </w:rPr>
        <w:t>文件</w:t>
      </w:r>
      <w:r>
        <w:rPr>
          <w:rFonts w:hint="eastAsia"/>
          <w:b/>
          <w:color w:val="auto"/>
          <w:sz w:val="24"/>
          <w:szCs w:val="24"/>
          <w:highlight w:val="none"/>
        </w:rPr>
        <w:t>提交</w:t>
      </w:r>
    </w:p>
    <w:p w14:paraId="02F284A4">
      <w:pPr>
        <w:snapToGrid w:val="0"/>
        <w:spacing w:line="480" w:lineRule="exact"/>
        <w:ind w:firstLine="440" w:firstLineChars="200"/>
        <w:rPr>
          <w:color w:val="auto"/>
          <w:sz w:val="22"/>
          <w:szCs w:val="22"/>
          <w:highlight w:val="none"/>
        </w:rPr>
      </w:pPr>
      <w:r>
        <w:rPr>
          <w:rFonts w:hint="eastAsia"/>
          <w:color w:val="auto"/>
          <w:sz w:val="22"/>
          <w:szCs w:val="22"/>
          <w:highlight w:val="none"/>
        </w:rPr>
        <w:t>截止时间：</w:t>
      </w:r>
      <w:r>
        <w:rPr>
          <w:rFonts w:hint="eastAsia"/>
          <w:b/>
          <w:bCs/>
          <w:color w:val="auto"/>
          <w:sz w:val="22"/>
          <w:szCs w:val="22"/>
          <w:highlight w:val="none"/>
          <w:u w:val="single"/>
        </w:rPr>
        <w:t>202</w:t>
      </w:r>
      <w:r>
        <w:rPr>
          <w:rFonts w:hint="eastAsia"/>
          <w:b/>
          <w:bCs/>
          <w:color w:val="auto"/>
          <w:sz w:val="22"/>
          <w:szCs w:val="22"/>
          <w:highlight w:val="none"/>
          <w:u w:val="single"/>
          <w:lang w:val="en-US" w:eastAsia="zh-CN"/>
        </w:rPr>
        <w:t>4</w:t>
      </w:r>
      <w:r>
        <w:rPr>
          <w:b/>
          <w:bCs/>
          <w:color w:val="auto"/>
          <w:sz w:val="22"/>
          <w:szCs w:val="22"/>
          <w:highlight w:val="none"/>
          <w:u w:val="single"/>
        </w:rPr>
        <w:t>年</w:t>
      </w:r>
      <w:r>
        <w:rPr>
          <w:rFonts w:hint="eastAsia"/>
          <w:b/>
          <w:bCs/>
          <w:color w:val="auto"/>
          <w:sz w:val="22"/>
          <w:szCs w:val="22"/>
          <w:highlight w:val="none"/>
          <w:u w:val="single"/>
          <w:lang w:val="en-US" w:eastAsia="zh-CN"/>
        </w:rPr>
        <w:t>10</w:t>
      </w:r>
      <w:r>
        <w:rPr>
          <w:b/>
          <w:bCs/>
          <w:color w:val="auto"/>
          <w:sz w:val="22"/>
          <w:szCs w:val="22"/>
          <w:highlight w:val="none"/>
          <w:u w:val="single"/>
        </w:rPr>
        <w:t>月</w:t>
      </w:r>
      <w:r>
        <w:rPr>
          <w:rFonts w:hint="eastAsia"/>
          <w:b/>
          <w:bCs/>
          <w:color w:val="auto"/>
          <w:sz w:val="22"/>
          <w:szCs w:val="22"/>
          <w:highlight w:val="none"/>
          <w:u w:val="single"/>
          <w:lang w:val="en-US" w:eastAsia="zh-CN"/>
        </w:rPr>
        <w:t>21</w:t>
      </w:r>
      <w:r>
        <w:rPr>
          <w:b/>
          <w:bCs/>
          <w:color w:val="auto"/>
          <w:sz w:val="22"/>
          <w:szCs w:val="22"/>
          <w:highlight w:val="none"/>
          <w:u w:val="single"/>
        </w:rPr>
        <w:t>日</w:t>
      </w:r>
      <w:r>
        <w:rPr>
          <w:rFonts w:hint="eastAsia"/>
          <w:b/>
          <w:bCs/>
          <w:color w:val="auto"/>
          <w:sz w:val="22"/>
          <w:szCs w:val="22"/>
          <w:highlight w:val="none"/>
          <w:u w:val="single"/>
          <w:lang w:val="en-US" w:eastAsia="zh-CN"/>
        </w:rPr>
        <w:t>14</w:t>
      </w:r>
      <w:r>
        <w:rPr>
          <w:b/>
          <w:bCs/>
          <w:color w:val="auto"/>
          <w:sz w:val="22"/>
          <w:szCs w:val="22"/>
          <w:highlight w:val="none"/>
          <w:u w:val="single"/>
        </w:rPr>
        <w:t>点</w:t>
      </w:r>
      <w:r>
        <w:rPr>
          <w:rFonts w:hint="eastAsia"/>
          <w:b/>
          <w:bCs/>
          <w:color w:val="auto"/>
          <w:sz w:val="22"/>
          <w:szCs w:val="22"/>
          <w:highlight w:val="none"/>
          <w:u w:val="single"/>
          <w:lang w:val="en-US" w:eastAsia="zh-CN"/>
        </w:rPr>
        <w:t>00</w:t>
      </w:r>
      <w:r>
        <w:rPr>
          <w:b/>
          <w:bCs/>
          <w:color w:val="auto"/>
          <w:sz w:val="22"/>
          <w:szCs w:val="22"/>
          <w:highlight w:val="none"/>
          <w:u w:val="single"/>
        </w:rPr>
        <w:t>分</w:t>
      </w:r>
      <w:r>
        <w:rPr>
          <w:rFonts w:hint="eastAsia"/>
          <w:b/>
          <w:bCs/>
          <w:color w:val="auto"/>
          <w:sz w:val="22"/>
          <w:szCs w:val="22"/>
          <w:highlight w:val="none"/>
          <w:u w:val="single"/>
          <w:lang w:val="en-US" w:eastAsia="zh-CN"/>
        </w:rPr>
        <w:t>00秒</w:t>
      </w:r>
      <w:r>
        <w:rPr>
          <w:color w:val="auto"/>
          <w:sz w:val="22"/>
          <w:szCs w:val="22"/>
          <w:highlight w:val="none"/>
        </w:rPr>
        <w:t>（北京时间）</w:t>
      </w:r>
      <w:r>
        <w:rPr>
          <w:rFonts w:hint="eastAsia"/>
          <w:color w:val="auto"/>
          <w:sz w:val="22"/>
          <w:szCs w:val="22"/>
          <w:highlight w:val="none"/>
        </w:rPr>
        <w:t>，</w:t>
      </w:r>
      <w:r>
        <w:rPr>
          <w:color w:val="auto"/>
          <w:sz w:val="22"/>
          <w:szCs w:val="22"/>
          <w:highlight w:val="none"/>
        </w:rPr>
        <w:t>逾时拒绝接收</w:t>
      </w:r>
      <w:r>
        <w:rPr>
          <w:rFonts w:hint="eastAsia"/>
          <w:color w:val="auto"/>
          <w:sz w:val="22"/>
          <w:szCs w:val="22"/>
          <w:highlight w:val="none"/>
        </w:rPr>
        <w:t>磋商</w:t>
      </w:r>
      <w:r>
        <w:rPr>
          <w:color w:val="auto"/>
          <w:sz w:val="22"/>
          <w:szCs w:val="22"/>
          <w:highlight w:val="none"/>
        </w:rPr>
        <w:t>响应文件</w:t>
      </w:r>
      <w:r>
        <w:rPr>
          <w:rFonts w:hint="eastAsia"/>
          <w:color w:val="auto"/>
          <w:sz w:val="22"/>
          <w:szCs w:val="22"/>
          <w:highlight w:val="none"/>
        </w:rPr>
        <w:t>。</w:t>
      </w:r>
    </w:p>
    <w:p w14:paraId="57483AA2">
      <w:pPr>
        <w:snapToGrid w:val="0"/>
        <w:spacing w:line="480" w:lineRule="exact"/>
        <w:ind w:firstLine="440" w:firstLineChars="200"/>
        <w:rPr>
          <w:color w:val="auto"/>
          <w:sz w:val="22"/>
          <w:szCs w:val="22"/>
          <w:highlight w:val="none"/>
        </w:rPr>
      </w:pPr>
      <w:r>
        <w:rPr>
          <w:color w:val="auto"/>
          <w:sz w:val="22"/>
          <w:szCs w:val="22"/>
          <w:highlight w:val="none"/>
        </w:rPr>
        <w:t>地点：</w:t>
      </w:r>
      <w:r>
        <w:rPr>
          <w:rFonts w:hint="eastAsia"/>
          <w:b/>
          <w:bCs/>
          <w:color w:val="auto"/>
          <w:sz w:val="22"/>
          <w:szCs w:val="22"/>
          <w:highlight w:val="none"/>
          <w:u w:val="single"/>
        </w:rPr>
        <w:t>南通世纪大道8号，南通报业大厦2415会议室</w:t>
      </w:r>
      <w:r>
        <w:rPr>
          <w:color w:val="auto"/>
          <w:sz w:val="22"/>
          <w:szCs w:val="22"/>
          <w:highlight w:val="none"/>
        </w:rPr>
        <w:t>，如有变动另行通知。</w:t>
      </w:r>
    </w:p>
    <w:p w14:paraId="1E764106">
      <w:pPr>
        <w:snapToGrid w:val="0"/>
        <w:spacing w:line="480" w:lineRule="exact"/>
        <w:ind w:firstLine="482" w:firstLineChars="200"/>
        <w:rPr>
          <w:b/>
          <w:color w:val="auto"/>
          <w:sz w:val="24"/>
          <w:szCs w:val="24"/>
          <w:highlight w:val="none"/>
        </w:rPr>
      </w:pPr>
      <w:r>
        <w:rPr>
          <w:rFonts w:hint="eastAsia"/>
          <w:b/>
          <w:color w:val="auto"/>
          <w:sz w:val="24"/>
          <w:szCs w:val="24"/>
          <w:highlight w:val="none"/>
        </w:rPr>
        <w:t>五、开启</w:t>
      </w:r>
    </w:p>
    <w:p w14:paraId="1099884C">
      <w:pPr>
        <w:snapToGrid w:val="0"/>
        <w:spacing w:line="480" w:lineRule="exact"/>
        <w:ind w:firstLine="440" w:firstLineChars="200"/>
        <w:rPr>
          <w:color w:val="auto"/>
          <w:sz w:val="22"/>
          <w:szCs w:val="22"/>
          <w:highlight w:val="none"/>
        </w:rPr>
      </w:pPr>
      <w:r>
        <w:rPr>
          <w:rFonts w:hint="eastAsia"/>
          <w:color w:val="auto"/>
          <w:sz w:val="22"/>
          <w:szCs w:val="22"/>
          <w:highlight w:val="none"/>
        </w:rPr>
        <w:t>时间：</w:t>
      </w:r>
      <w:r>
        <w:rPr>
          <w:rFonts w:hint="eastAsia"/>
          <w:b/>
          <w:bCs/>
          <w:color w:val="auto"/>
          <w:sz w:val="22"/>
          <w:szCs w:val="22"/>
          <w:highlight w:val="none"/>
          <w:u w:val="single"/>
        </w:rPr>
        <w:t>202</w:t>
      </w:r>
      <w:r>
        <w:rPr>
          <w:rFonts w:hint="eastAsia"/>
          <w:b/>
          <w:bCs/>
          <w:color w:val="auto"/>
          <w:sz w:val="22"/>
          <w:szCs w:val="22"/>
          <w:highlight w:val="none"/>
          <w:u w:val="single"/>
          <w:lang w:val="en-US" w:eastAsia="zh-CN"/>
        </w:rPr>
        <w:t>4</w:t>
      </w:r>
      <w:r>
        <w:rPr>
          <w:b/>
          <w:bCs/>
          <w:color w:val="auto"/>
          <w:sz w:val="22"/>
          <w:szCs w:val="22"/>
          <w:highlight w:val="none"/>
          <w:u w:val="single"/>
        </w:rPr>
        <w:t>年</w:t>
      </w:r>
      <w:r>
        <w:rPr>
          <w:rFonts w:hint="eastAsia"/>
          <w:b/>
          <w:bCs/>
          <w:color w:val="auto"/>
          <w:sz w:val="22"/>
          <w:szCs w:val="22"/>
          <w:highlight w:val="none"/>
          <w:u w:val="single"/>
          <w:lang w:val="en-US" w:eastAsia="zh-CN"/>
        </w:rPr>
        <w:t>10</w:t>
      </w:r>
      <w:r>
        <w:rPr>
          <w:b/>
          <w:bCs/>
          <w:color w:val="auto"/>
          <w:sz w:val="22"/>
          <w:szCs w:val="22"/>
          <w:highlight w:val="none"/>
          <w:u w:val="single"/>
        </w:rPr>
        <w:t>月</w:t>
      </w:r>
      <w:r>
        <w:rPr>
          <w:rFonts w:hint="eastAsia"/>
          <w:b/>
          <w:bCs/>
          <w:color w:val="auto"/>
          <w:sz w:val="22"/>
          <w:szCs w:val="22"/>
          <w:highlight w:val="none"/>
          <w:u w:val="single"/>
          <w:lang w:val="en-US" w:eastAsia="zh-CN"/>
        </w:rPr>
        <w:t>21</w:t>
      </w:r>
      <w:r>
        <w:rPr>
          <w:b/>
          <w:bCs/>
          <w:color w:val="auto"/>
          <w:sz w:val="22"/>
          <w:szCs w:val="22"/>
          <w:highlight w:val="none"/>
          <w:u w:val="single"/>
        </w:rPr>
        <w:t>日</w:t>
      </w:r>
      <w:r>
        <w:rPr>
          <w:rFonts w:hint="eastAsia"/>
          <w:b/>
          <w:bCs/>
          <w:color w:val="auto"/>
          <w:sz w:val="22"/>
          <w:szCs w:val="22"/>
          <w:highlight w:val="none"/>
          <w:u w:val="single"/>
          <w:lang w:val="en-US" w:eastAsia="zh-CN"/>
        </w:rPr>
        <w:t>14</w:t>
      </w:r>
      <w:r>
        <w:rPr>
          <w:b/>
          <w:bCs/>
          <w:color w:val="auto"/>
          <w:sz w:val="22"/>
          <w:szCs w:val="22"/>
          <w:highlight w:val="none"/>
          <w:u w:val="single"/>
        </w:rPr>
        <w:t>点</w:t>
      </w:r>
      <w:r>
        <w:rPr>
          <w:rFonts w:hint="eastAsia"/>
          <w:b/>
          <w:bCs/>
          <w:color w:val="auto"/>
          <w:sz w:val="22"/>
          <w:szCs w:val="22"/>
          <w:highlight w:val="none"/>
          <w:u w:val="single"/>
          <w:lang w:val="en-US" w:eastAsia="zh-CN"/>
        </w:rPr>
        <w:t>00</w:t>
      </w:r>
      <w:r>
        <w:rPr>
          <w:b/>
          <w:bCs/>
          <w:color w:val="auto"/>
          <w:sz w:val="22"/>
          <w:szCs w:val="22"/>
          <w:highlight w:val="none"/>
          <w:u w:val="single"/>
        </w:rPr>
        <w:t>分</w:t>
      </w:r>
      <w:r>
        <w:rPr>
          <w:color w:val="auto"/>
          <w:sz w:val="22"/>
          <w:szCs w:val="22"/>
          <w:highlight w:val="none"/>
        </w:rPr>
        <w:t>（北京时间）</w:t>
      </w:r>
    </w:p>
    <w:p w14:paraId="6D4435F6">
      <w:pPr>
        <w:snapToGrid w:val="0"/>
        <w:spacing w:line="480" w:lineRule="exact"/>
        <w:ind w:firstLine="440" w:firstLineChars="200"/>
        <w:rPr>
          <w:color w:val="auto"/>
          <w:sz w:val="22"/>
          <w:szCs w:val="22"/>
          <w:highlight w:val="none"/>
        </w:rPr>
      </w:pPr>
      <w:r>
        <w:rPr>
          <w:rFonts w:hint="eastAsia"/>
          <w:color w:val="auto"/>
          <w:sz w:val="22"/>
          <w:szCs w:val="22"/>
          <w:highlight w:val="none"/>
        </w:rPr>
        <w:t>地点：</w:t>
      </w:r>
      <w:r>
        <w:rPr>
          <w:rFonts w:hint="eastAsia"/>
          <w:b/>
          <w:bCs/>
          <w:color w:val="auto"/>
          <w:sz w:val="22"/>
          <w:szCs w:val="22"/>
          <w:highlight w:val="none"/>
          <w:u w:val="single"/>
        </w:rPr>
        <w:t>南通世纪大道8号，南通报业大厦2415会议室</w:t>
      </w:r>
      <w:r>
        <w:rPr>
          <w:color w:val="auto"/>
          <w:sz w:val="22"/>
          <w:szCs w:val="22"/>
          <w:highlight w:val="none"/>
        </w:rPr>
        <w:t>。</w:t>
      </w:r>
    </w:p>
    <w:p w14:paraId="5E89C44B">
      <w:pPr>
        <w:snapToGrid w:val="0"/>
        <w:spacing w:line="480" w:lineRule="exact"/>
        <w:ind w:firstLine="482" w:firstLineChars="200"/>
        <w:rPr>
          <w:b/>
          <w:color w:val="auto"/>
          <w:sz w:val="24"/>
          <w:szCs w:val="24"/>
          <w:highlight w:val="none"/>
        </w:rPr>
      </w:pPr>
      <w:r>
        <w:rPr>
          <w:rFonts w:hint="eastAsia"/>
          <w:b/>
          <w:color w:val="auto"/>
          <w:sz w:val="24"/>
          <w:szCs w:val="24"/>
          <w:highlight w:val="none"/>
        </w:rPr>
        <w:t>六</w:t>
      </w:r>
      <w:r>
        <w:rPr>
          <w:b/>
          <w:color w:val="auto"/>
          <w:sz w:val="24"/>
          <w:szCs w:val="24"/>
          <w:highlight w:val="none"/>
        </w:rPr>
        <w:t>、公告期限</w:t>
      </w:r>
    </w:p>
    <w:p w14:paraId="486A548F">
      <w:pPr>
        <w:snapToGrid w:val="0"/>
        <w:spacing w:line="480" w:lineRule="exact"/>
        <w:ind w:firstLine="440" w:firstLineChars="200"/>
        <w:rPr>
          <w:color w:val="auto"/>
          <w:sz w:val="22"/>
          <w:szCs w:val="22"/>
          <w:highlight w:val="none"/>
        </w:rPr>
      </w:pPr>
      <w:r>
        <w:rPr>
          <w:color w:val="auto"/>
          <w:sz w:val="22"/>
          <w:szCs w:val="22"/>
          <w:highlight w:val="none"/>
        </w:rPr>
        <w:t>自本公告发布之日起</w:t>
      </w:r>
      <w:r>
        <w:rPr>
          <w:rFonts w:hint="eastAsia"/>
          <w:color w:val="auto"/>
          <w:sz w:val="22"/>
          <w:szCs w:val="22"/>
          <w:highlight w:val="none"/>
        </w:rPr>
        <w:t>3</w:t>
      </w:r>
      <w:r>
        <w:rPr>
          <w:color w:val="auto"/>
          <w:sz w:val="22"/>
          <w:szCs w:val="22"/>
          <w:highlight w:val="none"/>
        </w:rPr>
        <w:t>个工作日。</w:t>
      </w:r>
    </w:p>
    <w:p w14:paraId="5FDE83EC">
      <w:pPr>
        <w:snapToGrid w:val="0"/>
        <w:spacing w:line="480" w:lineRule="exact"/>
        <w:ind w:firstLine="482" w:firstLineChars="200"/>
        <w:rPr>
          <w:b/>
          <w:color w:val="auto"/>
          <w:sz w:val="24"/>
          <w:szCs w:val="24"/>
          <w:highlight w:val="none"/>
        </w:rPr>
      </w:pPr>
      <w:r>
        <w:rPr>
          <w:rFonts w:hint="eastAsia"/>
          <w:b/>
          <w:color w:val="auto"/>
          <w:sz w:val="24"/>
          <w:szCs w:val="24"/>
          <w:highlight w:val="none"/>
        </w:rPr>
        <w:t>七</w:t>
      </w:r>
      <w:r>
        <w:rPr>
          <w:b/>
          <w:color w:val="auto"/>
          <w:sz w:val="24"/>
          <w:szCs w:val="24"/>
          <w:highlight w:val="none"/>
        </w:rPr>
        <w:t>、其他补充事宜</w:t>
      </w:r>
    </w:p>
    <w:p w14:paraId="153BE604">
      <w:pPr>
        <w:snapToGrid w:val="0"/>
        <w:spacing w:line="480" w:lineRule="exact"/>
        <w:ind w:firstLine="440" w:firstLineChars="200"/>
        <w:rPr>
          <w:color w:val="auto"/>
          <w:sz w:val="22"/>
          <w:szCs w:val="22"/>
          <w:highlight w:val="none"/>
        </w:rPr>
      </w:pPr>
      <w:r>
        <w:rPr>
          <w:color w:val="auto"/>
          <w:sz w:val="22"/>
          <w:szCs w:val="22"/>
          <w:highlight w:val="none"/>
        </w:rPr>
        <w:t>1</w:t>
      </w:r>
      <w:r>
        <w:rPr>
          <w:rFonts w:hint="eastAsia"/>
          <w:color w:val="auto"/>
          <w:sz w:val="22"/>
          <w:szCs w:val="22"/>
          <w:highlight w:val="none"/>
        </w:rPr>
        <w:t>.</w:t>
      </w:r>
      <w:r>
        <w:rPr>
          <w:color w:val="auto"/>
          <w:sz w:val="22"/>
          <w:szCs w:val="22"/>
          <w:highlight w:val="none"/>
        </w:rPr>
        <w:t>保证金：免收</w:t>
      </w:r>
    </w:p>
    <w:p w14:paraId="2540F6A5">
      <w:pPr>
        <w:snapToGrid w:val="0"/>
        <w:spacing w:line="480" w:lineRule="exact"/>
        <w:ind w:firstLine="440" w:firstLineChars="200"/>
        <w:rPr>
          <w:b/>
          <w:color w:val="auto"/>
          <w:sz w:val="22"/>
          <w:szCs w:val="22"/>
          <w:highlight w:val="none"/>
        </w:rPr>
      </w:pPr>
      <w:r>
        <w:rPr>
          <w:color w:val="auto"/>
          <w:sz w:val="22"/>
          <w:szCs w:val="22"/>
          <w:highlight w:val="none"/>
        </w:rPr>
        <w:t>2</w:t>
      </w:r>
      <w:r>
        <w:rPr>
          <w:rFonts w:hint="eastAsia"/>
          <w:color w:val="auto"/>
          <w:sz w:val="22"/>
          <w:szCs w:val="22"/>
          <w:highlight w:val="none"/>
        </w:rPr>
        <w:t>.</w:t>
      </w:r>
      <w:r>
        <w:rPr>
          <w:color w:val="auto"/>
          <w:sz w:val="22"/>
          <w:szCs w:val="22"/>
          <w:highlight w:val="none"/>
        </w:rPr>
        <w:t>项目</w:t>
      </w:r>
      <w:r>
        <w:rPr>
          <w:rFonts w:hint="eastAsia"/>
          <w:color w:val="auto"/>
          <w:sz w:val="22"/>
          <w:szCs w:val="22"/>
          <w:highlight w:val="none"/>
        </w:rPr>
        <w:t>磋商</w:t>
      </w:r>
      <w:r>
        <w:rPr>
          <w:color w:val="auto"/>
          <w:sz w:val="22"/>
          <w:szCs w:val="22"/>
          <w:highlight w:val="none"/>
        </w:rPr>
        <w:t>活动模式：</w:t>
      </w:r>
      <w:r>
        <w:rPr>
          <w:bCs/>
          <w:color w:val="auto"/>
          <w:sz w:val="22"/>
          <w:szCs w:val="22"/>
          <w:highlight w:val="none"/>
        </w:rPr>
        <w:t>现场模式</w:t>
      </w:r>
    </w:p>
    <w:p w14:paraId="3C7995B4">
      <w:pPr>
        <w:snapToGrid w:val="0"/>
        <w:spacing w:line="480" w:lineRule="exact"/>
        <w:ind w:firstLine="440" w:firstLineChars="200"/>
        <w:rPr>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w:t>
      </w:r>
      <w:r>
        <w:rPr>
          <w:color w:val="auto"/>
          <w:sz w:val="22"/>
          <w:szCs w:val="22"/>
          <w:highlight w:val="none"/>
        </w:rPr>
        <w:t>对项目需求部分（供应商其他资格要求、项目需求、评分标准）的询问、质疑请向采购人提出，由采购人负责答复；对项目</w:t>
      </w:r>
      <w:r>
        <w:rPr>
          <w:rFonts w:hint="eastAsia"/>
          <w:color w:val="auto"/>
          <w:sz w:val="22"/>
          <w:szCs w:val="22"/>
          <w:highlight w:val="none"/>
        </w:rPr>
        <w:t>采购</w:t>
      </w:r>
      <w:r>
        <w:rPr>
          <w:color w:val="auto"/>
          <w:sz w:val="22"/>
          <w:szCs w:val="22"/>
          <w:highlight w:val="none"/>
        </w:rPr>
        <w:t>文件</w:t>
      </w:r>
      <w:r>
        <w:rPr>
          <w:rFonts w:hint="eastAsia"/>
          <w:color w:val="auto"/>
          <w:sz w:val="22"/>
          <w:szCs w:val="22"/>
          <w:highlight w:val="none"/>
          <w:lang w:eastAsia="zh-CN"/>
        </w:rPr>
        <w:t>其他部分</w:t>
      </w:r>
      <w:r>
        <w:rPr>
          <w:color w:val="auto"/>
          <w:sz w:val="22"/>
          <w:szCs w:val="22"/>
          <w:highlight w:val="none"/>
        </w:rPr>
        <w:t>的询问请向</w:t>
      </w:r>
      <w:r>
        <w:rPr>
          <w:rFonts w:hint="eastAsia"/>
          <w:color w:val="auto"/>
          <w:sz w:val="22"/>
          <w:szCs w:val="22"/>
          <w:highlight w:val="none"/>
        </w:rPr>
        <w:t>采购</w:t>
      </w:r>
      <w:r>
        <w:rPr>
          <w:color w:val="auto"/>
          <w:sz w:val="22"/>
          <w:szCs w:val="22"/>
          <w:highlight w:val="none"/>
        </w:rPr>
        <w:t>人或项目</w:t>
      </w:r>
      <w:r>
        <w:rPr>
          <w:rFonts w:hint="eastAsia"/>
          <w:color w:val="auto"/>
          <w:sz w:val="22"/>
          <w:szCs w:val="22"/>
          <w:highlight w:val="none"/>
        </w:rPr>
        <w:t>联系</w:t>
      </w:r>
      <w:r>
        <w:rPr>
          <w:color w:val="auto"/>
          <w:sz w:val="22"/>
          <w:szCs w:val="22"/>
          <w:highlight w:val="none"/>
        </w:rPr>
        <w:t>人提出。</w:t>
      </w:r>
    </w:p>
    <w:p w14:paraId="57552212">
      <w:pPr>
        <w:snapToGrid w:val="0"/>
        <w:spacing w:line="480" w:lineRule="exact"/>
        <w:ind w:firstLine="440" w:firstLineChars="200"/>
        <w:rPr>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w:t>
      </w:r>
      <w:r>
        <w:rPr>
          <w:color w:val="auto"/>
          <w:sz w:val="22"/>
          <w:szCs w:val="22"/>
          <w:highlight w:val="none"/>
        </w:rPr>
        <w:t>供应商应依照规定提交各类声明函、承诺函，不再同时提供原件备查或提供有关部门出具的相关证明文件。但成交供应商，应做好提交声明函、承诺</w:t>
      </w:r>
      <w:r>
        <w:rPr>
          <w:rFonts w:hint="eastAsia"/>
          <w:color w:val="auto"/>
          <w:sz w:val="22"/>
          <w:szCs w:val="22"/>
          <w:highlight w:val="none"/>
          <w:lang w:eastAsia="zh-CN"/>
        </w:rPr>
        <w:t>函等</w:t>
      </w:r>
      <w:r>
        <w:rPr>
          <w:color w:val="auto"/>
          <w:sz w:val="22"/>
          <w:szCs w:val="22"/>
          <w:highlight w:val="none"/>
        </w:rPr>
        <w:t>相应原件的核查准备；核查后发现虚假或违背承诺的，依照相关法律法规规定处理。</w:t>
      </w:r>
    </w:p>
    <w:p w14:paraId="3D3E2646">
      <w:pPr>
        <w:snapToGrid w:val="0"/>
        <w:spacing w:line="480" w:lineRule="exact"/>
        <w:ind w:firstLine="482" w:firstLineChars="200"/>
        <w:rPr>
          <w:b/>
          <w:color w:val="auto"/>
          <w:sz w:val="24"/>
          <w:szCs w:val="24"/>
          <w:highlight w:val="none"/>
        </w:rPr>
      </w:pPr>
      <w:r>
        <w:rPr>
          <w:rFonts w:hint="eastAsia"/>
          <w:b/>
          <w:color w:val="auto"/>
          <w:sz w:val="24"/>
          <w:szCs w:val="24"/>
          <w:highlight w:val="none"/>
        </w:rPr>
        <w:t>八</w:t>
      </w:r>
      <w:r>
        <w:rPr>
          <w:b/>
          <w:color w:val="auto"/>
          <w:sz w:val="24"/>
          <w:szCs w:val="24"/>
          <w:highlight w:val="none"/>
        </w:rPr>
        <w:t>、</w:t>
      </w:r>
      <w:r>
        <w:rPr>
          <w:rFonts w:hint="eastAsia"/>
          <w:b/>
          <w:color w:val="auto"/>
          <w:sz w:val="24"/>
          <w:szCs w:val="24"/>
          <w:highlight w:val="none"/>
        </w:rPr>
        <w:t>凡</w:t>
      </w:r>
      <w:r>
        <w:rPr>
          <w:b/>
          <w:color w:val="auto"/>
          <w:sz w:val="24"/>
          <w:szCs w:val="24"/>
          <w:highlight w:val="none"/>
        </w:rPr>
        <w:t>对本次</w:t>
      </w:r>
      <w:r>
        <w:rPr>
          <w:rFonts w:hint="eastAsia"/>
          <w:b/>
          <w:color w:val="auto"/>
          <w:sz w:val="24"/>
          <w:szCs w:val="24"/>
          <w:highlight w:val="none"/>
        </w:rPr>
        <w:t>采购</w:t>
      </w:r>
      <w:r>
        <w:rPr>
          <w:b/>
          <w:color w:val="auto"/>
          <w:sz w:val="24"/>
          <w:szCs w:val="24"/>
          <w:highlight w:val="none"/>
        </w:rPr>
        <w:t>提出询问，请按以下方式联系。</w:t>
      </w:r>
    </w:p>
    <w:bookmarkEnd w:id="0"/>
    <w:p w14:paraId="3CC23B10">
      <w:pPr>
        <w:snapToGrid w:val="0"/>
        <w:spacing w:line="480" w:lineRule="exact"/>
        <w:ind w:firstLine="440" w:firstLineChars="200"/>
        <w:rPr>
          <w:color w:val="auto"/>
          <w:sz w:val="22"/>
          <w:szCs w:val="22"/>
          <w:highlight w:val="none"/>
        </w:rPr>
      </w:pPr>
      <w:r>
        <w:rPr>
          <w:color w:val="auto"/>
          <w:sz w:val="22"/>
          <w:szCs w:val="22"/>
          <w:highlight w:val="none"/>
        </w:rPr>
        <w:t>1. 采购人信息</w:t>
      </w:r>
    </w:p>
    <w:p w14:paraId="51C3DC8B">
      <w:pPr>
        <w:snapToGrid w:val="0"/>
        <w:spacing w:line="480" w:lineRule="exact"/>
        <w:ind w:firstLine="440" w:firstLineChars="200"/>
        <w:rPr>
          <w:rFonts w:hint="default" w:eastAsia="宋体"/>
          <w:color w:val="auto"/>
          <w:sz w:val="22"/>
          <w:szCs w:val="22"/>
          <w:highlight w:val="none"/>
          <w:u w:val="single"/>
          <w:lang w:val="en-US" w:eastAsia="zh-CN"/>
        </w:rPr>
      </w:pPr>
      <w:r>
        <w:rPr>
          <w:color w:val="auto"/>
          <w:sz w:val="22"/>
          <w:szCs w:val="22"/>
          <w:highlight w:val="none"/>
        </w:rPr>
        <w:t>名 称：</w:t>
      </w:r>
      <w:r>
        <w:rPr>
          <w:rFonts w:hint="eastAsia"/>
          <w:color w:val="auto"/>
          <w:sz w:val="22"/>
          <w:szCs w:val="22"/>
          <w:highlight w:val="none"/>
        </w:rPr>
        <w:t>南通</w:t>
      </w:r>
      <w:r>
        <w:rPr>
          <w:rFonts w:hint="eastAsia"/>
          <w:color w:val="auto"/>
          <w:sz w:val="22"/>
          <w:szCs w:val="22"/>
          <w:highlight w:val="none"/>
          <w:lang w:val="en-US" w:eastAsia="zh-CN"/>
        </w:rPr>
        <w:t>日报社</w:t>
      </w:r>
    </w:p>
    <w:p w14:paraId="74AFDFAB">
      <w:pPr>
        <w:adjustRightInd w:val="0"/>
        <w:snapToGrid w:val="0"/>
        <w:spacing w:line="480" w:lineRule="exact"/>
        <w:ind w:firstLine="440" w:firstLineChars="200"/>
        <w:rPr>
          <w:color w:val="auto"/>
          <w:sz w:val="22"/>
          <w:szCs w:val="22"/>
          <w:highlight w:val="none"/>
        </w:rPr>
      </w:pPr>
      <w:r>
        <w:rPr>
          <w:color w:val="auto"/>
          <w:sz w:val="22"/>
          <w:szCs w:val="22"/>
          <w:highlight w:val="none"/>
        </w:rPr>
        <w:t>联系方式：</w:t>
      </w:r>
      <w:r>
        <w:rPr>
          <w:rFonts w:hint="eastAsia"/>
          <w:color w:val="auto"/>
          <w:sz w:val="22"/>
          <w:szCs w:val="22"/>
          <w:highlight w:val="none"/>
          <w:lang w:val="en-US" w:eastAsia="zh-CN"/>
        </w:rPr>
        <w:t>张先生，</w:t>
      </w:r>
      <w:r>
        <w:rPr>
          <w:rFonts w:hint="eastAsia"/>
          <w:color w:val="auto"/>
          <w:sz w:val="22"/>
          <w:szCs w:val="22"/>
          <w:highlight w:val="none"/>
        </w:rPr>
        <w:t>0513-68218829</w:t>
      </w:r>
    </w:p>
    <w:p w14:paraId="4AD66B8B">
      <w:pPr>
        <w:widowControl/>
        <w:shd w:val="clear" w:color="auto" w:fill="FFFFFF"/>
        <w:adjustRightInd w:val="0"/>
        <w:snapToGrid w:val="0"/>
        <w:spacing w:line="480" w:lineRule="exact"/>
        <w:ind w:firstLine="440" w:firstLineChars="200"/>
        <w:jc w:val="left"/>
        <w:rPr>
          <w:color w:val="auto"/>
          <w:sz w:val="22"/>
          <w:szCs w:val="22"/>
          <w:highlight w:val="none"/>
        </w:rPr>
      </w:pPr>
      <w:r>
        <w:rPr>
          <w:color w:val="auto"/>
          <w:sz w:val="22"/>
          <w:szCs w:val="22"/>
          <w:highlight w:val="none"/>
        </w:rPr>
        <w:t>2. 采购代理机构信息</w:t>
      </w:r>
    </w:p>
    <w:p w14:paraId="53B30D09">
      <w:pPr>
        <w:widowControl/>
        <w:shd w:val="clear" w:color="auto" w:fill="FFFFFF"/>
        <w:adjustRightInd w:val="0"/>
        <w:snapToGrid w:val="0"/>
        <w:spacing w:line="480" w:lineRule="exact"/>
        <w:ind w:firstLine="440" w:firstLineChars="200"/>
        <w:jc w:val="left"/>
        <w:rPr>
          <w:color w:val="auto"/>
          <w:sz w:val="22"/>
          <w:szCs w:val="22"/>
          <w:highlight w:val="none"/>
        </w:rPr>
      </w:pPr>
      <w:r>
        <w:rPr>
          <w:color w:val="auto"/>
          <w:sz w:val="22"/>
          <w:szCs w:val="22"/>
          <w:highlight w:val="none"/>
        </w:rPr>
        <w:t>名 称：</w:t>
      </w:r>
      <w:r>
        <w:rPr>
          <w:rFonts w:hint="eastAsia"/>
          <w:color w:val="auto"/>
          <w:sz w:val="22"/>
          <w:szCs w:val="22"/>
          <w:highlight w:val="none"/>
        </w:rPr>
        <w:t>江苏海审工程咨询有限公司</w:t>
      </w:r>
    </w:p>
    <w:p w14:paraId="107EB679">
      <w:pPr>
        <w:widowControl/>
        <w:shd w:val="clear" w:color="auto" w:fill="FFFFFF"/>
        <w:adjustRightInd w:val="0"/>
        <w:snapToGrid w:val="0"/>
        <w:spacing w:line="480" w:lineRule="exact"/>
        <w:ind w:firstLine="440" w:firstLineChars="200"/>
        <w:jc w:val="left"/>
        <w:rPr>
          <w:rFonts w:hint="eastAsia"/>
          <w:color w:val="auto"/>
          <w:sz w:val="22"/>
          <w:szCs w:val="22"/>
          <w:highlight w:val="none"/>
        </w:rPr>
      </w:pPr>
      <w:r>
        <w:rPr>
          <w:color w:val="auto"/>
          <w:sz w:val="22"/>
          <w:szCs w:val="22"/>
          <w:highlight w:val="none"/>
        </w:rPr>
        <w:t>地 址：</w:t>
      </w:r>
      <w:r>
        <w:rPr>
          <w:rFonts w:hint="eastAsia"/>
          <w:color w:val="auto"/>
          <w:sz w:val="22"/>
          <w:szCs w:val="22"/>
          <w:highlight w:val="none"/>
        </w:rPr>
        <w:t>南通市崇川区星城路299号创源科技园3号楼501室</w:t>
      </w:r>
    </w:p>
    <w:p w14:paraId="3407EAC6">
      <w:pPr>
        <w:widowControl/>
        <w:shd w:val="clear" w:color="auto" w:fill="FFFFFF"/>
        <w:adjustRightInd w:val="0"/>
        <w:snapToGrid w:val="0"/>
        <w:spacing w:line="480" w:lineRule="exact"/>
        <w:ind w:firstLine="440" w:firstLineChars="200"/>
        <w:jc w:val="left"/>
        <w:rPr>
          <w:rFonts w:hint="default"/>
          <w:color w:val="auto"/>
          <w:sz w:val="22"/>
          <w:szCs w:val="22"/>
          <w:highlight w:val="none"/>
          <w:lang w:val="en-US" w:eastAsia="zh-CN"/>
        </w:rPr>
      </w:pPr>
      <w:r>
        <w:rPr>
          <w:rFonts w:hint="eastAsia"/>
          <w:color w:val="auto"/>
          <w:sz w:val="22"/>
          <w:szCs w:val="22"/>
          <w:highlight w:val="none"/>
        </w:rPr>
        <w:t>联系方式：</w:t>
      </w:r>
      <w:r>
        <w:rPr>
          <w:rFonts w:hint="eastAsia"/>
          <w:color w:val="auto"/>
          <w:sz w:val="22"/>
          <w:szCs w:val="22"/>
          <w:highlight w:val="none"/>
          <w:lang w:val="en-US" w:eastAsia="zh-CN"/>
        </w:rPr>
        <w:t>朱一仁，18068996360，王银珂，18012222810</w:t>
      </w:r>
    </w:p>
    <w:p w14:paraId="5EDD283C">
      <w:pPr>
        <w:widowControl/>
        <w:shd w:val="clear" w:color="auto" w:fill="FFFFFF"/>
        <w:adjustRightInd w:val="0"/>
        <w:snapToGrid w:val="0"/>
        <w:spacing w:line="480" w:lineRule="exact"/>
        <w:ind w:firstLine="440" w:firstLineChars="200"/>
        <w:jc w:val="left"/>
        <w:rPr>
          <w:rFonts w:hint="default"/>
          <w:color w:val="auto"/>
          <w:sz w:val="22"/>
          <w:szCs w:val="22"/>
          <w:highlight w:val="none"/>
          <w:lang w:val="en-US" w:eastAsia="zh-CN"/>
        </w:rPr>
      </w:pPr>
      <w:r>
        <w:rPr>
          <w:rFonts w:hint="eastAsia"/>
          <w:color w:val="auto"/>
          <w:sz w:val="22"/>
          <w:szCs w:val="22"/>
          <w:highlight w:val="none"/>
          <w:lang w:val="en-US" w:eastAsia="zh-CN"/>
        </w:rPr>
        <w:t>日期：2024年10月8日</w:t>
      </w:r>
    </w:p>
    <w:p w14:paraId="426E0694">
      <w:pPr>
        <w:snapToGrid w:val="0"/>
        <w:spacing w:line="480" w:lineRule="exact"/>
        <w:contextualSpacing/>
        <w:jc w:val="center"/>
        <w:outlineLvl w:val="0"/>
        <w:rPr>
          <w:rFonts w:hint="eastAsia"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14:paraId="18B69BBE">
      <w:pPr>
        <w:autoSpaceDE w:val="0"/>
        <w:autoSpaceDN w:val="0"/>
        <w:adjustRightInd w:val="0"/>
        <w:snapToGrid w:val="0"/>
        <w:spacing w:line="300" w:lineRule="auto"/>
        <w:contextualSpacing/>
        <w:rPr>
          <w:rFonts w:ascii="黑体" w:eastAsia="黑体"/>
          <w:b/>
          <w:bCs/>
          <w:color w:val="auto"/>
          <w:sz w:val="28"/>
          <w:szCs w:val="28"/>
          <w:highlight w:val="none"/>
          <w:lang w:val="zh-CN"/>
        </w:rPr>
      </w:pPr>
    </w:p>
    <w:p w14:paraId="4D32501D">
      <w:pPr>
        <w:snapToGrid w:val="0"/>
        <w:spacing w:line="480" w:lineRule="exact"/>
        <w:ind w:firstLine="482" w:firstLineChars="200"/>
        <w:contextualSpacing/>
        <w:outlineLvl w:val="9"/>
        <w:rPr>
          <w:b/>
          <w:color w:val="auto"/>
          <w:sz w:val="24"/>
          <w:highlight w:val="none"/>
        </w:rPr>
      </w:pPr>
      <w:r>
        <w:rPr>
          <w:b/>
          <w:color w:val="auto"/>
          <w:sz w:val="24"/>
          <w:highlight w:val="none"/>
        </w:rPr>
        <w:t>一、本磋商文件由采购人或采购代理机构解释。</w:t>
      </w:r>
    </w:p>
    <w:p w14:paraId="5D86322F">
      <w:pPr>
        <w:snapToGrid w:val="0"/>
        <w:spacing w:line="480" w:lineRule="exact"/>
        <w:ind w:firstLine="440" w:firstLineChars="200"/>
        <w:contextualSpacing/>
        <w:rPr>
          <w:b/>
          <w:color w:val="auto"/>
          <w:sz w:val="22"/>
          <w:szCs w:val="22"/>
          <w:highlight w:val="none"/>
        </w:rPr>
      </w:pPr>
      <w:r>
        <w:rPr>
          <w:color w:val="auto"/>
          <w:sz w:val="22"/>
          <w:szCs w:val="22"/>
          <w:highlight w:val="none"/>
        </w:rPr>
        <w:t>1、供应商在</w:t>
      </w:r>
      <w:r>
        <w:rPr>
          <w:rFonts w:hint="eastAsia"/>
          <w:color w:val="auto"/>
          <w:sz w:val="22"/>
          <w:szCs w:val="22"/>
          <w:highlight w:val="none"/>
          <w:lang w:val="en-US" w:eastAsia="zh-CN"/>
        </w:rPr>
        <w:t>获取</w:t>
      </w:r>
      <w:r>
        <w:rPr>
          <w:color w:val="auto"/>
          <w:sz w:val="22"/>
          <w:szCs w:val="22"/>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0DD101D2">
      <w:pPr>
        <w:snapToGrid w:val="0"/>
        <w:spacing w:line="480" w:lineRule="exact"/>
        <w:ind w:firstLine="440" w:firstLineChars="200"/>
        <w:contextualSpacing/>
        <w:rPr>
          <w:color w:val="auto"/>
          <w:sz w:val="22"/>
          <w:szCs w:val="22"/>
          <w:highlight w:val="none"/>
        </w:rPr>
      </w:pPr>
      <w:r>
        <w:rPr>
          <w:color w:val="auto"/>
          <w:sz w:val="22"/>
          <w:szCs w:val="22"/>
          <w:highlight w:val="none"/>
        </w:rPr>
        <w:t>2、供应商应认真审阅磋商文件中所有的事项、格式、条款和规范要求等，如果供应商没有按照磋商文件要求提交响应文件，或者响应文件没有对磋商文件</w:t>
      </w:r>
      <w:r>
        <w:rPr>
          <w:rFonts w:hint="eastAsia"/>
          <w:color w:val="auto"/>
          <w:sz w:val="22"/>
          <w:szCs w:val="22"/>
          <w:highlight w:val="none"/>
          <w:lang w:eastAsia="zh-CN"/>
        </w:rPr>
        <w:t>作出</w:t>
      </w:r>
      <w:r>
        <w:rPr>
          <w:color w:val="auto"/>
          <w:sz w:val="22"/>
          <w:szCs w:val="22"/>
          <w:highlight w:val="none"/>
        </w:rPr>
        <w:t>实质性响应，将被拒绝参与磋商。</w:t>
      </w:r>
    </w:p>
    <w:p w14:paraId="6B32F835">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73A8999C">
      <w:pPr>
        <w:pStyle w:val="10"/>
        <w:snapToGrid w:val="0"/>
        <w:spacing w:line="480" w:lineRule="exact"/>
        <w:ind w:left="0" w:leftChars="0" w:firstLine="440" w:firstLineChars="200"/>
        <w:contextualSpacing/>
        <w:rPr>
          <w:color w:val="auto"/>
          <w:sz w:val="22"/>
          <w:szCs w:val="22"/>
          <w:highlight w:val="none"/>
        </w:rPr>
      </w:pPr>
      <w:r>
        <w:rPr>
          <w:color w:val="auto"/>
          <w:sz w:val="22"/>
          <w:szCs w:val="22"/>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2"/>
          <w:szCs w:val="22"/>
          <w:highlight w:val="none"/>
          <w:lang w:val="en-US" w:eastAsia="zh-CN"/>
        </w:rPr>
        <w:t>或</w:t>
      </w:r>
      <w:r>
        <w:rPr>
          <w:color w:val="auto"/>
          <w:sz w:val="22"/>
          <w:szCs w:val="22"/>
          <w:highlight w:val="none"/>
        </w:rPr>
        <w:t>书面形式</w:t>
      </w:r>
      <w:r>
        <w:rPr>
          <w:rFonts w:hint="eastAsia"/>
          <w:color w:val="auto"/>
          <w:sz w:val="22"/>
          <w:szCs w:val="22"/>
          <w:highlight w:val="none"/>
          <w:lang w:eastAsia="zh-CN"/>
        </w:rPr>
        <w:t>（</w:t>
      </w:r>
      <w:r>
        <w:rPr>
          <w:rFonts w:hint="eastAsia"/>
          <w:color w:val="auto"/>
          <w:sz w:val="22"/>
          <w:szCs w:val="22"/>
          <w:highlight w:val="none"/>
          <w:lang w:val="en-US" w:eastAsia="zh-CN"/>
        </w:rPr>
        <w:t>邮件</w:t>
      </w:r>
      <w:r>
        <w:rPr>
          <w:rFonts w:hint="eastAsia"/>
          <w:color w:val="auto"/>
          <w:sz w:val="22"/>
          <w:szCs w:val="22"/>
          <w:highlight w:val="none"/>
          <w:lang w:eastAsia="zh-CN"/>
        </w:rPr>
        <w:t>）</w:t>
      </w:r>
      <w:r>
        <w:rPr>
          <w:color w:val="auto"/>
          <w:sz w:val="22"/>
          <w:szCs w:val="22"/>
          <w:highlight w:val="none"/>
        </w:rPr>
        <w:t>通知所有接收磋商文件的供应商，不足5日的，应当顺延提交首次响应文件截止之日。</w:t>
      </w:r>
    </w:p>
    <w:p w14:paraId="2E0B27AF">
      <w:pPr>
        <w:pStyle w:val="10"/>
        <w:snapToGrid w:val="0"/>
        <w:spacing w:line="480" w:lineRule="exact"/>
        <w:ind w:left="0" w:leftChars="0" w:firstLine="440" w:firstLineChars="200"/>
        <w:contextualSpacing/>
        <w:rPr>
          <w:color w:val="auto"/>
          <w:sz w:val="22"/>
          <w:szCs w:val="22"/>
          <w:highlight w:val="none"/>
          <w:lang w:val="zh-CN"/>
        </w:rPr>
      </w:pPr>
      <w:r>
        <w:rPr>
          <w:color w:val="auto"/>
          <w:sz w:val="22"/>
          <w:szCs w:val="22"/>
          <w:highlight w:val="none"/>
        </w:rPr>
        <w:t>供应商由于对磋商文件的任何推论和误解以及采购人或采购代理机构对有</w:t>
      </w:r>
      <w:r>
        <w:rPr>
          <w:color w:val="auto"/>
          <w:sz w:val="22"/>
          <w:szCs w:val="22"/>
          <w:highlight w:val="none"/>
          <w:lang w:val="zh-CN"/>
        </w:rPr>
        <w:t>关问题的口头解释所造成的后果，均由供应商自负。</w:t>
      </w:r>
    </w:p>
    <w:p w14:paraId="72017599">
      <w:pPr>
        <w:pStyle w:val="10"/>
        <w:snapToGrid w:val="0"/>
        <w:spacing w:line="480" w:lineRule="exact"/>
        <w:ind w:left="0" w:leftChars="0" w:firstLine="440" w:firstLineChars="200"/>
        <w:contextualSpacing/>
        <w:rPr>
          <w:color w:val="auto"/>
          <w:sz w:val="22"/>
          <w:szCs w:val="22"/>
          <w:highlight w:val="none"/>
        </w:rPr>
      </w:pPr>
      <w:r>
        <w:rPr>
          <w:color w:val="auto"/>
          <w:sz w:val="22"/>
          <w:szCs w:val="22"/>
          <w:highlight w:val="none"/>
          <w:lang w:val="zh-CN"/>
        </w:rPr>
        <w:t>采购单位可视情组织答疑会。</w:t>
      </w:r>
    </w:p>
    <w:p w14:paraId="06F970FB">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w:t>
      </w:r>
    </w:p>
    <w:p w14:paraId="611540E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660AF8ED">
      <w:pPr>
        <w:autoSpaceDE w:val="0"/>
        <w:autoSpaceDN w:val="0"/>
        <w:adjustRightInd w:val="0"/>
        <w:snapToGrid w:val="0"/>
        <w:spacing w:line="480" w:lineRule="exact"/>
        <w:ind w:firstLine="440" w:firstLineChars="200"/>
        <w:contextualSpacing/>
        <w:jc w:val="left"/>
        <w:rPr>
          <w:color w:val="auto"/>
          <w:sz w:val="22"/>
          <w:szCs w:val="22"/>
          <w:highlight w:val="none"/>
        </w:rPr>
      </w:pPr>
      <w:r>
        <w:rPr>
          <w:color w:val="auto"/>
          <w:sz w:val="22"/>
          <w:szCs w:val="22"/>
          <w:highlight w:val="none"/>
          <w:lang w:val="zh-CN"/>
        </w:rPr>
        <w:t>供应商按</w:t>
      </w:r>
      <w:r>
        <w:rPr>
          <w:rFonts w:ascii="宋体" w:hAnsi="宋体"/>
          <w:color w:val="auto"/>
          <w:sz w:val="22"/>
          <w:szCs w:val="22"/>
          <w:highlight w:val="none"/>
          <w:lang w:val="zh-CN"/>
        </w:rPr>
        <w:t>“第七部分 响应文件组成”</w:t>
      </w:r>
      <w:r>
        <w:rPr>
          <w:color w:val="auto"/>
          <w:sz w:val="22"/>
          <w:szCs w:val="22"/>
          <w:highlight w:val="none"/>
          <w:lang w:val="zh-CN"/>
        </w:rPr>
        <w:t>要求编写响应文件。</w:t>
      </w:r>
    </w:p>
    <w:p w14:paraId="007DFB61">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08FD7307">
      <w:pPr>
        <w:snapToGrid w:val="0"/>
        <w:spacing w:line="480" w:lineRule="exact"/>
        <w:ind w:firstLine="440" w:firstLineChars="200"/>
        <w:contextualSpacing/>
        <w:rPr>
          <w:color w:val="auto"/>
          <w:sz w:val="22"/>
          <w:szCs w:val="22"/>
          <w:highlight w:val="none"/>
        </w:rPr>
      </w:pPr>
      <w:r>
        <w:rPr>
          <w:color w:val="auto"/>
          <w:sz w:val="22"/>
          <w:szCs w:val="22"/>
          <w:highlight w:val="none"/>
        </w:rPr>
        <w:t>1、响应文件三部分内容（资格审查文件、商务技术文件、报价文件）须分别单独密封，</w:t>
      </w:r>
      <w:r>
        <w:rPr>
          <w:color w:val="auto"/>
          <w:sz w:val="22"/>
          <w:szCs w:val="22"/>
          <w:highlight w:val="none"/>
          <w:lang w:val="zh-CN"/>
        </w:rPr>
        <w:t>并牢</w:t>
      </w:r>
      <w:r>
        <w:rPr>
          <w:color w:val="auto"/>
          <w:sz w:val="22"/>
          <w:szCs w:val="22"/>
          <w:highlight w:val="none"/>
        </w:rPr>
        <w:t>固装订成册，不得相互混淆，文件自编目录，不得将内容拆开。报价文件不得出现于其他磋商文件中。</w:t>
      </w:r>
    </w:p>
    <w:p w14:paraId="342C9C19">
      <w:pPr>
        <w:snapToGrid w:val="0"/>
        <w:spacing w:line="480" w:lineRule="exact"/>
        <w:ind w:firstLine="440" w:firstLineChars="200"/>
        <w:rPr>
          <w:color w:val="auto"/>
          <w:sz w:val="22"/>
          <w:szCs w:val="22"/>
          <w:highlight w:val="none"/>
        </w:rPr>
      </w:pPr>
      <w:r>
        <w:rPr>
          <w:color w:val="auto"/>
          <w:sz w:val="22"/>
          <w:szCs w:val="22"/>
          <w:highlight w:val="none"/>
        </w:rPr>
        <w:t>2、响应文件每一部分内容均须提供“</w:t>
      </w:r>
      <w:r>
        <w:rPr>
          <w:b/>
          <w:color w:val="auto"/>
          <w:sz w:val="22"/>
          <w:szCs w:val="22"/>
          <w:highlight w:val="none"/>
        </w:rPr>
        <w:t>一正、</w:t>
      </w:r>
      <w:r>
        <w:rPr>
          <w:rFonts w:hint="eastAsia"/>
          <w:b/>
          <w:color w:val="auto"/>
          <w:sz w:val="22"/>
          <w:szCs w:val="22"/>
          <w:highlight w:val="none"/>
          <w:lang w:val="en-US" w:eastAsia="zh-CN"/>
        </w:rPr>
        <w:t>肆</w:t>
      </w:r>
      <w:r>
        <w:rPr>
          <w:b/>
          <w:color w:val="auto"/>
          <w:sz w:val="22"/>
          <w:szCs w:val="22"/>
          <w:highlight w:val="none"/>
        </w:rPr>
        <w:t>副”</w:t>
      </w:r>
      <w:r>
        <w:rPr>
          <w:color w:val="auto"/>
          <w:sz w:val="22"/>
          <w:szCs w:val="22"/>
          <w:highlight w:val="none"/>
        </w:rPr>
        <w:t>纸质响应文件，并将正本、副本及图纸类等（如需提供图纸</w:t>
      </w:r>
      <w:r>
        <w:rPr>
          <w:rFonts w:hint="eastAsia"/>
          <w:color w:val="auto"/>
          <w:sz w:val="22"/>
          <w:szCs w:val="22"/>
          <w:highlight w:val="none"/>
          <w:lang w:eastAsia="zh-CN"/>
        </w:rPr>
        <w:t>等其他</w:t>
      </w:r>
      <w:r>
        <w:rPr>
          <w:color w:val="auto"/>
          <w:sz w:val="22"/>
          <w:szCs w:val="22"/>
          <w:highlight w:val="none"/>
        </w:rPr>
        <w:t>资料的话）合并密封，统一装在一个密封袋或密封箱内（如有A3大小的图纸类，可单独密封）。</w:t>
      </w:r>
    </w:p>
    <w:p w14:paraId="08B82F42">
      <w:pPr>
        <w:snapToGrid w:val="0"/>
        <w:spacing w:line="480" w:lineRule="exact"/>
        <w:ind w:firstLine="440" w:firstLineChars="200"/>
        <w:contextualSpacing/>
        <w:rPr>
          <w:color w:val="auto"/>
          <w:sz w:val="22"/>
          <w:szCs w:val="22"/>
          <w:highlight w:val="none"/>
        </w:rPr>
      </w:pPr>
      <w:r>
        <w:rPr>
          <w:color w:val="auto"/>
          <w:sz w:val="22"/>
          <w:szCs w:val="22"/>
          <w:highlight w:val="none"/>
        </w:rPr>
        <w:t>3、纸质响应文件须</w:t>
      </w:r>
      <w:r>
        <w:rPr>
          <w:color w:val="auto"/>
          <w:sz w:val="22"/>
          <w:szCs w:val="22"/>
          <w:highlight w:val="none"/>
          <w:lang w:val="zh-CN"/>
        </w:rPr>
        <w:t>采用A4纸（</w:t>
      </w:r>
      <w:r>
        <w:rPr>
          <w:color w:val="auto"/>
          <w:sz w:val="22"/>
          <w:szCs w:val="22"/>
          <w:highlight w:val="none"/>
        </w:rPr>
        <w:t>图纸等除外），正本须打印并由法定代表人或授权人签字并加盖单位印章。副本可复印，但须加盖单位印章。文件内容中不得行间插字、涂改、增删，如修补错漏处，须由响应文件签署人签字并加盖</w:t>
      </w:r>
      <w:r>
        <w:rPr>
          <w:rFonts w:hint="eastAsia"/>
          <w:b w:val="0"/>
          <w:bCs/>
          <w:color w:val="auto"/>
          <w:sz w:val="22"/>
          <w:szCs w:val="21"/>
          <w:highlight w:val="none"/>
          <w:lang w:val="en-US" w:eastAsia="zh-CN"/>
        </w:rPr>
        <w:t>供应商</w:t>
      </w:r>
      <w:r>
        <w:rPr>
          <w:color w:val="auto"/>
          <w:sz w:val="22"/>
          <w:szCs w:val="22"/>
          <w:highlight w:val="none"/>
        </w:rPr>
        <w:t>公章。</w:t>
      </w:r>
    </w:p>
    <w:p w14:paraId="168FC16B">
      <w:pPr>
        <w:snapToGrid w:val="0"/>
        <w:spacing w:line="480" w:lineRule="exact"/>
        <w:ind w:firstLine="440" w:firstLineChars="200"/>
        <w:contextualSpacing/>
        <w:rPr>
          <w:color w:val="auto"/>
          <w:sz w:val="22"/>
          <w:szCs w:val="22"/>
          <w:highlight w:val="none"/>
        </w:rPr>
      </w:pPr>
      <w:r>
        <w:rPr>
          <w:color w:val="auto"/>
          <w:sz w:val="22"/>
          <w:szCs w:val="22"/>
          <w:highlight w:val="none"/>
        </w:rPr>
        <w:t>4、响应文件密封后应标明响应文件项目名称、项目编号、边缝处加盖单位骑缝章。</w:t>
      </w:r>
    </w:p>
    <w:p w14:paraId="485C71B8">
      <w:pPr>
        <w:snapToGrid w:val="0"/>
        <w:spacing w:line="480" w:lineRule="exact"/>
        <w:ind w:firstLine="440" w:firstLineChars="200"/>
        <w:contextualSpacing/>
        <w:rPr>
          <w:color w:val="auto"/>
          <w:sz w:val="22"/>
          <w:szCs w:val="22"/>
          <w:highlight w:val="none"/>
        </w:rPr>
      </w:pPr>
      <w:r>
        <w:rPr>
          <w:color w:val="auto"/>
          <w:sz w:val="22"/>
          <w:szCs w:val="22"/>
          <w:highlight w:val="none"/>
        </w:rPr>
        <w:t>5、递交时间：供应商须在规定的响应文件接收截止时间前送达指定地点。供应商递交磋商文件，即视为已响应参加采购活动。</w:t>
      </w:r>
    </w:p>
    <w:p w14:paraId="09B5883D">
      <w:pPr>
        <w:snapToGrid w:val="0"/>
        <w:spacing w:line="480" w:lineRule="exact"/>
        <w:ind w:firstLine="442" w:firstLineChars="200"/>
        <w:contextualSpacing/>
        <w:rPr>
          <w:b/>
          <w:color w:val="auto"/>
          <w:sz w:val="24"/>
          <w:highlight w:val="none"/>
        </w:rPr>
      </w:pPr>
      <w:r>
        <w:rPr>
          <w:b/>
          <w:color w:val="auto"/>
          <w:sz w:val="22"/>
          <w:szCs w:val="22"/>
          <w:highlight w:val="none"/>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3F43B02A">
      <w:pPr>
        <w:snapToGrid w:val="0"/>
        <w:spacing w:line="480" w:lineRule="exact"/>
        <w:ind w:firstLine="602" w:firstLineChars="250"/>
        <w:contextualSpacing/>
        <w:rPr>
          <w:b/>
          <w:color w:val="auto"/>
          <w:sz w:val="24"/>
          <w:highlight w:val="none"/>
        </w:rPr>
      </w:pPr>
      <w:r>
        <w:rPr>
          <w:b/>
          <w:color w:val="auto"/>
          <w:sz w:val="24"/>
          <w:highlight w:val="none"/>
        </w:rPr>
        <w:t>四、报价准备</w:t>
      </w:r>
    </w:p>
    <w:p w14:paraId="5C6C497A">
      <w:pPr>
        <w:pStyle w:val="17"/>
        <w:snapToGrid w:val="0"/>
        <w:spacing w:line="480" w:lineRule="exact"/>
        <w:ind w:firstLine="494"/>
        <w:contextualSpacing/>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1、磋商结束后，供应商就所有内容进行</w:t>
      </w:r>
      <w:r>
        <w:rPr>
          <w:rFonts w:hint="eastAsia" w:ascii="Times New Roman" w:hAnsi="Times New Roman" w:eastAsia="宋体"/>
          <w:color w:val="auto"/>
          <w:sz w:val="22"/>
          <w:szCs w:val="22"/>
          <w:highlight w:val="none"/>
          <w:lang w:val="en-US" w:eastAsia="zh-CN"/>
        </w:rPr>
        <w:t>二次报价（</w:t>
      </w:r>
      <w:r>
        <w:rPr>
          <w:rFonts w:hint="eastAsia" w:ascii="Times New Roman" w:hAnsi="Times New Roman" w:eastAsia="宋体"/>
          <w:color w:val="auto"/>
          <w:sz w:val="22"/>
          <w:szCs w:val="22"/>
          <w:highlight w:val="none"/>
        </w:rPr>
        <w:t>即最后报价，下同</w:t>
      </w:r>
      <w:r>
        <w:rPr>
          <w:rFonts w:hint="eastAsia" w:ascii="Times New Roman" w:hAnsi="Times New Roman" w:eastAsia="宋体"/>
          <w:color w:val="auto"/>
          <w:sz w:val="22"/>
          <w:szCs w:val="22"/>
          <w:highlight w:val="none"/>
          <w:lang w:val="en-US" w:eastAsia="zh-CN"/>
        </w:rPr>
        <w:t>）</w:t>
      </w:r>
      <w:r>
        <w:rPr>
          <w:rFonts w:ascii="Times New Roman" w:hAnsi="Times New Roman" w:eastAsia="宋体"/>
          <w:color w:val="auto"/>
          <w:sz w:val="22"/>
          <w:szCs w:val="22"/>
          <w:highlight w:val="none"/>
        </w:rPr>
        <w:t>，少报无效。</w:t>
      </w:r>
    </w:p>
    <w:p w14:paraId="0E009A3B">
      <w:pPr>
        <w:pStyle w:val="17"/>
        <w:snapToGrid w:val="0"/>
        <w:spacing w:line="480" w:lineRule="exact"/>
        <w:ind w:firstLine="494"/>
        <w:contextualSpacing/>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2、</w:t>
      </w:r>
      <w:r>
        <w:rPr>
          <w:rFonts w:hint="eastAsia" w:ascii="Times New Roman" w:hAnsi="Times New Roman" w:eastAsia="宋体"/>
          <w:color w:val="auto"/>
          <w:sz w:val="22"/>
          <w:szCs w:val="22"/>
          <w:highlight w:val="none"/>
          <w:lang w:val="en-US" w:eastAsia="zh-CN"/>
        </w:rPr>
        <w:t>本项目采用总价包干制，磋商报价应包括软件开发、设备费、材料费、运输到指定地点的装运费用（含装卸力资）、安装及调试费、税费等相关费用，即招标项目工程交付使用前的所有费用以及交付时和交付使用后的免保期内的费用等，同时还包含为完成本项目所必须的其他辅助工作的相关费用及响应采购文件要求的所有费用，即项目履行到项目执行结束的过程中所发生的一切费用及磋商文件要求的所有费用。一经成交，总价作为供应商与采购单位签订的合同金额，合同期限内不做调整。</w:t>
      </w:r>
    </w:p>
    <w:p w14:paraId="521E2D88">
      <w:pPr>
        <w:pStyle w:val="17"/>
        <w:snapToGrid w:val="0"/>
        <w:spacing w:line="480" w:lineRule="exact"/>
        <w:ind w:firstLine="494"/>
        <w:contextualSpacing/>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3、</w:t>
      </w:r>
      <w:r>
        <w:rPr>
          <w:rFonts w:hint="eastAsia" w:ascii="Times New Roman" w:hAnsi="Times New Roman" w:eastAsia="宋体"/>
          <w:color w:val="auto"/>
          <w:sz w:val="22"/>
          <w:szCs w:val="22"/>
          <w:highlight w:val="none"/>
        </w:rPr>
        <w:t>除非因特殊原因并经买卖双方协商同意，成交的供应商（以下称成交人）不得再要求追加任何费用。同时，除非合同条款中另有规定，否则，成交人的成交价在合同实施期间不因市场变化因素而变动。</w:t>
      </w:r>
    </w:p>
    <w:p w14:paraId="2F608773">
      <w:pPr>
        <w:pStyle w:val="17"/>
        <w:snapToGrid w:val="0"/>
        <w:spacing w:line="480" w:lineRule="exact"/>
        <w:ind w:firstLine="494"/>
        <w:contextualSpacing/>
        <w:rPr>
          <w:rFonts w:ascii="Times New Roman" w:hAnsi="Times New Roman" w:eastAsia="宋体"/>
          <w:color w:val="auto"/>
          <w:sz w:val="24"/>
          <w:szCs w:val="24"/>
          <w:highlight w:val="none"/>
        </w:rPr>
      </w:pPr>
      <w:r>
        <w:rPr>
          <w:rFonts w:hint="eastAsia" w:ascii="Times New Roman" w:hAnsi="Times New Roman" w:eastAsia="宋体"/>
          <w:color w:val="auto"/>
          <w:sz w:val="22"/>
          <w:szCs w:val="22"/>
          <w:highlight w:val="none"/>
          <w:lang w:val="en-US" w:eastAsia="zh-CN"/>
        </w:rPr>
        <w:t>4、</w:t>
      </w:r>
      <w:r>
        <w:rPr>
          <w:rFonts w:ascii="Times New Roman" w:hAnsi="Times New Roman" w:eastAsia="宋体"/>
          <w:color w:val="auto"/>
          <w:sz w:val="22"/>
          <w:szCs w:val="22"/>
          <w:highlight w:val="none"/>
        </w:rPr>
        <w:t>最后报价将作为磋商小组评定成交供应商的组成依据。</w:t>
      </w:r>
    </w:p>
    <w:p w14:paraId="49EA1F04">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7AFDA0F0">
      <w:pPr>
        <w:snapToGrid w:val="0"/>
        <w:spacing w:line="480" w:lineRule="exact"/>
        <w:ind w:firstLine="440" w:firstLineChars="200"/>
        <w:contextualSpacing/>
        <w:rPr>
          <w:color w:val="auto"/>
          <w:sz w:val="22"/>
          <w:szCs w:val="22"/>
          <w:highlight w:val="none"/>
        </w:rPr>
      </w:pPr>
      <w:r>
        <w:rPr>
          <w:color w:val="auto"/>
          <w:sz w:val="22"/>
          <w:szCs w:val="22"/>
          <w:highlight w:val="none"/>
        </w:rPr>
        <w:t>1、供应商承担参与磋商可能发生的全部费用，采购人在任何情况下均无义务和责任承担这些费用。</w:t>
      </w:r>
    </w:p>
    <w:p w14:paraId="42867DBD">
      <w:pPr>
        <w:snapToGrid w:val="0"/>
        <w:spacing w:line="480" w:lineRule="exact"/>
        <w:ind w:firstLine="440" w:firstLineChars="200"/>
        <w:contextualSpacing/>
        <w:rPr>
          <w:color w:val="auto"/>
          <w:sz w:val="22"/>
          <w:szCs w:val="22"/>
          <w:highlight w:val="none"/>
        </w:rPr>
      </w:pPr>
      <w:r>
        <w:rPr>
          <w:color w:val="auto"/>
          <w:sz w:val="22"/>
          <w:szCs w:val="22"/>
          <w:highlight w:val="none"/>
        </w:rPr>
        <w:t>2、采购人不收取任何费用。</w:t>
      </w:r>
    </w:p>
    <w:p w14:paraId="74684F5E">
      <w:pPr>
        <w:snapToGrid w:val="0"/>
        <w:spacing w:line="480" w:lineRule="exact"/>
        <w:ind w:firstLine="440" w:firstLineChars="200"/>
        <w:contextualSpacing/>
        <w:outlineLvl w:val="9"/>
        <w:rPr>
          <w:rFonts w:ascii="Times New Roman" w:hAnsi="Times New Roman" w:cs="Times New Roman"/>
          <w:color w:val="auto"/>
          <w:sz w:val="22"/>
          <w:szCs w:val="22"/>
          <w:highlight w:val="none"/>
        </w:rPr>
      </w:pPr>
      <w:r>
        <w:rPr>
          <w:rFonts w:hint="default"/>
          <w:bCs w:val="0"/>
          <w:color w:val="auto"/>
          <w:sz w:val="22"/>
          <w:szCs w:val="22"/>
          <w:highlight w:val="none"/>
        </w:rPr>
        <w:t>3、</w:t>
      </w:r>
      <w:r>
        <w:rPr>
          <w:rFonts w:hint="default" w:ascii="Times New Roman" w:hAnsi="Times New Roman" w:cs="Times New Roman"/>
          <w:color w:val="auto"/>
          <w:sz w:val="22"/>
          <w:szCs w:val="22"/>
          <w:highlight w:val="none"/>
        </w:rPr>
        <w:t>本项目采购代理服务费</w:t>
      </w:r>
      <w:r>
        <w:rPr>
          <w:rFonts w:hint="eastAsia" w:cs="Times New Roman"/>
          <w:color w:val="auto"/>
          <w:sz w:val="22"/>
          <w:szCs w:val="22"/>
          <w:highlight w:val="none"/>
          <w:u w:val="single"/>
          <w:lang w:val="en-US" w:eastAsia="zh-CN"/>
        </w:rPr>
        <w:t xml:space="preserve"> 3000 </w:t>
      </w:r>
      <w:r>
        <w:rPr>
          <w:rFonts w:hint="default" w:ascii="Times New Roman" w:hAnsi="Times New Roman" w:cs="Times New Roman"/>
          <w:color w:val="auto"/>
          <w:sz w:val="22"/>
          <w:szCs w:val="22"/>
          <w:highlight w:val="none"/>
        </w:rPr>
        <w:t>元及专家评审费（按实际支出）由供应商综合考虑在报价内（不得单列），成交</w:t>
      </w:r>
      <w:r>
        <w:rPr>
          <w:rFonts w:hint="default" w:ascii="Times New Roman" w:hAnsi="Times New Roman" w:cs="Times New Roman"/>
          <w:color w:val="auto"/>
          <w:sz w:val="22"/>
          <w:szCs w:val="22"/>
          <w:highlight w:val="none"/>
          <w:lang w:eastAsia="zh-CN"/>
        </w:rPr>
        <w:t>供应商在</w:t>
      </w:r>
      <w:r>
        <w:rPr>
          <w:rFonts w:hint="default" w:ascii="Times New Roman" w:hAnsi="Times New Roman" w:cs="Times New Roman"/>
          <w:color w:val="auto"/>
          <w:sz w:val="22"/>
          <w:szCs w:val="22"/>
          <w:highlight w:val="none"/>
        </w:rPr>
        <w:t>领取《成交通知书》时一次性</w:t>
      </w:r>
      <w:r>
        <w:rPr>
          <w:rFonts w:hint="default" w:ascii="Times New Roman" w:hAnsi="Times New Roman" w:cs="Times New Roman"/>
          <w:color w:val="auto"/>
          <w:sz w:val="22"/>
          <w:szCs w:val="22"/>
          <w:highlight w:val="none"/>
          <w:lang w:val="en-US" w:eastAsia="zh-CN"/>
        </w:rPr>
        <w:t>支付给采购代理机构</w:t>
      </w:r>
      <w:r>
        <w:rPr>
          <w:rFonts w:hint="default" w:ascii="Times New Roman" w:hAnsi="Times New Roman" w:cs="Times New Roman"/>
          <w:color w:val="auto"/>
          <w:sz w:val="22"/>
          <w:szCs w:val="22"/>
          <w:highlight w:val="none"/>
        </w:rPr>
        <w:t>。</w:t>
      </w:r>
    </w:p>
    <w:p w14:paraId="6F3212B0">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竞争性磋商程序简介</w:t>
      </w:r>
    </w:p>
    <w:p w14:paraId="71745309">
      <w:pPr>
        <w:snapToGrid w:val="0"/>
        <w:spacing w:line="480" w:lineRule="exact"/>
        <w:ind w:firstLine="442" w:firstLineChars="200"/>
        <w:contextualSpacing/>
        <w:rPr>
          <w:color w:val="auto"/>
          <w:sz w:val="22"/>
          <w:szCs w:val="22"/>
          <w:highlight w:val="none"/>
        </w:rPr>
      </w:pPr>
      <w:r>
        <w:rPr>
          <w:b/>
          <w:color w:val="auto"/>
          <w:sz w:val="22"/>
          <w:szCs w:val="22"/>
          <w:highlight w:val="none"/>
        </w:rPr>
        <w:t>采购代理机构先对资格审查文件进行拆封，磋商小组审查响应供应商资格，</w:t>
      </w:r>
      <w:r>
        <w:rPr>
          <w:color w:val="auto"/>
          <w:sz w:val="22"/>
          <w:szCs w:val="22"/>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2"/>
          <w:szCs w:val="22"/>
          <w:highlight w:val="none"/>
        </w:rPr>
        <w:t>依据评审方法推荐成交候选人</w:t>
      </w:r>
      <w:r>
        <w:rPr>
          <w:color w:val="auto"/>
          <w:sz w:val="22"/>
          <w:szCs w:val="22"/>
          <w:highlight w:val="none"/>
        </w:rPr>
        <w:t>。</w:t>
      </w:r>
    </w:p>
    <w:p w14:paraId="48DE858F">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七</w:t>
      </w:r>
      <w:r>
        <w:rPr>
          <w:b/>
          <w:bCs/>
          <w:color w:val="auto"/>
          <w:sz w:val="24"/>
          <w:highlight w:val="none"/>
        </w:rPr>
        <w:t>、相关提示</w:t>
      </w:r>
    </w:p>
    <w:p w14:paraId="02845F6C">
      <w:pPr>
        <w:snapToGrid w:val="0"/>
        <w:spacing w:line="480" w:lineRule="exact"/>
        <w:ind w:firstLine="440" w:firstLineChars="200"/>
        <w:contextualSpacing/>
        <w:rPr>
          <w:bCs/>
          <w:color w:val="auto"/>
          <w:sz w:val="22"/>
          <w:szCs w:val="22"/>
          <w:highlight w:val="none"/>
        </w:rPr>
      </w:pPr>
      <w:r>
        <w:rPr>
          <w:bCs/>
          <w:color w:val="auto"/>
          <w:sz w:val="22"/>
          <w:szCs w:val="22"/>
          <w:highlight w:val="none"/>
        </w:rPr>
        <w:t>商务技术部分评审结束后进入最后报价环节，最后报价将作为评审价。采购代理机构发出最后报价填报通知后，所有的响应供应商须在</w:t>
      </w:r>
      <w:r>
        <w:rPr>
          <w:rFonts w:hint="eastAsia"/>
          <w:bCs/>
          <w:color w:val="auto"/>
          <w:sz w:val="22"/>
          <w:szCs w:val="22"/>
          <w:highlight w:val="none"/>
        </w:rPr>
        <w:t>规定时间</w:t>
      </w:r>
      <w:r>
        <w:rPr>
          <w:bCs/>
          <w:color w:val="auto"/>
          <w:sz w:val="22"/>
          <w:szCs w:val="22"/>
          <w:highlight w:val="none"/>
        </w:rPr>
        <w:t>内填写并提交最后报价，未在规定时间内提交最后报价的，视作无效响应处理。</w:t>
      </w:r>
    </w:p>
    <w:p w14:paraId="632FF1BF">
      <w:pPr>
        <w:autoSpaceDE w:val="0"/>
        <w:autoSpaceDN w:val="0"/>
        <w:adjustRightInd w:val="0"/>
        <w:snapToGrid w:val="0"/>
        <w:spacing w:line="300" w:lineRule="auto"/>
        <w:jc w:val="center"/>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14:paraId="7F9A68BF">
      <w:pPr>
        <w:keepNext w:val="0"/>
        <w:keepLines w:val="0"/>
        <w:pageBreakBefore w:val="0"/>
        <w:widowControl w:val="0"/>
        <w:kinsoku/>
        <w:wordWrap/>
        <w:overflowPunct/>
        <w:topLinePunct w:val="0"/>
        <w:autoSpaceDE/>
        <w:autoSpaceDN/>
        <w:bidi w:val="0"/>
        <w:adjustRightInd w:val="0"/>
        <w:snapToGrid w:val="0"/>
        <w:spacing w:line="480" w:lineRule="exact"/>
        <w:ind w:firstLine="442" w:firstLineChars="200"/>
        <w:textAlignment w:val="auto"/>
        <w:rPr>
          <w:rFonts w:hint="eastAsia" w:ascii="宋体" w:cs="宋体"/>
          <w:b/>
          <w:color w:val="auto"/>
          <w:kern w:val="0"/>
          <w:sz w:val="22"/>
          <w:szCs w:val="22"/>
          <w:highlight w:val="none"/>
          <w:lang w:val="zh-CN"/>
        </w:rPr>
      </w:pPr>
      <w:r>
        <w:rPr>
          <w:rFonts w:hint="eastAsia"/>
          <w:b/>
          <w:color w:val="auto"/>
          <w:sz w:val="22"/>
          <w:szCs w:val="22"/>
          <w:highlight w:val="none"/>
        </w:rPr>
        <w:t>供应商</w:t>
      </w:r>
      <w:r>
        <w:rPr>
          <w:b/>
          <w:color w:val="auto"/>
          <w:sz w:val="22"/>
          <w:szCs w:val="22"/>
          <w:highlight w:val="none"/>
          <w:lang w:val="zh-CN"/>
        </w:rPr>
        <w:t>在制作</w:t>
      </w:r>
      <w:r>
        <w:rPr>
          <w:rFonts w:hint="eastAsia"/>
          <w:b/>
          <w:color w:val="auto"/>
          <w:sz w:val="22"/>
          <w:szCs w:val="22"/>
          <w:highlight w:val="none"/>
        </w:rPr>
        <w:t>响应</w:t>
      </w:r>
      <w:r>
        <w:rPr>
          <w:b/>
          <w:color w:val="auto"/>
          <w:sz w:val="22"/>
          <w:szCs w:val="22"/>
          <w:highlight w:val="none"/>
          <w:lang w:val="zh-CN"/>
        </w:rPr>
        <w:t>文件时仔细研究项目需求说明。项目需求包括技术要求和商务要求</w:t>
      </w:r>
      <w:r>
        <w:rPr>
          <w:rFonts w:hint="eastAsia"/>
          <w:b/>
          <w:color w:val="auto"/>
          <w:sz w:val="22"/>
          <w:szCs w:val="22"/>
          <w:highlight w:val="none"/>
          <w:lang w:val="zh-CN"/>
        </w:rPr>
        <w:t>：</w:t>
      </w:r>
      <w:r>
        <w:rPr>
          <w:b/>
          <w:color w:val="auto"/>
          <w:sz w:val="22"/>
          <w:szCs w:val="22"/>
          <w:highlight w:val="none"/>
          <w:lang w:val="zh-CN"/>
        </w:rPr>
        <w:t>技术要求是指对采购标的功能和质量要求，包括性能、材料、结构、外观、安全，或者服务内容和标准等</w:t>
      </w:r>
      <w:r>
        <w:rPr>
          <w:rFonts w:hint="eastAsia"/>
          <w:b/>
          <w:color w:val="auto"/>
          <w:sz w:val="22"/>
          <w:szCs w:val="22"/>
          <w:highlight w:val="none"/>
          <w:lang w:val="zh-CN"/>
        </w:rPr>
        <w:t>；</w:t>
      </w:r>
      <w:r>
        <w:rPr>
          <w:b/>
          <w:color w:val="auto"/>
          <w:sz w:val="22"/>
          <w:szCs w:val="22"/>
          <w:highlight w:val="none"/>
          <w:lang w:val="zh-CN"/>
        </w:rPr>
        <w:t>商务要求是指取得采购标的的时间、地点、财务和服务要求，包括交付（实施）的时间（期限）和地点（范围），付款条件（进度和方法），</w:t>
      </w:r>
      <w:r>
        <w:rPr>
          <w:rFonts w:hint="eastAsia"/>
          <w:b/>
          <w:color w:val="auto"/>
          <w:sz w:val="22"/>
          <w:szCs w:val="22"/>
          <w:highlight w:val="none"/>
        </w:rPr>
        <w:t>商品</w:t>
      </w:r>
      <w:r>
        <w:rPr>
          <w:b/>
          <w:color w:val="auto"/>
          <w:sz w:val="22"/>
          <w:szCs w:val="22"/>
          <w:highlight w:val="none"/>
          <w:lang w:val="zh-CN"/>
        </w:rPr>
        <w:t>包装</w:t>
      </w:r>
      <w:r>
        <w:rPr>
          <w:rFonts w:hint="eastAsia"/>
          <w:b/>
          <w:color w:val="auto"/>
          <w:sz w:val="22"/>
          <w:szCs w:val="22"/>
          <w:highlight w:val="none"/>
          <w:lang w:val="zh-CN"/>
        </w:rPr>
        <w:t>、</w:t>
      </w:r>
      <w:r>
        <w:rPr>
          <w:rFonts w:hint="eastAsia"/>
          <w:b/>
          <w:color w:val="auto"/>
          <w:sz w:val="22"/>
          <w:szCs w:val="22"/>
          <w:highlight w:val="none"/>
        </w:rPr>
        <w:t>快递包装</w:t>
      </w:r>
      <w:r>
        <w:rPr>
          <w:b/>
          <w:color w:val="auto"/>
          <w:sz w:val="22"/>
          <w:szCs w:val="22"/>
          <w:highlight w:val="none"/>
          <w:lang w:val="zh-CN"/>
        </w:rPr>
        <w:t>和运输，售后服务，保险等。</w:t>
      </w:r>
    </w:p>
    <w:p w14:paraId="03D62B3D">
      <w:pPr>
        <w:pStyle w:val="17"/>
        <w:keepNext w:val="0"/>
        <w:keepLines w:val="0"/>
        <w:pageBreakBefore w:val="0"/>
        <w:widowControl w:val="0"/>
        <w:kinsoku/>
        <w:wordWrap/>
        <w:overflowPunct/>
        <w:topLinePunct w:val="0"/>
        <w:autoSpaceDE/>
        <w:autoSpaceDN/>
        <w:bidi w:val="0"/>
        <w:snapToGrid w:val="0"/>
        <w:spacing w:line="480" w:lineRule="exact"/>
        <w:ind w:firstLine="442" w:firstLineChars="200"/>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zh-CN"/>
        </w:rPr>
        <w:t>请供应商在制作响应文件时仔细研究项目需求说明。供应商不能简单照搬照抄采购单位项目需求说明中的技术、商务要求，</w:t>
      </w:r>
      <w:r>
        <w:rPr>
          <w:rFonts w:hint="eastAsia" w:ascii="宋体" w:eastAsia="宋体" w:cs="宋体"/>
          <w:b/>
          <w:bCs w:val="0"/>
          <w:color w:val="auto"/>
          <w:kern w:val="0"/>
          <w:sz w:val="22"/>
          <w:szCs w:val="22"/>
          <w:highlight w:val="none"/>
          <w:lang w:val="zh-CN"/>
        </w:rPr>
        <w:t>必须</w:t>
      </w:r>
      <w:r>
        <w:rPr>
          <w:rFonts w:hint="eastAsia" w:ascii="宋体" w:hAnsi="宋体" w:eastAsia="宋体" w:cs="宋体"/>
          <w:b/>
          <w:bCs w:val="0"/>
          <w:color w:val="auto"/>
          <w:kern w:val="0"/>
          <w:sz w:val="22"/>
          <w:szCs w:val="22"/>
          <w:highlight w:val="none"/>
          <w:lang w:val="zh-CN"/>
        </w:rPr>
        <w:t>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hAnsi="宋体" w:eastAsia="宋体" w:cs="宋体"/>
          <w:b/>
          <w:bCs w:val="0"/>
          <w:color w:val="auto"/>
          <w:sz w:val="22"/>
          <w:szCs w:val="22"/>
          <w:highlight w:val="none"/>
        </w:rPr>
        <w:t>务部分正负偏离表》和《技术部分正负偏离表》上明示，如不明示的视同完全响应</w:t>
      </w:r>
      <w:r>
        <w:rPr>
          <w:rFonts w:hint="eastAsia" w:ascii="宋体" w:hAnsi="宋体" w:eastAsia="宋体" w:cs="宋体"/>
          <w:b/>
          <w:bCs w:val="0"/>
          <w:color w:val="auto"/>
          <w:kern w:val="0"/>
          <w:sz w:val="22"/>
          <w:szCs w:val="22"/>
          <w:highlight w:val="none"/>
          <w:lang w:val="zh-CN"/>
        </w:rPr>
        <w:t>。</w:t>
      </w:r>
    </w:p>
    <w:p w14:paraId="14FF110D">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项目概述</w:t>
      </w:r>
    </w:p>
    <w:p w14:paraId="02F7FA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1.1背景及目标</w:t>
      </w:r>
    </w:p>
    <w:p w14:paraId="3B456AB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随着信息技术的飞速发展，数字化媒体资产（如图片、视频、音频等）的数量越来越多，传统的手工管理方式已无法满足对海量媒体资产的高效管理需求。南通日报社自成立以来，积累了大量的音视频、图片、电子报等内容，这些内容目前分散存放在各个系统中，没有实现统一的管理，还有部分资料分散存放于硬盘中，硬盘介质的安全性存在风险；</w:t>
      </w:r>
    </w:p>
    <w:p w14:paraId="565B0A6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textAlignment w:val="auto"/>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为了将现有数字化媒体资产实现统一管理，南通日报社规划建设一套智能媒资平台，将音视频资料等资源数据进行集中存储、智能处理和挖掘，提升资料存储、资料管理、资产增值和再利用水平，将“沉睡”在资料库中的内容转化为可交易的资产，推动音像数据的分享，并进行市场化运作尝试。</w:t>
      </w:r>
    </w:p>
    <w:p w14:paraId="1F9B42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1.2设计原则</w:t>
      </w:r>
    </w:p>
    <w:p w14:paraId="44A71CC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2"/>
          <w:szCs w:val="22"/>
          <w:highlight w:val="none"/>
          <w:lang w:val="en-US" w:eastAsia="zh-CN"/>
        </w:rPr>
        <w:t>系统建设要求结合现有系统实际情况进行设计，并遵循标准性、先进性、安全性等设计原则，具体要求如下：</w:t>
      </w:r>
    </w:p>
    <w:p w14:paraId="4A271C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1" w:name="_Toc173361628"/>
      <w:r>
        <w:rPr>
          <w:rFonts w:hint="eastAsia" w:ascii="宋体" w:hAnsi="宋体" w:cs="宋体"/>
          <w:b/>
          <w:color w:val="auto"/>
          <w:sz w:val="24"/>
          <w:szCs w:val="24"/>
          <w:highlight w:val="none"/>
          <w:lang w:val="en-US" w:eastAsia="zh-CN"/>
        </w:rPr>
        <w:t>1.2.1标准性原则</w:t>
      </w:r>
      <w:bookmarkEnd w:id="1"/>
    </w:p>
    <w:p w14:paraId="795C63B4">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在系统建设中，执行工艺系统的技术标准、使用标准和接口标准等国家及行业的相关标准规范的要求，使对内、对外的内容格式、技术统一化。</w:t>
      </w:r>
    </w:p>
    <w:p w14:paraId="73E0C7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2" w:name="_Toc173361629"/>
      <w:r>
        <w:rPr>
          <w:rFonts w:hint="eastAsia" w:ascii="宋体" w:hAnsi="宋体" w:cs="宋体"/>
          <w:b/>
          <w:color w:val="auto"/>
          <w:sz w:val="24"/>
          <w:szCs w:val="24"/>
          <w:highlight w:val="none"/>
          <w:lang w:val="en-US" w:eastAsia="zh-CN"/>
        </w:rPr>
        <w:t>1.2.2先进性原则</w:t>
      </w:r>
      <w:bookmarkEnd w:id="2"/>
    </w:p>
    <w:p w14:paraId="54074DCC">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本次项目的工艺系统建设要考虑先进性原则，系统建设</w:t>
      </w:r>
      <w:r>
        <w:rPr>
          <w:rFonts w:asciiTheme="minorEastAsia" w:hAnsiTheme="minorEastAsia"/>
          <w:color w:val="auto"/>
          <w:sz w:val="22"/>
          <w:szCs w:val="22"/>
          <w:highlight w:val="none"/>
        </w:rPr>
        <w:t>应具有前瞻性，一方面能够适应和满足</w:t>
      </w:r>
      <w:r>
        <w:rPr>
          <w:rFonts w:hint="eastAsia" w:asciiTheme="minorEastAsia" w:hAnsiTheme="minorEastAsia"/>
          <w:color w:val="auto"/>
          <w:sz w:val="22"/>
          <w:szCs w:val="22"/>
          <w:highlight w:val="none"/>
        </w:rPr>
        <w:t>我社资料</w:t>
      </w:r>
      <w:r>
        <w:rPr>
          <w:rFonts w:asciiTheme="minorEastAsia" w:hAnsiTheme="minorEastAsia"/>
          <w:color w:val="auto"/>
          <w:sz w:val="22"/>
          <w:szCs w:val="22"/>
          <w:highlight w:val="none"/>
        </w:rPr>
        <w:t>的增加以及管理形态的变化，另一方面系统要引入新的</w:t>
      </w:r>
      <w:r>
        <w:rPr>
          <w:rFonts w:hint="eastAsia" w:asciiTheme="minorEastAsia" w:hAnsiTheme="minorEastAsia"/>
          <w:color w:val="auto"/>
          <w:sz w:val="22"/>
          <w:szCs w:val="22"/>
          <w:highlight w:val="none"/>
        </w:rPr>
        <w:t>AI技术</w:t>
      </w:r>
      <w:r>
        <w:rPr>
          <w:rFonts w:asciiTheme="minorEastAsia" w:hAnsiTheme="minorEastAsia"/>
          <w:color w:val="auto"/>
          <w:sz w:val="22"/>
          <w:szCs w:val="22"/>
          <w:highlight w:val="none"/>
        </w:rPr>
        <w:t>，以适应新型媒体格局带来的媒体发展的新变化</w:t>
      </w:r>
      <w:r>
        <w:rPr>
          <w:rFonts w:hint="eastAsia" w:asciiTheme="minorEastAsia" w:hAnsiTheme="minorEastAsia"/>
          <w:color w:val="auto"/>
          <w:sz w:val="22"/>
          <w:szCs w:val="22"/>
          <w:highlight w:val="none"/>
        </w:rPr>
        <w:t>。</w:t>
      </w:r>
    </w:p>
    <w:p w14:paraId="1D1CDD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3" w:name="_Toc173361630"/>
      <w:r>
        <w:rPr>
          <w:rFonts w:hint="eastAsia" w:ascii="宋体" w:hAnsi="宋体" w:cs="宋体"/>
          <w:b/>
          <w:color w:val="auto"/>
          <w:sz w:val="24"/>
          <w:szCs w:val="24"/>
          <w:highlight w:val="none"/>
          <w:lang w:val="en-US" w:eastAsia="zh-CN"/>
        </w:rPr>
        <w:t>1.2.3适用性原则</w:t>
      </w:r>
      <w:bookmarkEnd w:id="3"/>
    </w:p>
    <w:p w14:paraId="1429898E">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在系统设计和实施中，要以实际为基础，既要避免系统功能单一，无法与其他系统连接，又要避免系统过于复杂，给系统的部署实施带来负面影响，要兼顾整个系统。系统设计要选择实际中切实可行的方案，对于功能目标的实现要有一定的针对性、合理性、适用性和可行性</w:t>
      </w:r>
      <w:r>
        <w:rPr>
          <w:rFonts w:hint="eastAsia" w:asciiTheme="minorEastAsia" w:hAnsiTheme="minorEastAsia"/>
          <w:color w:val="auto"/>
          <w:sz w:val="22"/>
          <w:szCs w:val="22"/>
          <w:highlight w:val="none"/>
        </w:rPr>
        <w:t>。</w:t>
      </w:r>
    </w:p>
    <w:p w14:paraId="361A482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4" w:name="_Toc173361631"/>
      <w:r>
        <w:rPr>
          <w:rFonts w:hint="eastAsia" w:ascii="宋体" w:hAnsi="宋体" w:cs="宋体"/>
          <w:b/>
          <w:color w:val="auto"/>
          <w:sz w:val="24"/>
          <w:szCs w:val="24"/>
          <w:highlight w:val="none"/>
          <w:lang w:val="en-US" w:eastAsia="zh-CN"/>
        </w:rPr>
        <w:t>1.2.4安全性原则</w:t>
      </w:r>
      <w:bookmarkEnd w:id="4"/>
    </w:p>
    <w:p w14:paraId="33E8C97D">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我单位是</w:t>
      </w:r>
      <w:r>
        <w:rPr>
          <w:rFonts w:asciiTheme="minorEastAsia" w:hAnsiTheme="minorEastAsia"/>
          <w:color w:val="auto"/>
          <w:sz w:val="22"/>
          <w:szCs w:val="22"/>
          <w:highlight w:val="none"/>
        </w:rPr>
        <w:t>党和政府的舆论宣传阵地</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系统的安全性是本项目系统建设要考虑的重点之一，核心的工艺系统设计应注重减少安全隐患、有利于日常维护、具备应对可能的突发事故的能力</w:t>
      </w:r>
      <w:r>
        <w:rPr>
          <w:rFonts w:hint="eastAsia" w:asciiTheme="minorEastAsia" w:hAnsiTheme="minorEastAsia"/>
          <w:color w:val="auto"/>
          <w:sz w:val="22"/>
          <w:szCs w:val="22"/>
          <w:highlight w:val="none"/>
        </w:rPr>
        <w:t>；</w:t>
      </w:r>
    </w:p>
    <w:p w14:paraId="70F78D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5" w:name="_Toc173361632"/>
      <w:r>
        <w:rPr>
          <w:rFonts w:hint="eastAsia" w:ascii="宋体" w:hAnsi="宋体" w:cs="宋体"/>
          <w:b/>
          <w:color w:val="auto"/>
          <w:sz w:val="24"/>
          <w:szCs w:val="24"/>
          <w:highlight w:val="none"/>
          <w:lang w:val="en-US" w:eastAsia="zh-CN"/>
        </w:rPr>
        <w:t>1.2.5经济性原则</w:t>
      </w:r>
      <w:bookmarkEnd w:id="5"/>
    </w:p>
    <w:p w14:paraId="675D367A">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w:t>
      </w:r>
      <w:r>
        <w:rPr>
          <w:rFonts w:asciiTheme="minorEastAsia" w:hAnsiTheme="minorEastAsia"/>
          <w:color w:val="auto"/>
          <w:sz w:val="22"/>
          <w:szCs w:val="22"/>
          <w:highlight w:val="none"/>
        </w:rPr>
        <w:t>通过简洁、合理、功能明确的工艺系统设计，舍弃繁琐、低效、花哨</w:t>
      </w:r>
      <w:r>
        <w:rPr>
          <w:rFonts w:hint="eastAsia" w:asciiTheme="minorEastAsia" w:hAnsiTheme="minorEastAsia"/>
          <w:color w:val="auto"/>
          <w:sz w:val="22"/>
          <w:szCs w:val="22"/>
          <w:highlight w:val="none"/>
        </w:rPr>
        <w:t>且</w:t>
      </w:r>
      <w:r>
        <w:rPr>
          <w:rFonts w:asciiTheme="minorEastAsia" w:hAnsiTheme="minorEastAsia"/>
          <w:color w:val="auto"/>
          <w:sz w:val="22"/>
          <w:szCs w:val="22"/>
          <w:highlight w:val="none"/>
        </w:rPr>
        <w:t>不合理的投入，达到较高的系统功能性价比，是设计要追求的目标。系统设计不能盲目追求大而全、高而精，要符合实际应用的需要，即具备一定的合理性、适用性、针对性</w:t>
      </w:r>
      <w:r>
        <w:rPr>
          <w:rFonts w:hint="eastAsia" w:asciiTheme="minorEastAsia" w:hAnsiTheme="minorEastAsia"/>
          <w:color w:val="auto"/>
          <w:sz w:val="22"/>
          <w:szCs w:val="22"/>
          <w:highlight w:val="none"/>
        </w:rPr>
        <w:t>。</w:t>
      </w:r>
    </w:p>
    <w:p w14:paraId="0C0D30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6" w:name="_Toc173361633"/>
      <w:r>
        <w:rPr>
          <w:rFonts w:hint="eastAsia" w:ascii="宋体" w:hAnsi="宋体" w:cs="宋体"/>
          <w:b/>
          <w:color w:val="auto"/>
          <w:sz w:val="24"/>
          <w:szCs w:val="24"/>
          <w:highlight w:val="none"/>
          <w:lang w:val="en-US" w:eastAsia="zh-CN"/>
        </w:rPr>
        <w:t>1.2.6扩展性原则</w:t>
      </w:r>
      <w:bookmarkEnd w:id="6"/>
    </w:p>
    <w:p w14:paraId="50ABB24E">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在系统的建设中要充分考虑扩展性原则。随着今后的发展，系统在未来运行过程中可能会面临扩容或升级，因此系统的建设应预留接口和可平滑扩展空间，为将来的发展提供空间；</w:t>
      </w:r>
    </w:p>
    <w:p w14:paraId="594C2B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7" w:name="_Toc173361634"/>
      <w:r>
        <w:rPr>
          <w:rFonts w:hint="eastAsia" w:ascii="宋体" w:hAnsi="宋体" w:cs="宋体"/>
          <w:b/>
          <w:color w:val="auto"/>
          <w:sz w:val="24"/>
          <w:szCs w:val="24"/>
          <w:highlight w:val="none"/>
          <w:lang w:val="en-US" w:eastAsia="zh-CN"/>
        </w:rPr>
        <w:t>1.3遵循标准</w:t>
      </w:r>
      <w:bookmarkEnd w:id="7"/>
    </w:p>
    <w:p w14:paraId="652831E6">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本次项目是IT技术和AV技术高度融合的产物。系统建设必须符合广播电视、计算机及网络的国际、国内的行业相关标准。在系统的方案设计和实施过程中应严格遵循如下标准：</w:t>
      </w:r>
    </w:p>
    <w:p w14:paraId="77ABD507">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G</w:t>
      </w:r>
      <w:r>
        <w:rPr>
          <w:rFonts w:hint="eastAsia" w:asciiTheme="minorEastAsia" w:hAnsiTheme="minorEastAsia"/>
          <w:color w:val="auto"/>
          <w:sz w:val="22"/>
          <w:szCs w:val="22"/>
          <w:highlight w:val="none"/>
        </w:rPr>
        <w:t>B</w:t>
      </w:r>
      <w:r>
        <w:rPr>
          <w:rFonts w:asciiTheme="minorEastAsia" w:hAnsiTheme="minorEastAsia"/>
          <w:color w:val="auto"/>
          <w:sz w:val="22"/>
          <w:szCs w:val="22"/>
          <w:highlight w:val="none"/>
        </w:rPr>
        <w:t>/T 34952—2017《</w:t>
      </w:r>
      <w:r>
        <w:rPr>
          <w:rFonts w:hint="eastAsia" w:asciiTheme="minorEastAsia" w:hAnsiTheme="minorEastAsia"/>
          <w:color w:val="auto"/>
          <w:sz w:val="22"/>
          <w:szCs w:val="22"/>
          <w:highlight w:val="none"/>
        </w:rPr>
        <w:t>多媒体数据语义描述要求</w:t>
      </w:r>
      <w:r>
        <w:rPr>
          <w:rFonts w:asciiTheme="minorEastAsia" w:hAnsiTheme="minorEastAsia"/>
          <w:color w:val="auto"/>
          <w:sz w:val="22"/>
          <w:szCs w:val="22"/>
          <w:highlight w:val="none"/>
        </w:rPr>
        <w:t>》</w:t>
      </w:r>
    </w:p>
    <w:p w14:paraId="3F41085D">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GY/T</w:t>
      </w:r>
      <w:r>
        <w:rPr>
          <w:rFonts w:asciiTheme="minorEastAsia" w:hAnsiTheme="minorEastAsia"/>
          <w:color w:val="auto"/>
          <w:sz w:val="22"/>
          <w:szCs w:val="22"/>
          <w:highlight w:val="none"/>
        </w:rPr>
        <w:t xml:space="preserve"> 299.1—2016《</w:t>
      </w:r>
      <w:r>
        <w:rPr>
          <w:rFonts w:hint="eastAsia" w:asciiTheme="minorEastAsia" w:hAnsiTheme="minorEastAsia"/>
          <w:color w:val="auto"/>
          <w:sz w:val="22"/>
          <w:szCs w:val="22"/>
          <w:highlight w:val="none"/>
        </w:rPr>
        <w:t>高效音视频编码第1部分：视频</w:t>
      </w:r>
      <w:r>
        <w:rPr>
          <w:rFonts w:asciiTheme="minorEastAsia" w:hAnsiTheme="minorEastAsia"/>
          <w:color w:val="auto"/>
          <w:sz w:val="22"/>
          <w:szCs w:val="22"/>
          <w:highlight w:val="none"/>
        </w:rPr>
        <w:t>》</w:t>
      </w:r>
    </w:p>
    <w:p w14:paraId="0934F652">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GA/T 1390.2—2017</w:t>
      </w:r>
      <w:r>
        <w:rPr>
          <w:rFonts w:hint="eastAsia" w:asciiTheme="minorEastAsia" w:hAnsiTheme="minorEastAsia"/>
          <w:color w:val="auto"/>
          <w:sz w:val="22"/>
          <w:szCs w:val="22"/>
          <w:highlight w:val="none"/>
        </w:rPr>
        <w:t>《信息安全技术</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网络安全等级保护基本要求</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第</w:t>
      </w:r>
      <w:r>
        <w:rPr>
          <w:rFonts w:asciiTheme="minorEastAsia" w:hAnsiTheme="minorEastAsia"/>
          <w:color w:val="auto"/>
          <w:sz w:val="22"/>
          <w:szCs w:val="22"/>
          <w:highlight w:val="none"/>
        </w:rPr>
        <w:t>2</w:t>
      </w:r>
      <w:r>
        <w:rPr>
          <w:rFonts w:hint="eastAsia" w:asciiTheme="minorEastAsia" w:hAnsiTheme="minorEastAsia"/>
          <w:color w:val="auto"/>
          <w:sz w:val="22"/>
          <w:szCs w:val="22"/>
          <w:highlight w:val="none"/>
        </w:rPr>
        <w:t>部分：云计算安全扩展要求》</w:t>
      </w:r>
    </w:p>
    <w:p w14:paraId="326E96AA">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GB/T 17544</w:t>
      </w:r>
      <w:r>
        <w:rPr>
          <w:rFonts w:hint="eastAsia" w:asciiTheme="minorEastAsia" w:hAnsiTheme="minorEastAsia"/>
          <w:color w:val="auto"/>
          <w:sz w:val="22"/>
          <w:szCs w:val="22"/>
          <w:highlight w:val="none"/>
        </w:rPr>
        <w:t>《信息技术</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软件包</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质量要求和测试》</w:t>
      </w:r>
    </w:p>
    <w:p w14:paraId="4018B684">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GB/T 16260</w:t>
      </w:r>
      <w:r>
        <w:rPr>
          <w:rFonts w:hint="eastAsia" w:asciiTheme="minorEastAsia" w:hAnsiTheme="minorEastAsia"/>
          <w:color w:val="auto"/>
          <w:sz w:val="22"/>
          <w:szCs w:val="22"/>
          <w:highlight w:val="none"/>
        </w:rPr>
        <w:t>《信息技术</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软件产品评价</w:t>
      </w:r>
      <w:r>
        <w:rPr>
          <w:rFonts w:asciiTheme="minorEastAsia" w:hAnsiTheme="minorEastAsia"/>
          <w:color w:val="auto"/>
          <w:sz w:val="22"/>
          <w:szCs w:val="22"/>
          <w:highlight w:val="none"/>
        </w:rPr>
        <w:t xml:space="preserve"> </w:t>
      </w:r>
      <w:r>
        <w:rPr>
          <w:rFonts w:hint="eastAsia" w:asciiTheme="minorEastAsia" w:hAnsiTheme="minorEastAsia"/>
          <w:color w:val="auto"/>
          <w:sz w:val="22"/>
          <w:szCs w:val="22"/>
          <w:highlight w:val="none"/>
        </w:rPr>
        <w:t>质量特性及其使用指南》</w:t>
      </w:r>
    </w:p>
    <w:p w14:paraId="3C59A51B">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leftChars="0" w:right="0" w:firstLine="420"/>
        <w:jc w:val="left"/>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GB/T 50312</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2007《</w:t>
      </w:r>
      <w:r>
        <w:rPr>
          <w:rFonts w:hint="eastAsia" w:asciiTheme="minorEastAsia" w:hAnsiTheme="minorEastAsia"/>
          <w:color w:val="auto"/>
          <w:sz w:val="22"/>
          <w:szCs w:val="22"/>
          <w:highlight w:val="none"/>
        </w:rPr>
        <w:t>建筑与建筑群综合布线系统工程施工与验收规范》</w:t>
      </w:r>
    </w:p>
    <w:p w14:paraId="533675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二、系统设计要求</w:t>
      </w:r>
    </w:p>
    <w:p w14:paraId="0AB3E8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2.1</w:t>
      </w:r>
      <w:bookmarkStart w:id="8" w:name="_Toc173361636"/>
      <w:r>
        <w:rPr>
          <w:rFonts w:hint="eastAsia" w:ascii="宋体" w:hAnsi="宋体" w:cs="宋体"/>
          <w:b/>
          <w:color w:val="auto"/>
          <w:sz w:val="24"/>
          <w:szCs w:val="24"/>
          <w:highlight w:val="none"/>
          <w:lang w:val="en-US" w:eastAsia="zh-CN"/>
        </w:rPr>
        <w:t>基础资源</w:t>
      </w:r>
      <w:bookmarkEnd w:id="8"/>
    </w:p>
    <w:p w14:paraId="1FD58BB9">
      <w:pPr>
        <w:pageBreakBefore w:val="0"/>
        <w:widowControl w:val="0"/>
        <w:kinsoku/>
        <w:wordWrap/>
        <w:overflowPunct/>
        <w:topLinePunct w:val="0"/>
        <w:autoSpaceDE/>
        <w:autoSpaceDN/>
        <w:bidi w:val="0"/>
        <w:adjustRightInd/>
        <w:snapToGrid/>
        <w:spacing w:line="480" w:lineRule="exact"/>
        <w:ind w:left="0" w:leftChars="0" w:right="0" w:firstLine="431" w:firstLineChars="196"/>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基础资源实现云计算IaaS层的通用功能，包含支撑整个平台的服务器、存储、网络设备，负责提供计算、存储、网络等基础 IT 资源，要具备松耦合、资源池化、高可扩展等特性、具备满足我单位业务发展快速迭代升级的能力。</w:t>
      </w:r>
    </w:p>
    <w:p w14:paraId="53B53961">
      <w:pPr>
        <w:pageBreakBefore w:val="0"/>
        <w:widowControl w:val="0"/>
        <w:kinsoku/>
        <w:wordWrap/>
        <w:overflowPunct/>
        <w:topLinePunct w:val="0"/>
        <w:autoSpaceDE/>
        <w:autoSpaceDN/>
        <w:bidi w:val="0"/>
        <w:adjustRightInd/>
        <w:snapToGrid/>
        <w:spacing w:line="480" w:lineRule="exact"/>
        <w:ind w:left="0" w:leftChars="0" w:right="0" w:firstLine="431" w:firstLineChars="196"/>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本次智能媒资平台所需的基础资源（存储、网络、安全等）由招标方提供。</w:t>
      </w:r>
    </w:p>
    <w:p w14:paraId="3F653F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9" w:name="_Toc173361637"/>
      <w:r>
        <w:rPr>
          <w:rFonts w:hint="eastAsia" w:ascii="宋体" w:hAnsi="宋体" w:cs="宋体"/>
          <w:b/>
          <w:color w:val="auto"/>
          <w:sz w:val="24"/>
          <w:szCs w:val="24"/>
          <w:highlight w:val="none"/>
          <w:lang w:val="en-US" w:eastAsia="zh-CN"/>
        </w:rPr>
        <w:t>2.1.1存储资源要求</w:t>
      </w:r>
      <w:bookmarkEnd w:id="9"/>
    </w:p>
    <w:p w14:paraId="078413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10" w:name="_Toc173361638"/>
      <w:r>
        <w:rPr>
          <w:rFonts w:hint="eastAsia" w:ascii="宋体" w:hAnsi="宋体" w:cs="宋体"/>
          <w:b/>
          <w:color w:val="auto"/>
          <w:sz w:val="24"/>
          <w:szCs w:val="24"/>
          <w:highlight w:val="none"/>
          <w:lang w:val="en-US" w:eastAsia="zh-CN"/>
        </w:rPr>
        <w:t>2.1.1.1在线存储</w:t>
      </w:r>
      <w:bookmarkEnd w:id="10"/>
    </w:p>
    <w:p w14:paraId="51F45346">
      <w:pPr>
        <w:pStyle w:val="2"/>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存储用于存放视频、音频、图片、电子报等全媒体素材，特点是读写大文件、数据量大、读写较频繁，支持灵活的网络架构，在设计存储设备的容量和带宽指标时，已考虑合理的冗余量，以保障系统运行的稳定性</w:t>
      </w:r>
      <w:r>
        <w:rPr>
          <w:rFonts w:hint="eastAsia" w:ascii="宋体" w:hAnsi="宋体" w:eastAsia="宋体" w:cs="宋体"/>
          <w:bCs/>
          <w:color w:val="auto"/>
          <w:kern w:val="0"/>
          <w:sz w:val="22"/>
          <w:szCs w:val="22"/>
          <w:highlight w:val="none"/>
        </w:rPr>
        <w:t>；</w:t>
      </w:r>
    </w:p>
    <w:p w14:paraId="311C033F">
      <w:pPr>
        <w:pStyle w:val="2"/>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本次智能媒资平台所需的存储系统由招标方提供，智能媒资软件的集成商须基于已有招标方提供的存储进行软件部署、调试等工作；</w:t>
      </w:r>
    </w:p>
    <w:p w14:paraId="6D10B8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textAlignment w:val="auto"/>
        <w:rPr>
          <w:rFonts w:hint="eastAsia" w:ascii="宋体" w:hAnsi="宋体" w:cs="宋体"/>
          <w:b/>
          <w:color w:val="auto"/>
          <w:sz w:val="24"/>
          <w:szCs w:val="24"/>
          <w:highlight w:val="none"/>
          <w:lang w:val="en-US" w:eastAsia="zh-CN"/>
        </w:rPr>
      </w:pPr>
      <w:bookmarkStart w:id="11" w:name="_Toc173361639"/>
      <w:r>
        <w:rPr>
          <w:rFonts w:hint="eastAsia" w:ascii="宋体" w:hAnsi="宋体" w:cs="宋体"/>
          <w:b/>
          <w:color w:val="auto"/>
          <w:sz w:val="24"/>
          <w:szCs w:val="24"/>
          <w:highlight w:val="none"/>
          <w:lang w:val="en-US" w:eastAsia="zh-CN"/>
        </w:rPr>
        <w:t>2.1.1.2近线存储</w:t>
      </w:r>
      <w:bookmarkEnd w:id="11"/>
    </w:p>
    <w:p w14:paraId="1A4C7F75">
      <w:pPr>
        <w:pStyle w:val="2"/>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要求智能媒资平台要能支持挂接磁带库或光盘库，磁带库或光盘库用于将不常用、要长期保存的素材进行归档存储，以释放在线存储的空间，待有素材回迁需要时，再发起素材回迁流程，将数据从磁带库回迁至在线存储；</w:t>
      </w:r>
    </w:p>
    <w:p w14:paraId="5DE21C45">
      <w:pPr>
        <w:pStyle w:val="2"/>
        <w:pageBreakBefore w:val="0"/>
        <w:widowControl w:val="0"/>
        <w:kinsoku/>
        <w:wordWrap/>
        <w:overflowPunct/>
        <w:topLinePunct w:val="0"/>
        <w:autoSpaceDE/>
        <w:autoSpaceDN/>
        <w:bidi w:val="0"/>
        <w:adjustRightInd/>
        <w:snapToGrid/>
        <w:spacing w:line="480" w:lineRule="exact"/>
        <w:ind w:left="0" w:leftChars="0" w:right="0"/>
        <w:textAlignment w:val="auto"/>
        <w:rPr>
          <w:rFonts w:hint="default"/>
          <w:color w:val="auto"/>
          <w:highlight w:val="none"/>
          <w:lang w:val="en-US" w:eastAsia="zh-CN"/>
        </w:rPr>
      </w:pPr>
      <w:r>
        <w:rPr>
          <w:rFonts w:hint="eastAsia" w:ascii="宋体" w:hAnsi="宋体" w:eastAsia="宋体" w:cs="宋体"/>
          <w:bCs/>
          <w:color w:val="auto"/>
          <w:kern w:val="0"/>
          <w:sz w:val="22"/>
          <w:szCs w:val="22"/>
          <w:highlight w:val="none"/>
        </w:rPr>
        <w:t>智能媒资软件要能够具备挂接磁带库或光盘库的能力，以满足未来我单位的扩容需要</w:t>
      </w:r>
      <w:r>
        <w:rPr>
          <w:rFonts w:hint="eastAsia" w:ascii="宋体" w:hAnsi="宋体" w:eastAsia="宋体" w:cs="宋体"/>
          <w:color w:val="auto"/>
          <w:sz w:val="22"/>
          <w:szCs w:val="22"/>
          <w:highlight w:val="none"/>
        </w:rPr>
        <w:t>；</w:t>
      </w:r>
    </w:p>
    <w:p w14:paraId="6F440DE7">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2.1.2.计算资源要求</w:t>
      </w:r>
    </w:p>
    <w:p w14:paraId="6A9A3995">
      <w:pPr>
        <w:pageBreakBefore w:val="0"/>
        <w:kinsoku/>
        <w:wordWrap/>
        <w:overflowPunct/>
        <w:topLinePunct w:val="0"/>
        <w:autoSpaceDE/>
        <w:autoSpaceDN/>
        <w:bidi w:val="0"/>
        <w:adjustRightInd/>
        <w:snapToGrid/>
        <w:spacing w:line="480" w:lineRule="exact"/>
        <w:ind w:left="0" w:leftChars="0" w:right="0" w:firstLine="431" w:firstLineChars="196"/>
        <w:textAlignment w:val="auto"/>
        <w:rPr>
          <w:rFonts w:cs="宋体" w:asciiTheme="minorEastAsia" w:hAnsiTheme="minorEastAsia"/>
          <w:bCs/>
          <w:color w:val="auto"/>
          <w:kern w:val="0"/>
          <w:sz w:val="22"/>
          <w:szCs w:val="22"/>
          <w:highlight w:val="none"/>
        </w:rPr>
      </w:pPr>
      <w:r>
        <w:rPr>
          <w:rFonts w:hint="eastAsia" w:cs="宋体" w:asciiTheme="minorEastAsia" w:hAnsiTheme="minorEastAsia"/>
          <w:bCs/>
          <w:color w:val="auto"/>
          <w:kern w:val="0"/>
          <w:sz w:val="22"/>
          <w:szCs w:val="22"/>
          <w:highlight w:val="none"/>
        </w:rPr>
        <w:t>计算资源用于搭建媒资系统，包括所需要的核心服务、迁移转码服务、技审服务、接口服务等。为上层应用部署提供计算服务；针对核心服务，要求采用全对等分布式技术架构，包括数据库、中间件、消息队列、存储管理、资源管理、内容检索引擎、工作流程引擎等，要使用多节点容器集群并行计算机制。一个系统节点故障只降低1/n（n≥3）的处理能力，损坏（n-1）/2个整数倍节点以内不造成系统崩溃，任意一个系统服务（包括数据库）所处的虚拟服务器宕机时，业务运行无缝接续。</w:t>
      </w:r>
    </w:p>
    <w:p w14:paraId="2CD34C0F">
      <w:pPr>
        <w:pStyle w:val="2"/>
        <w:pageBreakBefore w:val="0"/>
        <w:kinsoku/>
        <w:wordWrap/>
        <w:overflowPunct/>
        <w:topLinePunct w:val="0"/>
        <w:autoSpaceDE/>
        <w:autoSpaceDN/>
        <w:bidi w:val="0"/>
        <w:adjustRightInd/>
        <w:snapToGrid/>
        <w:spacing w:line="480" w:lineRule="exact"/>
        <w:ind w:left="0" w:leftChars="0" w:right="0"/>
        <w:textAlignment w:val="auto"/>
        <w:rPr>
          <w:rFonts w:cs="宋体" w:asciiTheme="minorEastAsia" w:hAnsiTheme="minorEastAsia"/>
          <w:bCs/>
          <w:color w:val="auto"/>
          <w:kern w:val="0"/>
          <w:sz w:val="22"/>
          <w:szCs w:val="22"/>
          <w:highlight w:val="none"/>
        </w:rPr>
      </w:pPr>
      <w:r>
        <w:rPr>
          <w:rFonts w:hint="eastAsia" w:cs="宋体" w:asciiTheme="minorEastAsia" w:hAnsiTheme="minorEastAsia"/>
          <w:bCs/>
          <w:color w:val="auto"/>
          <w:kern w:val="0"/>
          <w:sz w:val="22"/>
          <w:szCs w:val="22"/>
          <w:highlight w:val="none"/>
        </w:rPr>
        <w:t>本次智能媒资平台所需的计算资源由招标方提供，智能媒资软件的集成商须基于已有招标方提供的资源进行软件部署、调试等工作；</w:t>
      </w:r>
    </w:p>
    <w:p w14:paraId="1FE976E5">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hint="eastAsia" w:asciiTheme="minorEastAsia" w:hAnsiTheme="minorEastAsia" w:eastAsiaTheme="minorEastAsia"/>
          <w:color w:val="auto"/>
          <w:sz w:val="24"/>
          <w:szCs w:val="22"/>
          <w:highlight w:val="none"/>
          <w:u w:val="none"/>
        </w:rPr>
      </w:pPr>
      <w:bookmarkStart w:id="12" w:name="_Toc173361641"/>
      <w:r>
        <w:rPr>
          <w:rFonts w:hint="eastAsia" w:asciiTheme="minorEastAsia" w:hAnsiTheme="minorEastAsia" w:eastAsiaTheme="minorEastAsia"/>
          <w:color w:val="auto"/>
          <w:sz w:val="24"/>
          <w:szCs w:val="22"/>
          <w:highlight w:val="none"/>
          <w:u w:val="none"/>
          <w:lang w:val="en-US" w:eastAsia="zh-CN"/>
        </w:rPr>
        <w:t>2.1.3</w:t>
      </w:r>
      <w:r>
        <w:rPr>
          <w:rFonts w:hint="eastAsia" w:asciiTheme="minorEastAsia" w:hAnsiTheme="minorEastAsia" w:eastAsiaTheme="minorEastAsia"/>
          <w:color w:val="auto"/>
          <w:sz w:val="24"/>
          <w:szCs w:val="22"/>
          <w:highlight w:val="none"/>
          <w:u w:val="none"/>
        </w:rPr>
        <w:t>网络资源要求</w:t>
      </w:r>
      <w:bookmarkEnd w:id="12"/>
    </w:p>
    <w:p w14:paraId="6BE9898C">
      <w:pPr>
        <w:pageBreakBefore w:val="0"/>
        <w:kinsoku/>
        <w:wordWrap/>
        <w:overflowPunct/>
        <w:topLinePunct w:val="0"/>
        <w:autoSpaceDE/>
        <w:autoSpaceDN/>
        <w:bidi w:val="0"/>
        <w:adjustRightInd/>
        <w:snapToGrid/>
        <w:spacing w:line="480" w:lineRule="exact"/>
        <w:ind w:left="0" w:leftChars="0" w:right="0" w:firstLine="431" w:firstLineChars="196"/>
        <w:textAlignment w:val="auto"/>
        <w:rPr>
          <w:rFonts w:cs="宋体" w:asciiTheme="minorEastAsia" w:hAnsiTheme="minorEastAsia"/>
          <w:bCs/>
          <w:color w:val="auto"/>
          <w:kern w:val="0"/>
          <w:sz w:val="22"/>
          <w:szCs w:val="22"/>
          <w:highlight w:val="none"/>
        </w:rPr>
      </w:pPr>
      <w:r>
        <w:rPr>
          <w:rFonts w:hint="eastAsia" w:cs="宋体" w:asciiTheme="minorEastAsia" w:hAnsiTheme="minorEastAsia"/>
          <w:bCs/>
          <w:color w:val="auto"/>
          <w:kern w:val="0"/>
          <w:sz w:val="22"/>
          <w:szCs w:val="22"/>
          <w:highlight w:val="none"/>
        </w:rPr>
        <w:t>系统要求采用以太网单网架构，网络系统的设计应满足我单位系统的交互、实际部署位置、各类子业务交换能力、安全访问等要求，从而实现整个单位网络的系统管理。包括：拓扑管理、远程配置、合理规划和划分整网IP资源，保证网络业务的正常运行并具有可扩展性。要求全部采用双链路方式，确保单点故障时业务不中断。</w:t>
      </w:r>
    </w:p>
    <w:p w14:paraId="5EFD85EB">
      <w:pPr>
        <w:pStyle w:val="2"/>
        <w:pageBreakBefore w:val="0"/>
        <w:kinsoku/>
        <w:wordWrap/>
        <w:overflowPunct/>
        <w:topLinePunct w:val="0"/>
        <w:autoSpaceDE/>
        <w:autoSpaceDN/>
        <w:bidi w:val="0"/>
        <w:adjustRightInd/>
        <w:snapToGrid/>
        <w:spacing w:line="480" w:lineRule="exact"/>
        <w:ind w:left="0" w:leftChars="0" w:right="0"/>
        <w:textAlignment w:val="auto"/>
        <w:rPr>
          <w:color w:val="auto"/>
          <w:highlight w:val="none"/>
        </w:rPr>
      </w:pPr>
      <w:r>
        <w:rPr>
          <w:rFonts w:hint="eastAsia" w:cs="宋体" w:asciiTheme="minorEastAsia" w:hAnsiTheme="minorEastAsia"/>
          <w:bCs/>
          <w:color w:val="auto"/>
          <w:kern w:val="0"/>
          <w:sz w:val="22"/>
          <w:szCs w:val="22"/>
          <w:highlight w:val="none"/>
        </w:rPr>
        <w:t>本次智能媒资平台所需的网络资源由招标方提供，智能媒资软件的集成商须基于已有招标方提供的交换机进行网络规划、调试等工作；</w:t>
      </w:r>
    </w:p>
    <w:p w14:paraId="2DC391B8">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13" w:name="_Toc173361642"/>
      <w:r>
        <w:rPr>
          <w:rFonts w:hint="eastAsia" w:asciiTheme="minorEastAsia" w:hAnsiTheme="minorEastAsia" w:eastAsiaTheme="minorEastAsia"/>
          <w:color w:val="auto"/>
          <w:sz w:val="24"/>
          <w:szCs w:val="24"/>
          <w:highlight w:val="none"/>
          <w:lang w:val="en-US" w:eastAsia="zh-CN"/>
        </w:rPr>
        <w:t>2.2</w:t>
      </w:r>
      <w:r>
        <w:rPr>
          <w:rFonts w:hint="eastAsia" w:asciiTheme="minorEastAsia" w:hAnsiTheme="minorEastAsia" w:eastAsiaTheme="minorEastAsia"/>
          <w:color w:val="auto"/>
          <w:sz w:val="24"/>
          <w:szCs w:val="24"/>
          <w:highlight w:val="none"/>
        </w:rPr>
        <w:t>后台服务</w:t>
      </w:r>
      <w:bookmarkEnd w:id="13"/>
    </w:p>
    <w:p w14:paraId="3F171DB1">
      <w:pPr>
        <w:pageBreakBefore w:val="0"/>
        <w:kinsoku/>
        <w:wordWrap/>
        <w:overflowPunct/>
        <w:topLinePunct w:val="0"/>
        <w:autoSpaceDE/>
        <w:autoSpaceDN/>
        <w:bidi w:val="0"/>
        <w:adjustRightInd/>
        <w:snapToGrid/>
        <w:spacing w:line="480" w:lineRule="exact"/>
        <w:ind w:left="0" w:leftChars="0" w:right="0" w:firstLine="431" w:firstLineChars="196"/>
        <w:textAlignment w:val="auto"/>
        <w:rPr>
          <w:rFonts w:cs="宋体" w:asciiTheme="minorEastAsia" w:hAnsiTheme="minorEastAsia"/>
          <w:bCs/>
          <w:color w:val="auto"/>
          <w:kern w:val="0"/>
          <w:sz w:val="22"/>
          <w:szCs w:val="22"/>
          <w:highlight w:val="none"/>
        </w:rPr>
      </w:pPr>
      <w:r>
        <w:rPr>
          <w:rFonts w:hint="eastAsia" w:cs="宋体" w:asciiTheme="minorEastAsia" w:hAnsiTheme="minorEastAsia"/>
          <w:bCs/>
          <w:color w:val="auto"/>
          <w:kern w:val="0"/>
          <w:sz w:val="22"/>
          <w:szCs w:val="22"/>
          <w:highlight w:val="none"/>
        </w:rPr>
        <w:t>后台支撑服务包括智能媒资平台所需的容器管理服务、转码服务、技审服务、迁移服务等，这些服务为媒资系统提供应用编排、音视频格式转换、音视频文件质量审核以及系统间的文件迁移、调用等功能。</w:t>
      </w:r>
    </w:p>
    <w:p w14:paraId="20ECFC38">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14" w:name="_Toc173361643"/>
      <w:r>
        <w:rPr>
          <w:rFonts w:hint="eastAsia" w:asciiTheme="minorEastAsia" w:hAnsiTheme="minorEastAsia" w:eastAsiaTheme="minorEastAsia"/>
          <w:color w:val="auto"/>
          <w:sz w:val="24"/>
          <w:szCs w:val="22"/>
          <w:highlight w:val="none"/>
          <w:u w:val="none"/>
          <w:lang w:val="en-US" w:eastAsia="zh-CN"/>
        </w:rPr>
        <w:t>2.2.1</w:t>
      </w:r>
      <w:r>
        <w:rPr>
          <w:rFonts w:hint="eastAsia" w:asciiTheme="minorEastAsia" w:hAnsiTheme="minorEastAsia" w:eastAsiaTheme="minorEastAsia"/>
          <w:color w:val="auto"/>
          <w:sz w:val="24"/>
          <w:szCs w:val="22"/>
          <w:highlight w:val="none"/>
          <w:u w:val="none"/>
        </w:rPr>
        <w:t>容器管理服务</w:t>
      </w:r>
      <w:bookmarkEnd w:id="14"/>
    </w:p>
    <w:p w14:paraId="4CAAFE04">
      <w:pPr>
        <w:pageBreakBefore w:val="0"/>
        <w:kinsoku/>
        <w:wordWrap/>
        <w:overflowPunct/>
        <w:topLinePunct w:val="0"/>
        <w:autoSpaceDE/>
        <w:autoSpaceDN/>
        <w:bidi w:val="0"/>
        <w:adjustRightInd/>
        <w:snapToGrid/>
        <w:spacing w:line="480" w:lineRule="exact"/>
        <w:ind w:left="0" w:leftChars="0" w:right="0" w:firstLine="42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要求提供容器管理平台，实现对后台容器集群的统一管理、编排，实现对计算资源的动态分配能力，需要提供企业级的kubernetes应用编排能力，容器化管理软件要求如下：</w:t>
      </w:r>
    </w:p>
    <w:p w14:paraId="0D6F2184">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要求提供企业级kubernetes应用编排能力，所有功能完全基于K8S原生扩展；</w:t>
      </w:r>
    </w:p>
    <w:p w14:paraId="25F12830">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要求支持管理≥100个容器集群，提供Master节点授权（部署负载应用）；</w:t>
      </w:r>
    </w:p>
    <w:p w14:paraId="02B9441A">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要求支持容器、虚拟机的混合调度，兼容部署多种架构的应用；</w:t>
      </w:r>
    </w:p>
    <w:p w14:paraId="5A8FD9E8">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要求支持GPU显卡、广电专用IO板卡等专业硬件资源的统一纳管；</w:t>
      </w:r>
    </w:p>
    <w:p w14:paraId="20DEA13A">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要求支持多集群管理：支持同时对多个 Kubernetes 集群进行管理，图形化显示其所包含的阶段状态和容器运行状态；</w:t>
      </w:r>
    </w:p>
    <w:p w14:paraId="5646A780">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要求支持容器管理：支持命名空间管理、支持多类型负载创建及管理、支持弹性伸缩、支持滚动升级、支持容器日志实时查看、支持管理容器生命周期；</w:t>
      </w:r>
    </w:p>
    <w:p w14:paraId="30626193">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要求支持容器高可用性保障机制，服务器宕机或服务故障时，服务器上的服务自动调度到其他健康的服务器上；</w:t>
      </w:r>
    </w:p>
    <w:p w14:paraId="40D1F110">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要求支持私有和公共容器化模板市场，实现容器应用的模板化展示和快速部署，支持应用模板的组织和管理；</w:t>
      </w:r>
    </w:p>
    <w:p w14:paraId="51ADFAD5">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要求支持通过纯命令行的方式进行配置和管理，方便配置和管理；</w:t>
      </w:r>
    </w:p>
    <w:p w14:paraId="66C116F0">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b/>
          <w:bCs/>
          <w:color w:val="auto"/>
          <w:sz w:val="22"/>
          <w:szCs w:val="22"/>
          <w:highlight w:val="none"/>
        </w:rPr>
      </w:pPr>
      <w:r>
        <w:rPr>
          <w:rFonts w:hint="eastAsia" w:cs="宋体" w:asciiTheme="minorEastAsia" w:hAnsiTheme="minorEastAsia"/>
          <w:color w:val="auto"/>
          <w:sz w:val="22"/>
          <w:szCs w:val="22"/>
          <w:highlight w:val="none"/>
        </w:rPr>
        <w:t>要求支持容器存储服务，支持 PV、PVC 创建和使用；</w:t>
      </w:r>
    </w:p>
    <w:p w14:paraId="0662FD00">
      <w:pPr>
        <w:pageBreakBefore w:val="0"/>
        <w:numPr>
          <w:ilvl w:val="0"/>
          <w:numId w:val="4"/>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b/>
          <w:bCs/>
          <w:color w:val="auto"/>
          <w:sz w:val="22"/>
          <w:szCs w:val="22"/>
          <w:highlight w:val="none"/>
        </w:rPr>
      </w:pPr>
      <w:r>
        <w:rPr>
          <w:rFonts w:hint="eastAsia" w:cs="宋体" w:asciiTheme="minorEastAsia" w:hAnsiTheme="minorEastAsia"/>
          <w:b/>
          <w:bCs/>
          <w:color w:val="auto"/>
          <w:sz w:val="22"/>
          <w:szCs w:val="22"/>
          <w:highlight w:val="none"/>
        </w:rPr>
        <w:t>▲要求具备对容器平台的运维能力，须提供软件生产厂商（制造商）</w:t>
      </w:r>
      <w:r>
        <w:rPr>
          <w:rFonts w:hint="eastAsia" w:cs="宋体" w:asciiTheme="minorEastAsia" w:hAnsiTheme="minorEastAsia"/>
          <w:b/>
          <w:bCs/>
          <w:color w:val="auto"/>
          <w:sz w:val="22"/>
          <w:szCs w:val="22"/>
          <w:highlight w:val="none"/>
          <w:lang w:val="en-US" w:eastAsia="zh-CN"/>
        </w:rPr>
        <w:t>有效的</w:t>
      </w:r>
      <w:r>
        <w:rPr>
          <w:rFonts w:hint="eastAsia" w:cs="宋体" w:asciiTheme="minorEastAsia" w:hAnsiTheme="minorEastAsia"/>
          <w:b/>
          <w:bCs/>
          <w:color w:val="auto"/>
          <w:sz w:val="22"/>
          <w:szCs w:val="22"/>
          <w:highlight w:val="none"/>
        </w:rPr>
        <w:t>专利证明</w:t>
      </w:r>
      <w:r>
        <w:rPr>
          <w:rFonts w:hint="eastAsia" w:cs="宋体" w:asciiTheme="minorEastAsia" w:hAnsiTheme="minorEastAsia"/>
          <w:b/>
          <w:bCs/>
          <w:color w:val="auto"/>
          <w:sz w:val="22"/>
          <w:szCs w:val="22"/>
          <w:highlight w:val="none"/>
          <w:lang w:val="en-US" w:eastAsia="zh-CN"/>
        </w:rPr>
        <w:t>材料</w:t>
      </w:r>
      <w:r>
        <w:rPr>
          <w:rFonts w:hint="eastAsia"/>
          <w:b/>
          <w:bCs w:val="0"/>
          <w:color w:val="auto"/>
          <w:sz w:val="22"/>
          <w:szCs w:val="21"/>
          <w:highlight w:val="none"/>
          <w:lang w:val="en-US" w:eastAsia="zh-CN"/>
        </w:rPr>
        <w:t>复印件并加盖供应商公章</w:t>
      </w:r>
      <w:r>
        <w:rPr>
          <w:rFonts w:hint="eastAsia" w:cs="宋体" w:asciiTheme="minorEastAsia" w:hAnsiTheme="minorEastAsia"/>
          <w:b/>
          <w:bCs/>
          <w:color w:val="auto"/>
          <w:sz w:val="22"/>
          <w:szCs w:val="22"/>
          <w:highlight w:val="none"/>
        </w:rPr>
        <w:t>；</w:t>
      </w:r>
    </w:p>
    <w:p w14:paraId="6C7BBAFB">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15" w:name="_Toc173361644"/>
      <w:r>
        <w:rPr>
          <w:rFonts w:hint="eastAsia" w:asciiTheme="minorEastAsia" w:hAnsiTheme="minorEastAsia" w:eastAsiaTheme="minorEastAsia"/>
          <w:color w:val="auto"/>
          <w:sz w:val="24"/>
          <w:szCs w:val="22"/>
          <w:highlight w:val="none"/>
          <w:u w:val="none"/>
          <w:lang w:val="en-US" w:eastAsia="zh-CN"/>
        </w:rPr>
        <w:t>2.2.2</w:t>
      </w:r>
      <w:r>
        <w:rPr>
          <w:rFonts w:hint="eastAsia" w:asciiTheme="minorEastAsia" w:hAnsiTheme="minorEastAsia" w:eastAsiaTheme="minorEastAsia"/>
          <w:color w:val="auto"/>
          <w:sz w:val="24"/>
          <w:szCs w:val="22"/>
          <w:highlight w:val="none"/>
          <w:u w:val="none"/>
        </w:rPr>
        <w:t>文件转码服务</w:t>
      </w:r>
      <w:bookmarkEnd w:id="15"/>
    </w:p>
    <w:p w14:paraId="2B9D2558">
      <w:pPr>
        <w:pageBreakBefore w:val="0"/>
        <w:kinsoku/>
        <w:wordWrap/>
        <w:overflowPunct/>
        <w:topLinePunct w:val="0"/>
        <w:autoSpaceDE/>
        <w:autoSpaceDN/>
        <w:bidi w:val="0"/>
        <w:adjustRightInd/>
        <w:snapToGrid/>
        <w:spacing w:line="480" w:lineRule="exact"/>
        <w:ind w:left="0" w:leftChars="0" w:right="0" w:firstLine="42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转码系统主要是将源文件转码为适合不同需要的格式，向其他系统提供对应格式的内容，转码服务要求如下：</w:t>
      </w:r>
    </w:p>
    <w:p w14:paraId="72E65D9B">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转码软件体系应适配平台，实现转码能力的动态调整；</w:t>
      </w:r>
    </w:p>
    <w:p w14:paraId="516DA030">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支持分布式转码功能，利用转码服务器集群，实现处理效率的提升；</w:t>
      </w:r>
    </w:p>
    <w:p w14:paraId="0730F525">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支持按平台业务流程设计需要，调用转码资源；</w:t>
      </w:r>
    </w:p>
    <w:p w14:paraId="7797B0F5">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支持广播级主流视音频格式转码，系统内各种视音频格式转码。支持互联网主流视音频格式转码。如MPEG2-I,MPEG2-IBP,DNXHD,PRORESS422,DVCPRO,DV，AVC，H.264等。</w:t>
      </w:r>
    </w:p>
    <w:p w14:paraId="11BE834D">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支持冗余容错机制，及时接管出错任务；</w:t>
      </w:r>
    </w:p>
    <w:p w14:paraId="5F0D2414">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可以手动或通过模板添加转码任务，并支持自定义输出路径；</w:t>
      </w:r>
    </w:p>
    <w:p w14:paraId="48941E19">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支持任务优先级判断和设定；支持手动随时调整优先级。</w:t>
      </w:r>
    </w:p>
    <w:p w14:paraId="0C5D5331">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支持任务的监控和管理，可以暂停、取消转码任务；</w:t>
      </w:r>
    </w:p>
    <w:p w14:paraId="58FF9A31">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支持查看任务的详细信息，支持详细的工作日志和任务日志。</w:t>
      </w:r>
    </w:p>
    <w:p w14:paraId="157EA376">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b/>
          <w:bCs/>
          <w:color w:val="auto"/>
          <w:sz w:val="22"/>
          <w:szCs w:val="22"/>
          <w:highlight w:val="none"/>
        </w:rPr>
      </w:pPr>
      <w:r>
        <w:rPr>
          <w:rFonts w:hint="eastAsia" w:ascii="宋体" w:hAnsi="宋体" w:eastAsia="宋体" w:cs="宋体"/>
          <w:b/>
          <w:bCs/>
          <w:color w:val="auto"/>
          <w:sz w:val="22"/>
          <w:szCs w:val="22"/>
          <w:highlight w:val="none"/>
        </w:rPr>
        <w:t>▲</w:t>
      </w:r>
      <w:r>
        <w:rPr>
          <w:rFonts w:hint="eastAsia" w:cs="宋体" w:asciiTheme="minorEastAsia" w:hAnsiTheme="minorEastAsia"/>
          <w:b/>
          <w:bCs/>
          <w:color w:val="auto"/>
          <w:sz w:val="22"/>
          <w:szCs w:val="22"/>
          <w:highlight w:val="none"/>
        </w:rPr>
        <w:t>要求</w:t>
      </w:r>
      <w:r>
        <w:rPr>
          <w:rFonts w:hint="eastAsia" w:cs="宋体" w:asciiTheme="minorEastAsia" w:hAnsiTheme="minorEastAsia"/>
          <w:b/>
          <w:bCs/>
          <w:color w:val="auto"/>
          <w:sz w:val="22"/>
          <w:szCs w:val="22"/>
          <w:highlight w:val="none"/>
          <w:lang w:val="en-US" w:eastAsia="zh-CN"/>
        </w:rPr>
        <w:t>该产品</w:t>
      </w:r>
      <w:r>
        <w:rPr>
          <w:rFonts w:hint="eastAsia" w:cs="宋体" w:asciiTheme="minorEastAsia" w:hAnsiTheme="minorEastAsia"/>
          <w:b/>
          <w:bCs/>
          <w:color w:val="auto"/>
          <w:sz w:val="22"/>
          <w:szCs w:val="22"/>
          <w:highlight w:val="none"/>
        </w:rPr>
        <w:t>支持分片转码功能，即多台转码并发处理同一个任务，且当转码节点数量增加时，转码的效率要能线性增长，要求提供</w:t>
      </w:r>
      <w:r>
        <w:rPr>
          <w:rFonts w:hint="eastAsia" w:cs="宋体" w:asciiTheme="minorEastAsia" w:hAnsiTheme="minorEastAsia"/>
          <w:b/>
          <w:bCs/>
          <w:color w:val="auto"/>
          <w:sz w:val="22"/>
          <w:szCs w:val="22"/>
          <w:highlight w:val="none"/>
          <w:lang w:val="en-US" w:eastAsia="zh-CN"/>
        </w:rPr>
        <w:t>有效的</w:t>
      </w:r>
      <w:r>
        <w:rPr>
          <w:rFonts w:hint="eastAsia" w:cs="宋体" w:asciiTheme="minorEastAsia" w:hAnsiTheme="minorEastAsia"/>
          <w:b/>
          <w:bCs/>
          <w:color w:val="auto"/>
          <w:sz w:val="22"/>
          <w:szCs w:val="22"/>
          <w:highlight w:val="none"/>
        </w:rPr>
        <w:t>检测报告</w:t>
      </w:r>
      <w:r>
        <w:rPr>
          <w:rFonts w:hint="eastAsia"/>
          <w:b/>
          <w:bCs w:val="0"/>
          <w:color w:val="auto"/>
          <w:sz w:val="22"/>
          <w:szCs w:val="21"/>
          <w:highlight w:val="none"/>
          <w:lang w:val="en-US" w:eastAsia="zh-CN"/>
        </w:rPr>
        <w:t>复印件并加盖供应商公章</w:t>
      </w:r>
      <w:r>
        <w:rPr>
          <w:rFonts w:hint="eastAsia" w:cs="宋体" w:asciiTheme="minorEastAsia" w:hAnsiTheme="minorEastAsia"/>
          <w:b/>
          <w:bCs/>
          <w:color w:val="auto"/>
          <w:sz w:val="22"/>
          <w:szCs w:val="22"/>
          <w:highlight w:val="none"/>
        </w:rPr>
        <w:t>，检测报告中要体现“当转码节点增加时，转码效率能实现准线性增加”；</w:t>
      </w:r>
    </w:p>
    <w:p w14:paraId="7C1D3795">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16" w:name="_Toc173361645"/>
      <w:r>
        <w:rPr>
          <w:rFonts w:hint="eastAsia" w:asciiTheme="minorEastAsia" w:hAnsiTheme="minorEastAsia" w:eastAsiaTheme="minorEastAsia"/>
          <w:color w:val="auto"/>
          <w:sz w:val="24"/>
          <w:szCs w:val="22"/>
          <w:highlight w:val="none"/>
          <w:u w:val="none"/>
          <w:lang w:val="en-US" w:eastAsia="zh-CN"/>
        </w:rPr>
        <w:t>2.2.3</w:t>
      </w:r>
      <w:r>
        <w:rPr>
          <w:rFonts w:hint="eastAsia" w:asciiTheme="minorEastAsia" w:hAnsiTheme="minorEastAsia" w:eastAsiaTheme="minorEastAsia"/>
          <w:color w:val="auto"/>
          <w:sz w:val="24"/>
          <w:szCs w:val="22"/>
          <w:highlight w:val="none"/>
          <w:u w:val="none"/>
        </w:rPr>
        <w:t>文件技审服务</w:t>
      </w:r>
      <w:bookmarkEnd w:id="16"/>
    </w:p>
    <w:p w14:paraId="41C7EB4A">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技术审核（技审）主要是针对入库视音频文件的质量审核，技术审核的结果作为内容的元数据之一，提供给用户作为审核参考，对存在质量问题的内容进行警示标识，具体要求如下：</w:t>
      </w:r>
    </w:p>
    <w:p w14:paraId="104CAFAE">
      <w:pPr>
        <w:keepNext w:val="0"/>
        <w:keepLines w:val="0"/>
        <w:pageBreakBefore w:val="0"/>
        <w:widowControl w:val="0"/>
        <w:numPr>
          <w:ilvl w:val="0"/>
          <w:numId w:val="6"/>
        </w:numPr>
        <w:tabs>
          <w:tab w:val="left" w:pos="284"/>
        </w:tabs>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提供对视音频内容的自动检测，检测设置支持手动选择检测参数。</w:t>
      </w:r>
    </w:p>
    <w:p w14:paraId="7586B545">
      <w:pPr>
        <w:keepNext w:val="0"/>
        <w:keepLines w:val="0"/>
        <w:pageBreakBefore w:val="0"/>
        <w:widowControl w:val="0"/>
        <w:numPr>
          <w:ilvl w:val="0"/>
          <w:numId w:val="6"/>
        </w:numPr>
        <w:tabs>
          <w:tab w:val="left" w:pos="284"/>
        </w:tabs>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在视频方面，技术审查要求能对黑场、彩条、单色段、雪花、色彩丢失、静帧段、亮度超标、色度超标、RGB超标、YUV超标、YC超标、蓝底、绿底、活动区域边缘、夹帧等进行检测；</w:t>
      </w:r>
    </w:p>
    <w:p w14:paraId="360C3990">
      <w:pPr>
        <w:keepNext w:val="0"/>
        <w:keepLines w:val="0"/>
        <w:pageBreakBefore w:val="0"/>
        <w:widowControl w:val="0"/>
        <w:numPr>
          <w:ilvl w:val="0"/>
          <w:numId w:val="6"/>
        </w:numPr>
        <w:tabs>
          <w:tab w:val="left" w:pos="284"/>
        </w:tabs>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在音频方面，技术审查要求能对静音、音量VU值、削波、音量峰值、直流偏移、响度、不可听、立体声相位反相等进行检测；</w:t>
      </w:r>
    </w:p>
    <w:p w14:paraId="1C4205D0">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自动技审软件至少具备黑场检测、彩帧检测、文件封装格式检测、压缩编码格式检测的能力；</w:t>
      </w:r>
    </w:p>
    <w:p w14:paraId="57CA4F99">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17" w:name="_Toc173361646"/>
      <w:r>
        <w:rPr>
          <w:rFonts w:hint="eastAsia" w:asciiTheme="minorEastAsia" w:hAnsiTheme="minorEastAsia" w:eastAsiaTheme="minorEastAsia"/>
          <w:color w:val="auto"/>
          <w:sz w:val="24"/>
          <w:szCs w:val="22"/>
          <w:highlight w:val="none"/>
          <w:u w:val="none"/>
          <w:lang w:val="en-US" w:eastAsia="zh-CN"/>
        </w:rPr>
        <w:t>2.2.4</w:t>
      </w:r>
      <w:r>
        <w:rPr>
          <w:rFonts w:hint="eastAsia" w:asciiTheme="minorEastAsia" w:hAnsiTheme="minorEastAsia" w:eastAsiaTheme="minorEastAsia"/>
          <w:color w:val="auto"/>
          <w:sz w:val="24"/>
          <w:szCs w:val="22"/>
          <w:highlight w:val="none"/>
          <w:u w:val="none"/>
        </w:rPr>
        <w:t>文件迁移服务</w:t>
      </w:r>
      <w:bookmarkEnd w:id="17"/>
    </w:p>
    <w:p w14:paraId="57842A85">
      <w:pPr>
        <w:pageBreakBefore w:val="0"/>
        <w:kinsoku/>
        <w:wordWrap/>
        <w:overflowPunct/>
        <w:topLinePunct w:val="0"/>
        <w:autoSpaceDE/>
        <w:autoSpaceDN/>
        <w:bidi w:val="0"/>
        <w:adjustRightInd/>
        <w:snapToGrid/>
        <w:spacing w:line="480" w:lineRule="exact"/>
        <w:ind w:left="0" w:leftChars="0" w:right="0" w:firstLine="431" w:firstLineChars="196"/>
        <w:textAlignment w:val="auto"/>
        <w:rPr>
          <w:rFonts w:cs="宋体" w:asciiTheme="minorEastAsia" w:hAnsiTheme="minorEastAsia"/>
          <w:bCs/>
          <w:color w:val="auto"/>
          <w:kern w:val="0"/>
          <w:sz w:val="22"/>
          <w:szCs w:val="22"/>
          <w:highlight w:val="none"/>
        </w:rPr>
      </w:pPr>
      <w:r>
        <w:rPr>
          <w:rFonts w:hint="eastAsia" w:cs="宋体" w:asciiTheme="minorEastAsia" w:hAnsiTheme="minorEastAsia"/>
          <w:bCs/>
          <w:color w:val="auto"/>
          <w:kern w:val="0"/>
          <w:sz w:val="22"/>
          <w:szCs w:val="22"/>
          <w:highlight w:val="none"/>
        </w:rPr>
        <w:t>迁移服务主要用于平台内外资源文件交互，将平台内的资源迁移到多业务系统。通过标准化的元数据和消息封装模式，解析迁移任务的源和目的，完成跨系统的资料迁移。</w:t>
      </w:r>
    </w:p>
    <w:p w14:paraId="26645386">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w:t>
      </w:r>
      <w:r>
        <w:rPr>
          <w:rFonts w:cs="宋体" w:asciiTheme="minorEastAsia" w:hAnsiTheme="minorEastAsia"/>
          <w:color w:val="auto"/>
          <w:sz w:val="22"/>
          <w:szCs w:val="22"/>
          <w:highlight w:val="none"/>
        </w:rPr>
        <w:t>FTP</w:t>
      </w:r>
      <w:r>
        <w:rPr>
          <w:rFonts w:hint="eastAsia" w:cs="宋体" w:asciiTheme="minorEastAsia" w:hAnsiTheme="minorEastAsia"/>
          <w:color w:val="auto"/>
          <w:sz w:val="22"/>
          <w:szCs w:val="22"/>
          <w:highlight w:val="none"/>
        </w:rPr>
        <w:t>、</w:t>
      </w:r>
      <w:r>
        <w:rPr>
          <w:rFonts w:cs="宋体" w:asciiTheme="minorEastAsia" w:hAnsiTheme="minorEastAsia"/>
          <w:color w:val="auto"/>
          <w:sz w:val="22"/>
          <w:szCs w:val="22"/>
          <w:highlight w:val="none"/>
        </w:rPr>
        <w:t>UNC</w:t>
      </w:r>
      <w:r>
        <w:rPr>
          <w:rFonts w:hint="eastAsia" w:cs="宋体" w:asciiTheme="minorEastAsia" w:hAnsiTheme="minorEastAsia"/>
          <w:color w:val="auto"/>
          <w:sz w:val="22"/>
          <w:szCs w:val="22"/>
          <w:highlight w:val="none"/>
        </w:rPr>
        <w:t>等多种路径；</w:t>
      </w:r>
    </w:p>
    <w:p w14:paraId="7AC468CA">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迁移服务支持集群功能，以实现任务的自动负载均衡和自动容错，提高服务的吞吐能力；</w:t>
      </w:r>
    </w:p>
    <w:p w14:paraId="269486FC">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支持任务优先级判断和设定；</w:t>
      </w:r>
    </w:p>
    <w:p w14:paraId="0F21AAF6">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支持任务的监控和管理，实现重置、暂停、取消等任务处理功能；</w:t>
      </w:r>
    </w:p>
    <w:p w14:paraId="4B03CB88">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支持查看任务的详细信息，支持详细的工作日志和任务日志；</w:t>
      </w:r>
    </w:p>
    <w:p w14:paraId="128B8F9E">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支持将素材和元数据信息迁移至业务流程配置里指定的路径下；</w:t>
      </w:r>
    </w:p>
    <w:p w14:paraId="6D56AF45">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18" w:name="_Toc173361647"/>
      <w:r>
        <w:rPr>
          <w:rFonts w:hint="eastAsia" w:asciiTheme="minorEastAsia" w:hAnsiTheme="minorEastAsia" w:eastAsiaTheme="minorEastAsia"/>
          <w:color w:val="auto"/>
          <w:sz w:val="24"/>
          <w:szCs w:val="24"/>
          <w:highlight w:val="none"/>
          <w:lang w:val="en-US" w:eastAsia="zh-CN"/>
        </w:rPr>
        <w:t>2.3</w:t>
      </w:r>
      <w:r>
        <w:rPr>
          <w:rFonts w:hint="eastAsia" w:asciiTheme="minorEastAsia" w:hAnsiTheme="minorEastAsia" w:eastAsiaTheme="minorEastAsia"/>
          <w:color w:val="auto"/>
          <w:sz w:val="24"/>
          <w:szCs w:val="24"/>
          <w:highlight w:val="none"/>
        </w:rPr>
        <w:t>智能平台</w:t>
      </w:r>
      <w:bookmarkEnd w:id="18"/>
    </w:p>
    <w:p w14:paraId="6F87819D">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19" w:name="_Toc173361648"/>
      <w:r>
        <w:rPr>
          <w:rFonts w:hint="eastAsia" w:asciiTheme="minorEastAsia" w:hAnsiTheme="minorEastAsia" w:eastAsiaTheme="minorEastAsia"/>
          <w:color w:val="auto"/>
          <w:sz w:val="24"/>
          <w:szCs w:val="22"/>
          <w:highlight w:val="none"/>
          <w:u w:val="none"/>
          <w:lang w:val="en-US" w:eastAsia="zh-CN"/>
        </w:rPr>
        <w:t>2.3.1</w:t>
      </w:r>
      <w:r>
        <w:rPr>
          <w:rFonts w:hint="eastAsia" w:asciiTheme="minorEastAsia" w:hAnsiTheme="minorEastAsia" w:eastAsiaTheme="minorEastAsia"/>
          <w:color w:val="auto"/>
          <w:sz w:val="24"/>
          <w:szCs w:val="22"/>
          <w:highlight w:val="none"/>
          <w:u w:val="none"/>
        </w:rPr>
        <w:t>智能调度平台要求</w:t>
      </w:r>
      <w:bookmarkEnd w:id="19"/>
    </w:p>
    <w:p w14:paraId="6B1D5315">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提供智能平台集群化管理模块，根据智能化平台管理系统的任务分发，对AI服务器上的所有智能化引擎进行统一管理和任务分配；</w:t>
      </w:r>
    </w:p>
    <w:p w14:paraId="119C32ED">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视音频预处理模块：对输入智能平台的各种图像、音频文件及视音频流进行编解码、裁切、缩放、色彩空间转换等预处理，为后续智能引擎的运算提供源数据支撑，实现视音频数据内存/显存在处理平台上的高效共享。</w:t>
      </w:r>
    </w:p>
    <w:p w14:paraId="1E39411A">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b/>
          <w:bCs/>
          <w:color w:val="auto"/>
          <w:sz w:val="22"/>
          <w:szCs w:val="22"/>
          <w:highlight w:val="none"/>
        </w:rPr>
      </w:pPr>
      <w:r>
        <w:rPr>
          <w:rFonts w:hint="eastAsia" w:ascii="宋体" w:hAnsi="宋体" w:eastAsia="宋体" w:cs="宋体"/>
          <w:b/>
          <w:bCs/>
          <w:color w:val="auto"/>
          <w:sz w:val="22"/>
          <w:szCs w:val="22"/>
          <w:highlight w:val="none"/>
        </w:rPr>
        <w:t>▲要求智能平台具备对</w:t>
      </w:r>
      <w:r>
        <w:rPr>
          <w:rFonts w:hint="eastAsia" w:asciiTheme="minorEastAsia" w:hAnsiTheme="minorEastAsia"/>
          <w:b/>
          <w:bCs/>
          <w:color w:val="auto"/>
          <w:sz w:val="22"/>
          <w:szCs w:val="22"/>
          <w:highlight w:val="none"/>
        </w:rPr>
        <w:t>GPU算力的优化管理，使得G</w:t>
      </w:r>
      <w:r>
        <w:rPr>
          <w:rFonts w:asciiTheme="minorEastAsia" w:hAnsiTheme="minorEastAsia"/>
          <w:b/>
          <w:bCs/>
          <w:color w:val="auto"/>
          <w:sz w:val="22"/>
          <w:szCs w:val="22"/>
          <w:highlight w:val="none"/>
        </w:rPr>
        <w:t>PU</w:t>
      </w:r>
      <w:r>
        <w:rPr>
          <w:rFonts w:hint="eastAsia" w:asciiTheme="minorEastAsia" w:hAnsiTheme="minorEastAsia"/>
          <w:b/>
          <w:bCs/>
          <w:color w:val="auto"/>
          <w:sz w:val="22"/>
          <w:szCs w:val="22"/>
          <w:highlight w:val="none"/>
        </w:rPr>
        <w:t>算力能得到最大化利用，要求提供软件生产厂商（制造商）</w:t>
      </w:r>
      <w:r>
        <w:rPr>
          <w:rFonts w:hint="eastAsia" w:asciiTheme="minorEastAsia" w:hAnsiTheme="minorEastAsia"/>
          <w:b/>
          <w:bCs/>
          <w:color w:val="auto"/>
          <w:sz w:val="22"/>
          <w:szCs w:val="22"/>
          <w:highlight w:val="none"/>
          <w:lang w:val="en-US" w:eastAsia="zh-CN"/>
        </w:rPr>
        <w:t>有效的</w:t>
      </w:r>
      <w:r>
        <w:rPr>
          <w:rFonts w:hint="eastAsia" w:asciiTheme="minorEastAsia" w:hAnsiTheme="minorEastAsia"/>
          <w:b/>
          <w:bCs/>
          <w:color w:val="auto"/>
          <w:sz w:val="22"/>
          <w:szCs w:val="22"/>
          <w:highlight w:val="none"/>
        </w:rPr>
        <w:t>发明专利</w:t>
      </w:r>
      <w:r>
        <w:rPr>
          <w:rFonts w:hint="eastAsia" w:asciiTheme="minorEastAsia" w:hAnsiTheme="minorEastAsia"/>
          <w:b/>
          <w:bCs/>
          <w:color w:val="auto"/>
          <w:sz w:val="22"/>
          <w:szCs w:val="22"/>
          <w:highlight w:val="none"/>
          <w:lang w:val="en-US" w:eastAsia="zh-CN"/>
        </w:rPr>
        <w:t>证明材料</w:t>
      </w:r>
      <w:r>
        <w:rPr>
          <w:rFonts w:hint="eastAsia"/>
          <w:b/>
          <w:bCs w:val="0"/>
          <w:color w:val="auto"/>
          <w:sz w:val="22"/>
          <w:szCs w:val="21"/>
          <w:highlight w:val="none"/>
          <w:lang w:val="en-US" w:eastAsia="zh-CN"/>
        </w:rPr>
        <w:t>复印件并加盖供应商公章</w:t>
      </w:r>
      <w:r>
        <w:rPr>
          <w:rFonts w:hint="eastAsia" w:asciiTheme="minorEastAsia" w:hAnsiTheme="minorEastAsia"/>
          <w:b/>
          <w:bCs/>
          <w:color w:val="auto"/>
          <w:sz w:val="22"/>
          <w:szCs w:val="22"/>
          <w:highlight w:val="none"/>
        </w:rPr>
        <w:t>；</w:t>
      </w:r>
    </w:p>
    <w:p w14:paraId="37926CFC">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color w:val="auto"/>
          <w:sz w:val="22"/>
          <w:szCs w:val="21"/>
          <w:highlight w:val="none"/>
        </w:rPr>
        <w:t>智能处理模块需要具备智能中台管理页面，要求可在WEB页面实现对多种智能算法统一管理，支持对智能场景模板的管理，对服务器算力资源的管理，对智能化任务的调度和监控管理；</w:t>
      </w:r>
    </w:p>
    <w:p w14:paraId="3D519B01">
      <w:pPr>
        <w:pStyle w:val="2"/>
        <w:pageBreakBefore w:val="0"/>
        <w:kinsoku/>
        <w:wordWrap/>
        <w:overflowPunct/>
        <w:topLinePunct w:val="0"/>
        <w:autoSpaceDE/>
        <w:autoSpaceDN/>
        <w:bidi w:val="0"/>
        <w:adjustRightInd/>
        <w:snapToGrid/>
        <w:spacing w:line="480" w:lineRule="exact"/>
        <w:ind w:left="0" w:leftChars="0" w:right="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媒体智能中台应具备开放的A</w:t>
      </w:r>
      <w:r>
        <w:rPr>
          <w:rFonts w:cs="宋体" w:asciiTheme="minorEastAsia" w:hAnsiTheme="minorEastAsia"/>
          <w:color w:val="auto"/>
          <w:sz w:val="22"/>
          <w:szCs w:val="22"/>
          <w:highlight w:val="none"/>
        </w:rPr>
        <w:t>PI</w:t>
      </w:r>
      <w:r>
        <w:rPr>
          <w:rFonts w:hint="eastAsia" w:cs="宋体" w:asciiTheme="minorEastAsia" w:hAnsiTheme="minorEastAsia"/>
          <w:color w:val="auto"/>
          <w:sz w:val="22"/>
          <w:szCs w:val="22"/>
          <w:highlight w:val="none"/>
        </w:rPr>
        <w:t>接口，以便与我单位其他系统实现对接、调用。</w:t>
      </w:r>
    </w:p>
    <w:p w14:paraId="2A558134">
      <w:pPr>
        <w:pStyle w:val="2"/>
        <w:pageBreakBefore w:val="0"/>
        <w:kinsoku/>
        <w:wordWrap/>
        <w:overflowPunct/>
        <w:topLinePunct w:val="0"/>
        <w:autoSpaceDE/>
        <w:autoSpaceDN/>
        <w:bidi w:val="0"/>
        <w:adjustRightInd/>
        <w:snapToGrid/>
        <w:spacing w:line="480" w:lineRule="exact"/>
        <w:ind w:left="0" w:leftChars="0" w:right="0" w:firstLineChars="0"/>
        <w:textAlignment w:val="auto"/>
        <w:rPr>
          <w:rFonts w:cs="宋体" w:asciiTheme="minorEastAsia" w:hAnsiTheme="minorEastAsia"/>
          <w:b/>
          <w:bCs/>
          <w:color w:val="auto"/>
          <w:sz w:val="22"/>
          <w:szCs w:val="22"/>
          <w:highlight w:val="none"/>
        </w:rPr>
      </w:pPr>
      <w:r>
        <w:rPr>
          <w:rFonts w:hint="eastAsia" w:ascii="宋体" w:hAnsi="宋体" w:eastAsia="宋体" w:cs="宋体"/>
          <w:b/>
          <w:bCs/>
          <w:color w:val="auto"/>
          <w:sz w:val="22"/>
          <w:szCs w:val="22"/>
          <w:highlight w:val="none"/>
        </w:rPr>
        <w:t>▲</w:t>
      </w:r>
      <w:r>
        <w:rPr>
          <w:rFonts w:hint="eastAsia" w:cs="宋体" w:asciiTheme="minorEastAsia" w:hAnsiTheme="minorEastAsia"/>
          <w:b/>
          <w:bCs/>
          <w:color w:val="auto"/>
          <w:sz w:val="22"/>
          <w:szCs w:val="22"/>
          <w:highlight w:val="none"/>
        </w:rPr>
        <w:t>“媒体智能中台”须具备</w:t>
      </w:r>
      <w:r>
        <w:rPr>
          <w:rFonts w:hint="eastAsia" w:cs="宋体" w:asciiTheme="minorEastAsia" w:hAnsiTheme="minorEastAsia"/>
          <w:b/>
          <w:bCs/>
          <w:color w:val="auto"/>
          <w:sz w:val="22"/>
          <w:szCs w:val="22"/>
          <w:highlight w:val="none"/>
          <w:lang w:val="en-US" w:eastAsia="zh-CN"/>
        </w:rPr>
        <w:t>有效的</w:t>
      </w:r>
      <w:r>
        <w:rPr>
          <w:rFonts w:hint="eastAsia" w:cs="宋体" w:asciiTheme="minorEastAsia" w:hAnsiTheme="minorEastAsia"/>
          <w:b/>
          <w:bCs/>
          <w:color w:val="auto"/>
          <w:sz w:val="22"/>
          <w:szCs w:val="22"/>
          <w:highlight w:val="none"/>
        </w:rPr>
        <w:t>检测报告</w:t>
      </w:r>
      <w:r>
        <w:rPr>
          <w:rFonts w:hint="eastAsia"/>
          <w:b/>
          <w:bCs w:val="0"/>
          <w:color w:val="auto"/>
          <w:sz w:val="22"/>
          <w:szCs w:val="21"/>
          <w:highlight w:val="none"/>
          <w:lang w:val="en-US" w:eastAsia="zh-CN"/>
        </w:rPr>
        <w:t>复印件并加盖供应商公章</w:t>
      </w:r>
      <w:r>
        <w:rPr>
          <w:rFonts w:hint="eastAsia" w:cs="宋体" w:asciiTheme="minorEastAsia" w:hAnsiTheme="minorEastAsia"/>
          <w:b/>
          <w:bCs/>
          <w:color w:val="auto"/>
          <w:sz w:val="22"/>
          <w:szCs w:val="22"/>
          <w:highlight w:val="none"/>
        </w:rPr>
        <w:t>，检测报告要说明其产品至少具备以下能力：媒体语音识别、视频内容字幕识别、出镜人物识别、拍摄镜头识别、视音频内容分类识别、视音频内容结构化，富媒体内容命名实体识别、富媒体内容关键词识别等：</w:t>
      </w:r>
    </w:p>
    <w:p w14:paraId="616AE107">
      <w:pPr>
        <w:pStyle w:val="2"/>
        <w:pageBreakBefore w:val="0"/>
        <w:kinsoku/>
        <w:wordWrap/>
        <w:overflowPunct/>
        <w:topLinePunct w:val="0"/>
        <w:autoSpaceDE/>
        <w:autoSpaceDN/>
        <w:bidi w:val="0"/>
        <w:adjustRightInd/>
        <w:snapToGrid/>
        <w:spacing w:line="480" w:lineRule="exact"/>
        <w:ind w:left="0" w:leftChars="0" w:right="0" w:firstLineChars="0"/>
        <w:textAlignment w:val="auto"/>
        <w:rPr>
          <w:rFonts w:asciiTheme="minorEastAsia" w:hAnsiTheme="minorEastAsia"/>
          <w:color w:val="auto"/>
          <w:sz w:val="22"/>
          <w:szCs w:val="22"/>
          <w:highlight w:val="none"/>
        </w:rPr>
      </w:pPr>
      <w:r>
        <w:rPr>
          <w:rFonts w:hint="eastAsia" w:cs="宋体" w:asciiTheme="minorEastAsia" w:hAnsiTheme="minorEastAsia"/>
          <w:color w:val="auto"/>
          <w:sz w:val="22"/>
          <w:szCs w:val="22"/>
          <w:highlight w:val="none"/>
        </w:rPr>
        <w:t>供应商</w:t>
      </w:r>
      <w:r>
        <w:rPr>
          <w:rFonts w:hint="eastAsia" w:asciiTheme="minorEastAsia" w:hAnsiTheme="minorEastAsia"/>
          <w:color w:val="auto"/>
          <w:sz w:val="22"/>
          <w:szCs w:val="22"/>
          <w:highlight w:val="none"/>
        </w:rPr>
        <w:t>还需具备针对广电业务场景，提供个性化、场景化智能的自主研发能力，以具备未来提供可持续的定制需求</w:t>
      </w:r>
      <w:r>
        <w:rPr>
          <w:rFonts w:hint="eastAsia" w:cs="宋体" w:asciiTheme="minorEastAsia" w:hAnsiTheme="minorEastAsia"/>
          <w:color w:val="auto"/>
          <w:sz w:val="22"/>
          <w:szCs w:val="22"/>
          <w:highlight w:val="none"/>
        </w:rPr>
        <w:t>；</w:t>
      </w:r>
    </w:p>
    <w:p w14:paraId="1402B552">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20" w:name="_Toc173361649"/>
      <w:bookmarkStart w:id="21" w:name="_Toc154430459"/>
      <w:bookmarkStart w:id="22" w:name="_Toc152229589"/>
      <w:r>
        <w:rPr>
          <w:rFonts w:hint="eastAsia" w:asciiTheme="minorEastAsia" w:hAnsiTheme="minorEastAsia" w:eastAsiaTheme="minorEastAsia"/>
          <w:color w:val="auto"/>
          <w:sz w:val="24"/>
          <w:szCs w:val="24"/>
          <w:highlight w:val="none"/>
          <w:lang w:val="en-US" w:eastAsia="zh-CN"/>
        </w:rPr>
        <w:t>2.3.1.1</w:t>
      </w:r>
      <w:r>
        <w:rPr>
          <w:rFonts w:asciiTheme="minorEastAsia" w:hAnsiTheme="minorEastAsia" w:eastAsiaTheme="minorEastAsia"/>
          <w:color w:val="auto"/>
          <w:sz w:val="24"/>
          <w:szCs w:val="24"/>
          <w:highlight w:val="none"/>
        </w:rPr>
        <w:t>文件预处理功能</w:t>
      </w:r>
      <w:bookmarkEnd w:id="20"/>
    </w:p>
    <w:p w14:paraId="63F04AC9">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在智能媒体处理业务流程中，需要对图片或视频素材进行预处理，处理成算法模型所需的输入格式，再进入下一步的智能分析。智能中台需要支持标准化素材预处理流程，用户只需按照智能能力接口协议规定输入即可。</w:t>
      </w:r>
    </w:p>
    <w:p w14:paraId="5D08E137">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智能中台接受图像、音频文件、视音频流及虚拟素材等类型的输入，对于视频素材根据需求进行抽帧处理，对于图片素材或视频帧进行重采样、裁切、缩放、色彩空间转换、表格化操作等一系列预处理，消除素材中无关的信息,恢复有用的真实信息,增强有关信息的可检测性，再进入智能处理阶段，支持的媒体文件格式要求包括以下：</w:t>
      </w:r>
    </w:p>
    <w:p w14:paraId="757C7158">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流：rtmp、 ts、 mp4格式的信号流。</w:t>
      </w:r>
    </w:p>
    <w:p w14:paraId="7BA79C9B">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图片：jpg、bmp、png、jpeg、tif。</w:t>
      </w:r>
    </w:p>
    <w:p w14:paraId="2BFED78B">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音频：MP3、MP4（AAC音频）、wav。</w:t>
      </w:r>
    </w:p>
    <w:p w14:paraId="0EA4807A">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视频：mxf、MP4、avi、mov、mpg、flv、f4v、3gp、rm、gxf(幅面：SD、 HD、 4k、 uhd 4K； 帧率：25P、 50i 、59.94i、 29.97P)</w:t>
      </w:r>
      <w:r>
        <w:rPr>
          <w:rFonts w:asciiTheme="minorEastAsia" w:hAnsiTheme="minorEastAsia"/>
          <w:color w:val="auto"/>
          <w:sz w:val="22"/>
          <w:szCs w:val="22"/>
          <w:highlight w:val="none"/>
        </w:rPr>
        <w:t xml:space="preserve"> </w:t>
      </w:r>
    </w:p>
    <w:p w14:paraId="0259D6DF">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23" w:name="_Toc173361650"/>
      <w:r>
        <w:rPr>
          <w:rFonts w:hint="eastAsia" w:asciiTheme="minorEastAsia" w:hAnsiTheme="minorEastAsia" w:eastAsiaTheme="minorEastAsia"/>
          <w:color w:val="auto"/>
          <w:sz w:val="24"/>
          <w:szCs w:val="24"/>
          <w:highlight w:val="none"/>
          <w:lang w:val="en-US" w:eastAsia="zh-CN"/>
        </w:rPr>
        <w:t>2.3.1.2</w:t>
      </w:r>
      <w:r>
        <w:rPr>
          <w:rFonts w:asciiTheme="minorEastAsia" w:hAnsiTheme="minorEastAsia" w:eastAsiaTheme="minorEastAsia"/>
          <w:color w:val="auto"/>
          <w:sz w:val="24"/>
          <w:szCs w:val="24"/>
          <w:highlight w:val="none"/>
        </w:rPr>
        <w:t>资源监控与算力管理</w:t>
      </w:r>
      <w:bookmarkEnd w:id="23"/>
    </w:p>
    <w:p w14:paraId="5B7CDDB6">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资源监控需要可实现总量资源使用情况、节点资源的使用情况以及原子能力的显存使用情况的监控，可根据资源的监控来判断服务是否有异常、资源是否足够。</w:t>
      </w:r>
    </w:p>
    <w:p w14:paraId="32C158A8">
      <w:pPr>
        <w:pStyle w:val="19"/>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right="0" w:firstLine="440" w:firstLineChars="200"/>
        <w:textAlignment w:val="auto"/>
        <w:rPr>
          <w:color w:val="auto"/>
          <w:sz w:val="22"/>
          <w:szCs w:val="28"/>
          <w:highlight w:val="none"/>
        </w:rPr>
      </w:pPr>
      <w:r>
        <w:rPr>
          <w:rFonts w:hint="eastAsia"/>
          <w:color w:val="auto"/>
          <w:sz w:val="22"/>
          <w:szCs w:val="28"/>
          <w:highlight w:val="none"/>
        </w:rPr>
        <w:t>总量资源使用情况监控，显示资源总量、已使用量及使用率。</w:t>
      </w:r>
    </w:p>
    <w:p w14:paraId="53E6CFDF">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CPU使用率：百分比显示当前CPU使用率，环形图。</w:t>
      </w:r>
    </w:p>
    <w:p w14:paraId="28F754E7">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内存使用率：百分比显示当前内存使用率，环形图。</w:t>
      </w:r>
    </w:p>
    <w:p w14:paraId="395A2013">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显存使用率：百分比显示当前显存使用率，环形图。</w:t>
      </w:r>
    </w:p>
    <w:p w14:paraId="01A6C225">
      <w:pPr>
        <w:pStyle w:val="19"/>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right="0" w:firstLine="440" w:firstLineChars="200"/>
        <w:textAlignment w:val="auto"/>
        <w:rPr>
          <w:color w:val="auto"/>
          <w:sz w:val="22"/>
          <w:szCs w:val="28"/>
          <w:highlight w:val="none"/>
        </w:rPr>
      </w:pPr>
      <w:r>
        <w:rPr>
          <w:rFonts w:hint="eastAsia"/>
          <w:color w:val="auto"/>
          <w:sz w:val="22"/>
          <w:szCs w:val="28"/>
          <w:highlight w:val="none"/>
        </w:rPr>
        <w:t>节点资源使用情况监控，显示节点资源总量、已使用量及使用率。</w:t>
      </w:r>
    </w:p>
    <w:p w14:paraId="7587816E">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CPU使用率：百分比显示当前CPU余量，环形图。</w:t>
      </w:r>
    </w:p>
    <w:p w14:paraId="41EC1132">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内存使用率：百分比显示当前内存余量，环形图。</w:t>
      </w:r>
    </w:p>
    <w:p w14:paraId="7D14C2D5">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显存余量监控：百分比显示当前显存余量，环形图。</w:t>
      </w:r>
    </w:p>
    <w:p w14:paraId="3AEE84DF">
      <w:pPr>
        <w:pStyle w:val="19"/>
        <w:keepNext w:val="0"/>
        <w:keepLines w:val="0"/>
        <w:pageBreakBefore w:val="0"/>
        <w:widowControl w:val="0"/>
        <w:numPr>
          <w:ilvl w:val="1"/>
          <w:numId w:val="8"/>
        </w:numPr>
        <w:kinsoku/>
        <w:wordWrap/>
        <w:overflowPunct/>
        <w:topLinePunct w:val="0"/>
        <w:autoSpaceDE/>
        <w:autoSpaceDN/>
        <w:bidi w:val="0"/>
        <w:adjustRightInd/>
        <w:snapToGrid/>
        <w:spacing w:line="480" w:lineRule="exact"/>
        <w:ind w:left="420" w:leftChars="0" w:right="0" w:firstLine="0"/>
        <w:textAlignment w:val="auto"/>
        <w:rPr>
          <w:color w:val="auto"/>
          <w:sz w:val="22"/>
          <w:szCs w:val="28"/>
          <w:highlight w:val="none"/>
        </w:rPr>
      </w:pPr>
      <w:r>
        <w:rPr>
          <w:rFonts w:hint="eastAsia"/>
          <w:color w:val="auto"/>
          <w:sz w:val="22"/>
          <w:szCs w:val="28"/>
          <w:highlight w:val="none"/>
        </w:rPr>
        <w:t>算力精细化管理</w:t>
      </w:r>
    </w:p>
    <w:p w14:paraId="2DCF0BA1">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color w:val="auto"/>
          <w:sz w:val="22"/>
          <w:szCs w:val="28"/>
          <w:highlight w:val="none"/>
        </w:rPr>
      </w:pPr>
      <w:r>
        <w:rPr>
          <w:rFonts w:hint="eastAsia" w:ascii="宋体" w:hAnsi="宋体"/>
          <w:color w:val="auto"/>
          <w:sz w:val="22"/>
          <w:szCs w:val="28"/>
          <w:highlight w:val="none"/>
        </w:rPr>
        <w:t>智能中台可对每一个原子能力的资源占用情况进行精确的度量，以实现算力的精细化管理，最大化利用GPU算力，并提供算力使用情况监控</w:t>
      </w:r>
      <w:r>
        <w:rPr>
          <w:rFonts w:ascii="宋体" w:hAnsi="宋体"/>
          <w:color w:val="auto"/>
          <w:sz w:val="22"/>
          <w:szCs w:val="28"/>
          <w:highlight w:val="none"/>
        </w:rPr>
        <w:t>；</w:t>
      </w:r>
    </w:p>
    <w:p w14:paraId="25A4344F">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24" w:name="_Toc173361651"/>
      <w:r>
        <w:rPr>
          <w:rFonts w:hint="eastAsia" w:asciiTheme="minorEastAsia" w:hAnsiTheme="minorEastAsia" w:eastAsiaTheme="minorEastAsia"/>
          <w:color w:val="auto"/>
          <w:sz w:val="24"/>
          <w:szCs w:val="24"/>
          <w:highlight w:val="none"/>
          <w:lang w:val="en-US" w:eastAsia="zh-CN"/>
        </w:rPr>
        <w:t>2.3.1.3</w:t>
      </w:r>
      <w:r>
        <w:rPr>
          <w:rFonts w:asciiTheme="minorEastAsia" w:hAnsiTheme="minorEastAsia" w:eastAsiaTheme="minorEastAsia"/>
          <w:color w:val="auto"/>
          <w:sz w:val="24"/>
          <w:szCs w:val="24"/>
          <w:highlight w:val="none"/>
        </w:rPr>
        <w:t>资源弹性伸缩能力</w:t>
      </w:r>
      <w:bookmarkEnd w:id="24"/>
    </w:p>
    <w:p w14:paraId="0134E1FF">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平台需要实现根据任务负载情况和资源情况来完成算法微服务的弹性伸缩。可提前定义好每个原子能力所需资源（CPU核数、内存、显存）。综合评估智能能力调度以及使用显存资源的状况，制定最优的扩缩原则，将智能能力部署到合理的机器，并可精确的终止空闲或不可用的智能能力服务。</w:t>
      </w:r>
    </w:p>
    <w:p w14:paraId="0CFDC530">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初始化阶段，系统可根据业务情况部署基线原子能力组合（每个原子能力分别部署1个），该基线原子能力组合能够支持单条以及复合任务的执行；</w:t>
      </w:r>
    </w:p>
    <w:p w14:paraId="568A5C02">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系统运行期间，系统需要能够依据当前时刻某种类型的任务累积数量和各资源计算节点的资源剩余情况，来进行微服务的自动扩张，反之当任务逐步执行成功，累积的任务数减少到水准线以下，所占用的资源逐步释放，微服务进而自动收缩成初始化状态，以达到微服务与资源量的最佳匹配度，最大限度地提高资源的使用率；</w:t>
      </w:r>
    </w:p>
    <w:p w14:paraId="04D4E925">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25" w:name="_Toc173361652"/>
      <w:r>
        <w:rPr>
          <w:rFonts w:hint="eastAsia" w:asciiTheme="minorEastAsia" w:hAnsiTheme="minorEastAsia" w:eastAsiaTheme="minorEastAsia"/>
          <w:color w:val="auto"/>
          <w:sz w:val="24"/>
          <w:szCs w:val="22"/>
          <w:highlight w:val="none"/>
          <w:u w:val="none"/>
          <w:lang w:val="en-US" w:eastAsia="zh-CN"/>
        </w:rPr>
        <w:t>2.3.2</w:t>
      </w:r>
      <w:r>
        <w:rPr>
          <w:rFonts w:hint="eastAsia" w:asciiTheme="minorEastAsia" w:hAnsiTheme="minorEastAsia" w:eastAsiaTheme="minorEastAsia"/>
          <w:color w:val="auto"/>
          <w:sz w:val="24"/>
          <w:szCs w:val="22"/>
          <w:highlight w:val="none"/>
          <w:u w:val="none"/>
        </w:rPr>
        <w:t>智能原子能力</w:t>
      </w:r>
      <w:bookmarkEnd w:id="25"/>
    </w:p>
    <w:bookmarkEnd w:id="21"/>
    <w:bookmarkEnd w:id="22"/>
    <w:p w14:paraId="40590AE2">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26" w:name="_Toc77151002"/>
      <w:bookmarkStart w:id="27" w:name="_Toc76135919"/>
      <w:bookmarkStart w:id="28" w:name="_Toc173361653"/>
      <w:r>
        <w:rPr>
          <w:rFonts w:hint="eastAsia" w:asciiTheme="minorEastAsia" w:hAnsiTheme="minorEastAsia" w:eastAsiaTheme="minorEastAsia"/>
          <w:color w:val="auto"/>
          <w:sz w:val="24"/>
          <w:szCs w:val="24"/>
          <w:highlight w:val="none"/>
          <w:lang w:val="en-US" w:eastAsia="zh-CN"/>
        </w:rPr>
        <w:t>2.3.2.1</w:t>
      </w:r>
      <w:r>
        <w:rPr>
          <w:rFonts w:hint="eastAsia" w:asciiTheme="minorEastAsia" w:hAnsiTheme="minorEastAsia" w:eastAsiaTheme="minorEastAsia"/>
          <w:color w:val="auto"/>
          <w:sz w:val="24"/>
          <w:szCs w:val="24"/>
          <w:highlight w:val="none"/>
        </w:rPr>
        <w:t>语音识别</w:t>
      </w:r>
      <w:bookmarkEnd w:id="26"/>
      <w:bookmarkEnd w:id="27"/>
      <w:r>
        <w:rPr>
          <w:rFonts w:hint="eastAsia" w:asciiTheme="minorEastAsia" w:hAnsiTheme="minorEastAsia" w:eastAsiaTheme="minorEastAsia"/>
          <w:color w:val="auto"/>
          <w:sz w:val="24"/>
          <w:szCs w:val="24"/>
          <w:highlight w:val="none"/>
        </w:rPr>
        <w:t>引擎</w:t>
      </w:r>
      <w:bookmarkEnd w:id="28"/>
    </w:p>
    <w:p w14:paraId="61961894">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语音识别系统实现对音视频</w:t>
      </w:r>
      <w:r>
        <w:rPr>
          <w:rFonts w:cs="Times New Roman" w:asciiTheme="minorEastAsia" w:hAnsiTheme="minorEastAsia"/>
          <w:color w:val="auto"/>
          <w:kern w:val="44"/>
          <w:sz w:val="22"/>
          <w:szCs w:val="21"/>
          <w:highlight w:val="none"/>
        </w:rPr>
        <w:t>素材进行预处理，</w:t>
      </w:r>
      <w:r>
        <w:rPr>
          <w:rFonts w:hint="eastAsia" w:cs="Times New Roman" w:asciiTheme="minorEastAsia" w:hAnsiTheme="minorEastAsia"/>
          <w:color w:val="auto"/>
          <w:kern w:val="44"/>
          <w:sz w:val="22"/>
          <w:szCs w:val="21"/>
          <w:highlight w:val="none"/>
        </w:rPr>
        <w:t>识别出其包含的语音（普通话），将语音信息转换成文本，用于后续浏览、检索时使用。</w:t>
      </w:r>
    </w:p>
    <w:p w14:paraId="34927BF6">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要求具备良好的抗噪性：在语音识别的过程中要求具备抗噪性、鉴别性、互补性的特征参数；</w:t>
      </w:r>
    </w:p>
    <w:p w14:paraId="43C1316A">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将素材的语音识别并转换为文字，生成文本内容，用于后续的元数据检索和大数据分析；</w:t>
      </w:r>
    </w:p>
    <w:p w14:paraId="45027F18">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能够对输入的音频流进行分析，将语音信号中的语音和非语音信号时段区分开；</w:t>
      </w:r>
    </w:p>
    <w:p w14:paraId="16F5BC65">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对日常使用的常用对话要有着很高的识别准确率，同时对包含时政，工业，农业，经济，生活，交通，教育，医疗，法制，艺术，军事，科技，体育等在内的领域也要有较高的识别率；</w:t>
      </w:r>
    </w:p>
    <w:p w14:paraId="33C6E248">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支持主流的视频封装格式：AVI、MP4、TS、MPG、WMV、MPEG、MKV、MOV等；</w:t>
      </w:r>
    </w:p>
    <w:p w14:paraId="1ACFDAA5">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要求支持主流的音频文件格式：WAV、MP3、WMA、AMR等；</w:t>
      </w:r>
    </w:p>
    <w:p w14:paraId="4C560DEF">
      <w:pPr>
        <w:pStyle w:val="2"/>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要求语音识别引擎本地部署，永久使用；</w:t>
      </w:r>
    </w:p>
    <w:p w14:paraId="452CDCFD">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29" w:name="_Toc77151003"/>
      <w:bookmarkStart w:id="30" w:name="_Toc76135920"/>
      <w:bookmarkStart w:id="31" w:name="_Toc173361654"/>
      <w:r>
        <w:rPr>
          <w:rFonts w:hint="eastAsia" w:asciiTheme="minorEastAsia" w:hAnsiTheme="minorEastAsia" w:eastAsiaTheme="minorEastAsia"/>
          <w:color w:val="auto"/>
          <w:sz w:val="24"/>
          <w:szCs w:val="24"/>
          <w:highlight w:val="none"/>
          <w:lang w:val="en-US" w:eastAsia="zh-CN"/>
        </w:rPr>
        <w:t>2.3.2.2</w:t>
      </w:r>
      <w:r>
        <w:rPr>
          <w:rFonts w:hint="eastAsia" w:asciiTheme="minorEastAsia" w:hAnsiTheme="minorEastAsia" w:eastAsiaTheme="minorEastAsia"/>
          <w:color w:val="auto"/>
          <w:sz w:val="24"/>
          <w:szCs w:val="24"/>
          <w:highlight w:val="none"/>
        </w:rPr>
        <w:t>字幕识别</w:t>
      </w:r>
      <w:bookmarkEnd w:id="29"/>
      <w:bookmarkEnd w:id="30"/>
      <w:r>
        <w:rPr>
          <w:rFonts w:hint="eastAsia" w:asciiTheme="minorEastAsia" w:hAnsiTheme="minorEastAsia" w:eastAsiaTheme="minorEastAsia"/>
          <w:color w:val="auto"/>
          <w:sz w:val="24"/>
          <w:szCs w:val="24"/>
          <w:highlight w:val="none"/>
        </w:rPr>
        <w:t>引擎</w:t>
      </w:r>
      <w:bookmarkEnd w:id="31"/>
    </w:p>
    <w:p w14:paraId="1BBE91EB">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1"/>
          <w:highlight w:val="none"/>
        </w:rPr>
      </w:pPr>
      <w:r>
        <w:rPr>
          <w:rFonts w:hint="eastAsia" w:cs="Times New Roman" w:asciiTheme="minorEastAsia" w:hAnsiTheme="minorEastAsia"/>
          <w:color w:val="auto"/>
          <w:kern w:val="44"/>
          <w:sz w:val="22"/>
          <w:szCs w:val="21"/>
          <w:highlight w:val="none"/>
        </w:rPr>
        <w:t>字幕（</w:t>
      </w:r>
      <w:r>
        <w:rPr>
          <w:rFonts w:cs="Times New Roman" w:asciiTheme="minorEastAsia" w:hAnsiTheme="minorEastAsia"/>
          <w:color w:val="auto"/>
          <w:kern w:val="44"/>
          <w:sz w:val="22"/>
          <w:szCs w:val="21"/>
          <w:highlight w:val="none"/>
        </w:rPr>
        <w:t>OCR</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识别主要包括文本检测和文字识别，将</w:t>
      </w:r>
      <w:r>
        <w:rPr>
          <w:rFonts w:hint="eastAsia" w:cs="Times New Roman" w:asciiTheme="minorEastAsia" w:hAnsiTheme="minorEastAsia"/>
          <w:color w:val="auto"/>
          <w:kern w:val="44"/>
          <w:sz w:val="22"/>
          <w:szCs w:val="21"/>
          <w:highlight w:val="none"/>
        </w:rPr>
        <w:t>视频、</w:t>
      </w:r>
      <w:r>
        <w:rPr>
          <w:rFonts w:cs="Times New Roman" w:asciiTheme="minorEastAsia" w:hAnsiTheme="minorEastAsia"/>
          <w:color w:val="auto"/>
          <w:kern w:val="44"/>
          <w:sz w:val="22"/>
          <w:szCs w:val="21"/>
          <w:highlight w:val="none"/>
        </w:rPr>
        <w:t>图片上的文字内容，识别为可编辑的文本</w:t>
      </w:r>
      <w:r>
        <w:rPr>
          <w:rFonts w:hint="eastAsia" w:asciiTheme="minorEastAsia" w:hAnsiTheme="minorEastAsia"/>
          <w:color w:val="auto"/>
          <w:sz w:val="22"/>
          <w:szCs w:val="21"/>
          <w:highlight w:val="none"/>
        </w:rPr>
        <w:t>，具体要求如下：</w:t>
      </w:r>
    </w:p>
    <w:p w14:paraId="656C8476">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w:t>
      </w:r>
      <w:r>
        <w:rPr>
          <w:rFonts w:asciiTheme="minorEastAsia" w:hAnsiTheme="minorEastAsia"/>
          <w:color w:val="auto"/>
          <w:sz w:val="22"/>
          <w:szCs w:val="22"/>
          <w:highlight w:val="none"/>
        </w:rPr>
        <w:t>对PNG，JPEG，BMP等图片格式进行文字识别。</w:t>
      </w:r>
    </w:p>
    <w:p w14:paraId="293EA47F">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w:t>
      </w:r>
      <w:r>
        <w:rPr>
          <w:rFonts w:asciiTheme="minorEastAsia" w:hAnsiTheme="minorEastAsia"/>
          <w:color w:val="auto"/>
          <w:sz w:val="22"/>
          <w:szCs w:val="22"/>
          <w:highlight w:val="none"/>
        </w:rPr>
        <w:t>对MP4，MXF，AVI等视频格式进行文字识别。</w:t>
      </w:r>
    </w:p>
    <w:p w14:paraId="7ACFE3F8">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w:t>
      </w:r>
      <w:r>
        <w:rPr>
          <w:rFonts w:asciiTheme="minorEastAsia" w:hAnsiTheme="minorEastAsia"/>
          <w:color w:val="auto"/>
          <w:sz w:val="22"/>
          <w:szCs w:val="22"/>
          <w:highlight w:val="none"/>
        </w:rPr>
        <w:t>对图片中的英文、</w:t>
      </w:r>
      <w:r>
        <w:rPr>
          <w:rFonts w:hint="eastAsia" w:asciiTheme="minorEastAsia" w:hAnsiTheme="minorEastAsia"/>
          <w:color w:val="auto"/>
          <w:sz w:val="22"/>
          <w:szCs w:val="22"/>
          <w:highlight w:val="none"/>
        </w:rPr>
        <w:t>简体</w:t>
      </w:r>
      <w:r>
        <w:rPr>
          <w:rFonts w:asciiTheme="minorEastAsia" w:hAnsiTheme="minorEastAsia"/>
          <w:color w:val="auto"/>
          <w:sz w:val="22"/>
          <w:szCs w:val="22"/>
          <w:highlight w:val="none"/>
        </w:rPr>
        <w:t>中文进行识别。</w:t>
      </w:r>
    </w:p>
    <w:p w14:paraId="71F25491">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w:t>
      </w:r>
      <w:r>
        <w:rPr>
          <w:rFonts w:asciiTheme="minorEastAsia" w:hAnsiTheme="minorEastAsia"/>
          <w:color w:val="auto"/>
          <w:sz w:val="22"/>
          <w:szCs w:val="22"/>
          <w:highlight w:val="none"/>
        </w:rPr>
        <w:t>获取识别字符在图片中的位置、大小信息</w:t>
      </w:r>
      <w:r>
        <w:rPr>
          <w:rFonts w:hint="eastAsia" w:asciiTheme="minorEastAsia" w:hAnsiTheme="minorEastAsia"/>
          <w:color w:val="auto"/>
          <w:sz w:val="22"/>
          <w:szCs w:val="22"/>
          <w:highlight w:val="none"/>
        </w:rPr>
        <w:t>以及文字对应的时间点</w:t>
      </w:r>
      <w:r>
        <w:rPr>
          <w:rFonts w:asciiTheme="minorEastAsia" w:hAnsiTheme="minorEastAsia"/>
          <w:color w:val="auto"/>
          <w:sz w:val="22"/>
          <w:szCs w:val="22"/>
          <w:highlight w:val="none"/>
        </w:rPr>
        <w:t>。</w:t>
      </w:r>
    </w:p>
    <w:p w14:paraId="7C616D59">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w:t>
      </w:r>
      <w:r>
        <w:rPr>
          <w:rFonts w:asciiTheme="minorEastAsia" w:hAnsiTheme="minorEastAsia"/>
          <w:color w:val="auto"/>
          <w:sz w:val="22"/>
          <w:szCs w:val="22"/>
          <w:highlight w:val="none"/>
        </w:rPr>
        <w:t>对指定区域的文字进行识别。</w:t>
      </w:r>
    </w:p>
    <w:p w14:paraId="7F33A379">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要求识别出的文本要求时码对齐，可快速跳转定位；</w:t>
      </w:r>
    </w:p>
    <w:p w14:paraId="48580862">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支持对识别出的字幕文本进行检索；</w:t>
      </w:r>
    </w:p>
    <w:p w14:paraId="2703992B">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提供开发接口</w:t>
      </w:r>
      <w:r>
        <w:rPr>
          <w:rFonts w:asciiTheme="minorEastAsia" w:hAnsiTheme="minorEastAsia"/>
          <w:color w:val="auto"/>
          <w:sz w:val="22"/>
          <w:szCs w:val="22"/>
          <w:highlight w:val="none"/>
        </w:rPr>
        <w:t>，提供REST的API的支持</w:t>
      </w:r>
      <w:r>
        <w:rPr>
          <w:rFonts w:hint="eastAsia" w:asciiTheme="minorEastAsia" w:hAnsiTheme="minorEastAsia"/>
          <w:color w:val="auto"/>
          <w:sz w:val="22"/>
          <w:szCs w:val="22"/>
          <w:highlight w:val="none"/>
        </w:rPr>
        <w:t>；</w:t>
      </w:r>
    </w:p>
    <w:p w14:paraId="4D196E0A">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系统应具备对视频画面中“滚动字幕”和“标题字幕”提取的能力；</w:t>
      </w:r>
    </w:p>
    <w:p w14:paraId="4CE50B06">
      <w:pPr>
        <w:pStyle w:val="2"/>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要求字幕识别引擎本地部署，永久使用；</w:t>
      </w:r>
    </w:p>
    <w:p w14:paraId="7B53C8A7">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32" w:name="_Toc77151004"/>
      <w:bookmarkStart w:id="33" w:name="_Toc76135921"/>
      <w:bookmarkStart w:id="34" w:name="_Toc173361655"/>
      <w:r>
        <w:rPr>
          <w:rFonts w:hint="eastAsia" w:asciiTheme="minorEastAsia" w:hAnsiTheme="minorEastAsia" w:eastAsiaTheme="minorEastAsia"/>
          <w:color w:val="auto"/>
          <w:sz w:val="24"/>
          <w:szCs w:val="24"/>
          <w:highlight w:val="none"/>
          <w:lang w:val="en-US" w:eastAsia="zh-CN"/>
        </w:rPr>
        <w:t>2.3.2.3</w:t>
      </w:r>
      <w:r>
        <w:rPr>
          <w:rFonts w:hint="eastAsia" w:asciiTheme="minorEastAsia" w:hAnsiTheme="minorEastAsia" w:eastAsiaTheme="minorEastAsia"/>
          <w:color w:val="auto"/>
          <w:sz w:val="24"/>
          <w:szCs w:val="24"/>
          <w:highlight w:val="none"/>
        </w:rPr>
        <w:t>人脸识别</w:t>
      </w:r>
      <w:bookmarkEnd w:id="32"/>
      <w:bookmarkEnd w:id="33"/>
      <w:r>
        <w:rPr>
          <w:rFonts w:hint="eastAsia" w:asciiTheme="minorEastAsia" w:hAnsiTheme="minorEastAsia" w:eastAsiaTheme="minorEastAsia"/>
          <w:color w:val="auto"/>
          <w:sz w:val="24"/>
          <w:szCs w:val="24"/>
          <w:highlight w:val="none"/>
        </w:rPr>
        <w:t>引擎</w:t>
      </w:r>
      <w:bookmarkEnd w:id="34"/>
    </w:p>
    <w:p w14:paraId="141F3F3E">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人脸识别功能</w:t>
      </w:r>
      <w:r>
        <w:rPr>
          <w:rFonts w:hint="eastAsia" w:asciiTheme="minorEastAsia" w:hAnsiTheme="minorEastAsia"/>
          <w:color w:val="auto"/>
          <w:sz w:val="22"/>
          <w:szCs w:val="22"/>
          <w:highlight w:val="none"/>
        </w:rPr>
        <w:t>是</w:t>
      </w:r>
      <w:r>
        <w:rPr>
          <w:rFonts w:asciiTheme="minorEastAsia" w:hAnsiTheme="minorEastAsia"/>
          <w:color w:val="auto"/>
          <w:sz w:val="22"/>
          <w:szCs w:val="22"/>
          <w:highlight w:val="none"/>
        </w:rPr>
        <w:t>采用深度卷积神经网络（CNN）为核心的人脸识别算法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整合了基于CNN的人脸检测、关键点检测、对齐、特征提取算法作为人脸特征提取流水线。</w:t>
      </w:r>
    </w:p>
    <w:p w14:paraId="14AEC5E5">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w:t>
      </w:r>
      <w:r>
        <w:rPr>
          <w:rFonts w:asciiTheme="minorEastAsia" w:hAnsiTheme="minorEastAsia"/>
          <w:color w:val="auto"/>
          <w:sz w:val="22"/>
          <w:szCs w:val="22"/>
          <w:highlight w:val="none"/>
        </w:rPr>
        <w:t>针对特定人物采用卷积神经网络进行深度学习建立人脸特征模型，可自动识别视频画面中所有人脸的五官及轮廓位置</w:t>
      </w:r>
      <w:r>
        <w:rPr>
          <w:rFonts w:hint="eastAsia" w:asciiTheme="minorEastAsia" w:hAnsiTheme="minorEastAsia"/>
          <w:color w:val="auto"/>
          <w:sz w:val="22"/>
          <w:szCs w:val="22"/>
          <w:highlight w:val="none"/>
        </w:rPr>
        <w:t>，具体要求如下：</w:t>
      </w:r>
    </w:p>
    <w:p w14:paraId="0A50FD0E">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可自动识别视频画面中所有人脸的五官及轮廓位置，返回人物名称、人脸位置信息、人脸表情、视频人脸出现的时间区间；</w:t>
      </w:r>
    </w:p>
    <w:p w14:paraId="1E6F688A">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要求能在人脸水平偏转角度0</w:t>
      </w:r>
      <w:r>
        <w:rPr>
          <w:rFonts w:asciiTheme="minorEastAsia" w:hAnsiTheme="minorEastAsia"/>
          <w:color w:val="auto"/>
          <w:sz w:val="22"/>
          <w:szCs w:val="22"/>
          <w:highlight w:val="none"/>
        </w:rPr>
        <w:t>-60</w:t>
      </w:r>
      <w:r>
        <w:rPr>
          <w:rFonts w:hint="eastAsia" w:asciiTheme="minorEastAsia" w:hAnsiTheme="minorEastAsia"/>
          <w:color w:val="auto"/>
          <w:sz w:val="22"/>
          <w:szCs w:val="22"/>
          <w:highlight w:val="none"/>
        </w:rPr>
        <w:t>°范围内进行识别；</w:t>
      </w:r>
    </w:p>
    <w:p w14:paraId="3DD1D35F">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要求自定义人物库，支持对人物库中的人脸进行管理；</w:t>
      </w:r>
    </w:p>
    <w:p w14:paraId="771D844A">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提供预置最新日期的人脸库，包含劣迹艺人库，敏感人物库，落马官员库等，并支持手动更新；</w:t>
      </w:r>
    </w:p>
    <w:p w14:paraId="48A8742B">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
          <w:bCs/>
          <w:color w:val="auto"/>
          <w:sz w:val="22"/>
          <w:szCs w:val="22"/>
          <w:highlight w:val="none"/>
        </w:rPr>
      </w:pPr>
      <w:r>
        <w:rPr>
          <w:rFonts w:hint="eastAsia" w:ascii="宋体" w:hAnsi="宋体" w:eastAsia="宋体" w:cs="宋体"/>
          <w:b/>
          <w:bCs/>
          <w:color w:val="auto"/>
          <w:sz w:val="22"/>
          <w:szCs w:val="22"/>
          <w:highlight w:val="none"/>
        </w:rPr>
        <w:t>▲</w:t>
      </w:r>
      <w:r>
        <w:rPr>
          <w:rFonts w:hint="eastAsia"/>
          <w:b/>
          <w:bCs/>
          <w:color w:val="auto"/>
          <w:sz w:val="22"/>
          <w:szCs w:val="21"/>
          <w:highlight w:val="none"/>
        </w:rPr>
        <w:t>要求</w:t>
      </w:r>
      <w:r>
        <w:rPr>
          <w:rFonts w:hint="eastAsia"/>
          <w:b/>
          <w:bCs/>
          <w:color w:val="auto"/>
          <w:sz w:val="22"/>
          <w:szCs w:val="21"/>
          <w:highlight w:val="none"/>
          <w:lang w:val="en-US" w:eastAsia="zh-CN"/>
        </w:rPr>
        <w:t>该产品</w:t>
      </w:r>
      <w:r>
        <w:rPr>
          <w:rFonts w:hint="eastAsia"/>
          <w:b/>
          <w:bCs/>
          <w:color w:val="auto"/>
          <w:sz w:val="22"/>
          <w:szCs w:val="21"/>
          <w:highlight w:val="none"/>
        </w:rPr>
        <w:t>支持对视频中的所有人脸（含未知人脸）进行识别和标识，支持将未知人脸更新为已知人脸，支持对识别出的人脸结果进行自动汇聚并准确定位</w:t>
      </w:r>
      <w:r>
        <w:rPr>
          <w:rFonts w:hint="eastAsia" w:cs="Times New Roman" w:asciiTheme="minorEastAsia" w:hAnsiTheme="minorEastAsia"/>
          <w:b/>
          <w:bCs/>
          <w:color w:val="auto"/>
          <w:kern w:val="44"/>
          <w:sz w:val="22"/>
          <w:szCs w:val="21"/>
          <w:highlight w:val="none"/>
        </w:rPr>
        <w:t>，此功能要求提供</w:t>
      </w:r>
      <w:r>
        <w:rPr>
          <w:rFonts w:hint="eastAsia" w:cs="Times New Roman" w:asciiTheme="minorEastAsia" w:hAnsiTheme="minorEastAsia"/>
          <w:b/>
          <w:bCs/>
          <w:color w:val="auto"/>
          <w:kern w:val="44"/>
          <w:sz w:val="22"/>
          <w:szCs w:val="21"/>
          <w:highlight w:val="none"/>
          <w:lang w:val="en-US" w:eastAsia="zh-CN"/>
        </w:rPr>
        <w:t>有效的</w:t>
      </w:r>
      <w:r>
        <w:rPr>
          <w:rFonts w:hint="eastAsia" w:cs="Times New Roman" w:asciiTheme="minorEastAsia" w:hAnsiTheme="minorEastAsia"/>
          <w:b/>
          <w:bCs/>
          <w:color w:val="auto"/>
          <w:kern w:val="44"/>
          <w:sz w:val="22"/>
          <w:szCs w:val="21"/>
          <w:highlight w:val="none"/>
        </w:rPr>
        <w:t>检测报告</w:t>
      </w:r>
      <w:r>
        <w:rPr>
          <w:rFonts w:hint="eastAsia"/>
          <w:b/>
          <w:bCs w:val="0"/>
          <w:color w:val="auto"/>
          <w:sz w:val="22"/>
          <w:szCs w:val="21"/>
          <w:highlight w:val="none"/>
          <w:lang w:val="en-US" w:eastAsia="zh-CN"/>
        </w:rPr>
        <w:t>复印件</w:t>
      </w:r>
      <w:r>
        <w:rPr>
          <w:rFonts w:hint="eastAsia" w:cs="Times New Roman" w:asciiTheme="minorEastAsia" w:hAnsiTheme="minorEastAsia"/>
          <w:b/>
          <w:bCs/>
          <w:color w:val="auto"/>
          <w:kern w:val="44"/>
          <w:sz w:val="22"/>
          <w:szCs w:val="21"/>
          <w:highlight w:val="none"/>
        </w:rPr>
        <w:t>和产品功能截图</w:t>
      </w:r>
      <w:r>
        <w:rPr>
          <w:rFonts w:hint="eastAsia" w:cs="Times New Roman" w:asciiTheme="minorEastAsia" w:hAnsiTheme="minorEastAsia"/>
          <w:b/>
          <w:bCs/>
          <w:color w:val="auto"/>
          <w:kern w:val="44"/>
          <w:sz w:val="22"/>
          <w:szCs w:val="21"/>
          <w:highlight w:val="none"/>
          <w:lang w:val="en-US" w:eastAsia="zh-CN"/>
        </w:rPr>
        <w:t>打印件</w:t>
      </w:r>
      <w:r>
        <w:rPr>
          <w:rFonts w:hint="eastAsia" w:cs="Times New Roman" w:asciiTheme="minorEastAsia" w:hAnsiTheme="minorEastAsia"/>
          <w:b/>
          <w:bCs/>
          <w:color w:val="auto"/>
          <w:kern w:val="44"/>
          <w:sz w:val="22"/>
          <w:szCs w:val="21"/>
          <w:highlight w:val="none"/>
        </w:rPr>
        <w:t>证明</w:t>
      </w:r>
      <w:r>
        <w:rPr>
          <w:rFonts w:hint="eastAsia" w:cs="Times New Roman" w:asciiTheme="minorEastAsia" w:hAnsiTheme="minorEastAsia"/>
          <w:b/>
          <w:bCs/>
          <w:color w:val="auto"/>
          <w:kern w:val="44"/>
          <w:sz w:val="22"/>
          <w:szCs w:val="21"/>
          <w:highlight w:val="none"/>
          <w:lang w:val="en-US" w:eastAsia="zh-CN"/>
        </w:rPr>
        <w:t>材料</w:t>
      </w:r>
      <w:r>
        <w:rPr>
          <w:rFonts w:hint="eastAsia"/>
          <w:b/>
          <w:bCs w:val="0"/>
          <w:color w:val="auto"/>
          <w:sz w:val="22"/>
          <w:szCs w:val="21"/>
          <w:highlight w:val="none"/>
          <w:lang w:val="en-US" w:eastAsia="zh-CN"/>
        </w:rPr>
        <w:t>并加盖供应商公章</w:t>
      </w:r>
      <w:r>
        <w:rPr>
          <w:rFonts w:hint="eastAsia" w:cs="Times New Roman" w:asciiTheme="minorEastAsia" w:hAnsiTheme="minorEastAsia"/>
          <w:b/>
          <w:bCs/>
          <w:color w:val="auto"/>
          <w:kern w:val="44"/>
          <w:sz w:val="22"/>
          <w:szCs w:val="21"/>
          <w:highlight w:val="none"/>
        </w:rPr>
        <w:t>；</w:t>
      </w:r>
    </w:p>
    <w:p w14:paraId="3A1A8B16">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cs="Times New Roman" w:asciiTheme="minorEastAsia" w:hAnsiTheme="minorEastAsia"/>
          <w:color w:val="auto"/>
          <w:kern w:val="44"/>
          <w:sz w:val="22"/>
          <w:szCs w:val="21"/>
          <w:highlight w:val="none"/>
        </w:rPr>
        <w:t>要求人脸库与敏感素材快速锁定，以便于能快速定位到所在帧。</w:t>
      </w:r>
    </w:p>
    <w:p w14:paraId="7F914B60">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cs="Times New Roman" w:asciiTheme="minorEastAsia" w:hAnsiTheme="minorEastAsia"/>
          <w:color w:val="auto"/>
          <w:kern w:val="44"/>
          <w:sz w:val="22"/>
          <w:szCs w:val="21"/>
          <w:highlight w:val="none"/>
        </w:rPr>
        <w:t>要求</w:t>
      </w:r>
      <w:r>
        <w:rPr>
          <w:rFonts w:hint="eastAsia" w:asciiTheme="minorEastAsia" w:hAnsiTheme="minorEastAsia"/>
          <w:color w:val="auto"/>
          <w:sz w:val="22"/>
          <w:szCs w:val="22"/>
          <w:highlight w:val="none"/>
        </w:rPr>
        <w:t>针对敏感人脸进行快读锁定，针对输入关键字，人脸图片等信息对下载节目进行快速锁定，及时锁定敏感素材。</w:t>
      </w:r>
    </w:p>
    <w:p w14:paraId="3D041DB7">
      <w:pPr>
        <w:pStyle w:val="2"/>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要求人脸识别引擎采用本地部署，永久使用；</w:t>
      </w:r>
    </w:p>
    <w:p w14:paraId="03B07BB2">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35" w:name="_Toc77151005"/>
      <w:bookmarkStart w:id="36" w:name="_Toc76135922"/>
      <w:bookmarkStart w:id="37" w:name="_Toc173361656"/>
      <w:r>
        <w:rPr>
          <w:rFonts w:hint="eastAsia" w:asciiTheme="minorEastAsia" w:hAnsiTheme="minorEastAsia" w:eastAsiaTheme="minorEastAsia"/>
          <w:color w:val="auto"/>
          <w:sz w:val="24"/>
          <w:szCs w:val="24"/>
          <w:highlight w:val="none"/>
          <w:lang w:val="en-US" w:eastAsia="zh-CN"/>
        </w:rPr>
        <w:t>2.3.2.4</w:t>
      </w:r>
      <w:r>
        <w:rPr>
          <w:rFonts w:hint="eastAsia" w:asciiTheme="minorEastAsia" w:hAnsiTheme="minorEastAsia" w:eastAsiaTheme="minorEastAsia"/>
          <w:color w:val="auto"/>
          <w:sz w:val="24"/>
          <w:szCs w:val="24"/>
          <w:highlight w:val="none"/>
        </w:rPr>
        <w:t>场景识别</w:t>
      </w:r>
      <w:bookmarkEnd w:id="35"/>
      <w:bookmarkEnd w:id="36"/>
      <w:r>
        <w:rPr>
          <w:rFonts w:hint="eastAsia" w:asciiTheme="minorEastAsia" w:hAnsiTheme="minorEastAsia" w:eastAsiaTheme="minorEastAsia"/>
          <w:color w:val="auto"/>
          <w:sz w:val="24"/>
          <w:szCs w:val="24"/>
          <w:highlight w:val="none"/>
        </w:rPr>
        <w:t>引擎</w:t>
      </w:r>
      <w:bookmarkEnd w:id="37"/>
    </w:p>
    <w:p w14:paraId="0D7343FD">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场景识别对视频画面进行识别，可快速获取其画面场景信息，提高标记效率，要求</w:t>
      </w:r>
      <w:r>
        <w:rPr>
          <w:rFonts w:asciiTheme="minorEastAsia" w:hAnsiTheme="minorEastAsia"/>
          <w:color w:val="auto"/>
          <w:sz w:val="22"/>
          <w:szCs w:val="22"/>
          <w:highlight w:val="none"/>
        </w:rPr>
        <w:t>基于深度学习及大规模图像</w:t>
      </w:r>
      <w:r>
        <w:rPr>
          <w:rFonts w:hint="eastAsia" w:asciiTheme="minorEastAsia" w:hAnsiTheme="minorEastAsia"/>
          <w:color w:val="auto"/>
          <w:sz w:val="22"/>
          <w:szCs w:val="22"/>
          <w:highlight w:val="none"/>
        </w:rPr>
        <w:t>训练，具体要求如下：</w:t>
      </w:r>
    </w:p>
    <w:p w14:paraId="3ED498E3">
      <w:pPr>
        <w:pStyle w:val="2"/>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提供场景</w:t>
      </w:r>
      <w:r>
        <w:rPr>
          <w:rFonts w:asciiTheme="minorEastAsia" w:hAnsiTheme="minorEastAsia"/>
          <w:color w:val="auto"/>
          <w:sz w:val="22"/>
          <w:szCs w:val="22"/>
          <w:highlight w:val="none"/>
        </w:rPr>
        <w:t>维度的标签输出，</w:t>
      </w:r>
      <w:r>
        <w:rPr>
          <w:rFonts w:hint="eastAsia" w:asciiTheme="minorEastAsia" w:hAnsiTheme="minorEastAsia"/>
          <w:color w:val="auto"/>
          <w:sz w:val="22"/>
          <w:szCs w:val="22"/>
          <w:highlight w:val="none"/>
        </w:rPr>
        <w:t>如“</w:t>
      </w:r>
      <w:r>
        <w:rPr>
          <w:rFonts w:hint="eastAsia" w:cs="Times New Roman" w:asciiTheme="minorEastAsia" w:hAnsiTheme="minorEastAsia"/>
          <w:color w:val="auto"/>
          <w:kern w:val="44"/>
          <w:sz w:val="22"/>
          <w:szCs w:val="21"/>
          <w:highlight w:val="none"/>
        </w:rPr>
        <w:t>水面、铁路、施工现场、天空、山川、乡村、桥梁、大厅、植物、演播室、道路、街道、机房、建筑等</w:t>
      </w:r>
      <w:r>
        <w:rPr>
          <w:rFonts w:hint="eastAsia" w:asciiTheme="minorEastAsia" w:hAnsiTheme="minorEastAsia"/>
          <w:color w:val="auto"/>
          <w:sz w:val="22"/>
          <w:szCs w:val="22"/>
          <w:highlight w:val="none"/>
        </w:rPr>
        <w:t>；</w:t>
      </w:r>
    </w:p>
    <w:p w14:paraId="00EC5E4C">
      <w:pPr>
        <w:pStyle w:val="2"/>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支持场景标签的过滤检索，定位到包含该标签的素材，以便更精准查找所需素材；</w:t>
      </w:r>
    </w:p>
    <w:p w14:paraId="795FEFA9">
      <w:pPr>
        <w:pStyle w:val="2"/>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系统应具备对视频画面中景别进行识别的能力；</w:t>
      </w:r>
    </w:p>
    <w:p w14:paraId="77A1E342">
      <w:pPr>
        <w:pStyle w:val="2"/>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要求场景识别引擎采用本地部署，永久使用；</w:t>
      </w:r>
    </w:p>
    <w:p w14:paraId="67BC024A">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38" w:name="_Toc173361657"/>
      <w:r>
        <w:rPr>
          <w:rFonts w:hint="eastAsia" w:asciiTheme="minorEastAsia" w:hAnsiTheme="minorEastAsia" w:eastAsiaTheme="minorEastAsia"/>
          <w:color w:val="auto"/>
          <w:sz w:val="24"/>
          <w:szCs w:val="24"/>
          <w:highlight w:val="none"/>
          <w:lang w:val="en-US" w:eastAsia="zh-CN"/>
        </w:rPr>
        <w:t>2.3.2.5</w:t>
      </w:r>
      <w:r>
        <w:rPr>
          <w:rFonts w:hint="eastAsia" w:asciiTheme="minorEastAsia" w:hAnsiTheme="minorEastAsia" w:eastAsiaTheme="minorEastAsia"/>
          <w:color w:val="auto"/>
          <w:sz w:val="24"/>
          <w:szCs w:val="24"/>
          <w:highlight w:val="none"/>
        </w:rPr>
        <w:t>新闻摘要提取引擎</w:t>
      </w:r>
      <w:bookmarkEnd w:id="38"/>
    </w:p>
    <w:p w14:paraId="0530CAA1">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新闻摘要功能基于深度学习技术从较长的新闻文本中，自动抽取关键信息，形成简明的摘要结果，</w:t>
      </w:r>
      <w:r>
        <w:rPr>
          <w:rFonts w:hint="eastAsia" w:asciiTheme="minorEastAsia" w:hAnsiTheme="minorEastAsia"/>
          <w:color w:val="auto"/>
          <w:sz w:val="22"/>
          <w:szCs w:val="22"/>
          <w:highlight w:val="none"/>
        </w:rPr>
        <w:t>实现</w:t>
      </w:r>
      <w:r>
        <w:rPr>
          <w:rFonts w:asciiTheme="minorEastAsia" w:hAnsiTheme="minorEastAsia"/>
          <w:color w:val="auto"/>
          <w:sz w:val="22"/>
          <w:szCs w:val="22"/>
          <w:highlight w:val="none"/>
        </w:rPr>
        <w:t>快速理解文本主要内容</w:t>
      </w:r>
      <w:r>
        <w:rPr>
          <w:rFonts w:hint="eastAsia" w:asciiTheme="minorEastAsia" w:hAnsiTheme="minorEastAsia"/>
          <w:color w:val="auto"/>
          <w:sz w:val="22"/>
          <w:szCs w:val="22"/>
          <w:highlight w:val="none"/>
        </w:rPr>
        <w:t>，提供</w:t>
      </w:r>
      <w:r>
        <w:rPr>
          <w:rFonts w:asciiTheme="minorEastAsia" w:hAnsiTheme="minorEastAsia"/>
          <w:color w:val="auto"/>
          <w:sz w:val="22"/>
          <w:szCs w:val="22"/>
          <w:highlight w:val="none"/>
        </w:rPr>
        <w:t>百万级新闻文本数据训练，分析，建模，适用政治、体育、经济等多个新闻领域</w:t>
      </w:r>
      <w:r>
        <w:rPr>
          <w:rFonts w:hint="eastAsia" w:asciiTheme="minorEastAsia" w:hAnsiTheme="minorEastAsia"/>
          <w:color w:val="auto"/>
          <w:sz w:val="22"/>
          <w:szCs w:val="22"/>
          <w:highlight w:val="none"/>
        </w:rPr>
        <w:t>；</w:t>
      </w:r>
    </w:p>
    <w:p w14:paraId="327F6297">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系统应具备对新闻类节目中关键词、摘要以及新闻事件的提取能力；</w:t>
      </w:r>
    </w:p>
    <w:p w14:paraId="09ED1AE4">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Cs w:val="21"/>
          <w:highlight w:val="none"/>
        </w:rPr>
      </w:pPr>
      <w:r>
        <w:rPr>
          <w:rFonts w:hint="eastAsia" w:asciiTheme="minorEastAsia" w:hAnsiTheme="minorEastAsia"/>
          <w:color w:val="auto"/>
          <w:sz w:val="22"/>
          <w:szCs w:val="22"/>
          <w:highlight w:val="none"/>
        </w:rPr>
        <w:t>要求新闻摘要提取引擎采用本地部署，永久使用；</w:t>
      </w:r>
    </w:p>
    <w:p w14:paraId="2FF2780A">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39" w:name="_Toc173361658"/>
      <w:r>
        <w:rPr>
          <w:rFonts w:hint="eastAsia" w:asciiTheme="minorEastAsia" w:hAnsiTheme="minorEastAsia" w:eastAsiaTheme="minorEastAsia"/>
          <w:color w:val="auto"/>
          <w:sz w:val="24"/>
          <w:szCs w:val="24"/>
          <w:highlight w:val="none"/>
          <w:lang w:val="en-US" w:eastAsia="zh-CN"/>
        </w:rPr>
        <w:t>2.3.2.6</w:t>
      </w:r>
      <w:r>
        <w:rPr>
          <w:rFonts w:hint="eastAsia" w:asciiTheme="minorEastAsia" w:hAnsiTheme="minorEastAsia" w:eastAsiaTheme="minorEastAsia"/>
          <w:color w:val="auto"/>
          <w:sz w:val="24"/>
          <w:szCs w:val="24"/>
          <w:highlight w:val="none"/>
        </w:rPr>
        <w:t>命名实体识别引擎</w:t>
      </w:r>
      <w:bookmarkEnd w:id="39"/>
    </w:p>
    <w:p w14:paraId="045472EC">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asciiTheme="minorEastAsia" w:hAnsiTheme="minorEastAsia"/>
          <w:color w:val="auto"/>
          <w:sz w:val="22"/>
          <w:szCs w:val="22"/>
          <w:highlight w:val="none"/>
        </w:rPr>
        <w:t>命名实体识别，又称作“专名识别”，是</w:t>
      </w:r>
      <w:r>
        <w:rPr>
          <w:rFonts w:hint="eastAsia" w:asciiTheme="minorEastAsia" w:hAnsiTheme="minorEastAsia"/>
          <w:color w:val="auto"/>
          <w:sz w:val="22"/>
          <w:szCs w:val="22"/>
          <w:highlight w:val="none"/>
        </w:rPr>
        <w:t>实现</w:t>
      </w:r>
      <w:r>
        <w:rPr>
          <w:rFonts w:asciiTheme="minorEastAsia" w:hAnsiTheme="minorEastAsia"/>
          <w:color w:val="auto"/>
          <w:sz w:val="22"/>
          <w:szCs w:val="22"/>
          <w:highlight w:val="none"/>
        </w:rPr>
        <w:t>内容标签的主要技术手段，</w:t>
      </w:r>
      <w:r>
        <w:rPr>
          <w:rFonts w:hint="eastAsia" w:asciiTheme="minorEastAsia" w:hAnsiTheme="minorEastAsia"/>
          <w:color w:val="auto"/>
          <w:sz w:val="22"/>
          <w:szCs w:val="22"/>
          <w:highlight w:val="none"/>
        </w:rPr>
        <w:t>要求</w:t>
      </w:r>
      <w:r>
        <w:rPr>
          <w:rFonts w:asciiTheme="minorEastAsia" w:hAnsiTheme="minorEastAsia"/>
          <w:color w:val="auto"/>
          <w:sz w:val="22"/>
          <w:szCs w:val="22"/>
          <w:highlight w:val="none"/>
        </w:rPr>
        <w:t>可识别出的实体类型包含</w:t>
      </w:r>
      <w:r>
        <w:rPr>
          <w:rFonts w:hint="eastAsia" w:asciiTheme="minorEastAsia" w:hAnsiTheme="minorEastAsia"/>
          <w:color w:val="auto"/>
          <w:sz w:val="22"/>
          <w:szCs w:val="22"/>
          <w:highlight w:val="none"/>
        </w:rPr>
        <w:t>但不限于：</w:t>
      </w:r>
      <w:r>
        <w:rPr>
          <w:rFonts w:asciiTheme="minorEastAsia" w:hAnsiTheme="minorEastAsia"/>
          <w:color w:val="auto"/>
          <w:sz w:val="22"/>
          <w:szCs w:val="22"/>
          <w:highlight w:val="none"/>
        </w:rPr>
        <w:t>人名、地名、时间，职务，组织机构名</w:t>
      </w:r>
      <w:r>
        <w:rPr>
          <w:rFonts w:hint="eastAsia" w:asciiTheme="minorEastAsia" w:hAnsiTheme="minorEastAsia"/>
          <w:color w:val="auto"/>
          <w:sz w:val="22"/>
          <w:szCs w:val="22"/>
          <w:highlight w:val="none"/>
        </w:rPr>
        <w:t>；</w:t>
      </w:r>
    </w:p>
    <w:p w14:paraId="0256E059">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要求命名实体识别引擎采用本地部署，永久使用；</w:t>
      </w:r>
    </w:p>
    <w:p w14:paraId="2420C4CF">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0" w:name="_Toc173361659"/>
      <w:r>
        <w:rPr>
          <w:rFonts w:hint="eastAsia" w:asciiTheme="minorEastAsia" w:hAnsiTheme="minorEastAsia" w:eastAsiaTheme="minorEastAsia"/>
          <w:color w:val="auto"/>
          <w:sz w:val="24"/>
          <w:szCs w:val="24"/>
          <w:highlight w:val="none"/>
          <w:lang w:val="en-US" w:eastAsia="zh-CN"/>
        </w:rPr>
        <w:t>2.3.2.7</w:t>
      </w:r>
      <w:r>
        <w:rPr>
          <w:rFonts w:hint="eastAsia" w:asciiTheme="minorEastAsia" w:hAnsiTheme="minorEastAsia" w:eastAsiaTheme="minorEastAsia"/>
          <w:color w:val="auto"/>
          <w:sz w:val="24"/>
          <w:szCs w:val="24"/>
          <w:highlight w:val="none"/>
        </w:rPr>
        <w:t>关键词提取引擎</w:t>
      </w:r>
      <w:bookmarkEnd w:id="40"/>
    </w:p>
    <w:p w14:paraId="0E0B109C">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cs="Times New Roman" w:asciiTheme="minorEastAsia" w:hAnsiTheme="minorEastAsia"/>
          <w:color w:val="auto"/>
          <w:kern w:val="44"/>
          <w:sz w:val="22"/>
          <w:szCs w:val="21"/>
          <w:highlight w:val="none"/>
        </w:rPr>
        <w:t>关键词提取的目的是从较长的文本中，选出可以表达最重要信息的词语或短语，提高信息获取效率，减少阅读耗时，是辅助阅读和编辑的重要内容</w:t>
      </w:r>
      <w:r>
        <w:rPr>
          <w:rFonts w:hint="eastAsia" w:cs="Times New Roman" w:asciiTheme="minorEastAsia" w:hAnsiTheme="minorEastAsia"/>
          <w:color w:val="auto"/>
          <w:kern w:val="44"/>
          <w:sz w:val="22"/>
          <w:szCs w:val="21"/>
          <w:highlight w:val="none"/>
        </w:rPr>
        <w:t>，要求</w:t>
      </w:r>
      <w:r>
        <w:rPr>
          <w:rFonts w:cs="Times New Roman" w:asciiTheme="minorEastAsia" w:hAnsiTheme="minorEastAsia"/>
          <w:color w:val="auto"/>
          <w:kern w:val="44"/>
          <w:sz w:val="22"/>
          <w:szCs w:val="21"/>
          <w:highlight w:val="none"/>
        </w:rPr>
        <w:t>基于深度文本理解技术，对各词的重要性进行计算，提取能代表人脑记忆快照的关键词，支持用户对文本的快速理解和语义检索</w:t>
      </w:r>
      <w:r>
        <w:rPr>
          <w:rFonts w:hint="eastAsia" w:cs="Times New Roman" w:asciiTheme="minorEastAsia" w:hAnsiTheme="minorEastAsia"/>
          <w:color w:val="auto"/>
          <w:kern w:val="44"/>
          <w:sz w:val="22"/>
          <w:szCs w:val="21"/>
          <w:highlight w:val="none"/>
        </w:rPr>
        <w:t>；</w:t>
      </w:r>
    </w:p>
    <w:p w14:paraId="1CAC1F6C">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1"/>
          <w:highlight w:val="none"/>
        </w:rPr>
      </w:pPr>
      <w:r>
        <w:rPr>
          <w:rFonts w:hint="eastAsia" w:cs="Times New Roman" w:asciiTheme="minorEastAsia" w:hAnsiTheme="minorEastAsia"/>
          <w:color w:val="auto"/>
          <w:kern w:val="44"/>
          <w:sz w:val="22"/>
          <w:szCs w:val="21"/>
          <w:highlight w:val="none"/>
        </w:rPr>
        <w:t>要求关键词提取引擎采用本地部署，永久使用；</w:t>
      </w:r>
    </w:p>
    <w:p w14:paraId="12DBAB36">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1" w:name="_Toc173361660"/>
      <w:r>
        <w:rPr>
          <w:rFonts w:hint="eastAsia" w:asciiTheme="minorEastAsia" w:hAnsiTheme="minorEastAsia" w:eastAsiaTheme="minorEastAsia"/>
          <w:color w:val="auto"/>
          <w:sz w:val="24"/>
          <w:szCs w:val="24"/>
          <w:highlight w:val="none"/>
          <w:lang w:val="en-US" w:eastAsia="zh-CN"/>
        </w:rPr>
        <w:t>2.3.2.8</w:t>
      </w:r>
      <w:r>
        <w:rPr>
          <w:rFonts w:hint="eastAsia" w:asciiTheme="minorEastAsia" w:hAnsiTheme="minorEastAsia" w:eastAsiaTheme="minorEastAsia"/>
          <w:color w:val="auto"/>
          <w:sz w:val="24"/>
          <w:szCs w:val="24"/>
          <w:highlight w:val="none"/>
        </w:rPr>
        <w:t>新闻文本分类引擎</w:t>
      </w:r>
      <w:bookmarkEnd w:id="41"/>
    </w:p>
    <w:p w14:paraId="27621FA7">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cs="Times New Roman" w:asciiTheme="minorEastAsia" w:hAnsiTheme="minorEastAsia"/>
          <w:color w:val="auto"/>
          <w:kern w:val="44"/>
          <w:sz w:val="22"/>
          <w:szCs w:val="21"/>
          <w:highlight w:val="none"/>
        </w:rPr>
        <w:t>新闻文本分类采用编目规范的分类体系，</w:t>
      </w:r>
      <w:r>
        <w:rPr>
          <w:rFonts w:hint="eastAsia" w:cs="Times New Roman" w:asciiTheme="minorEastAsia" w:hAnsiTheme="minorEastAsia"/>
          <w:color w:val="auto"/>
          <w:kern w:val="44"/>
          <w:sz w:val="22"/>
          <w:szCs w:val="21"/>
          <w:highlight w:val="none"/>
        </w:rPr>
        <w:t>要求</w:t>
      </w:r>
      <w:r>
        <w:rPr>
          <w:rFonts w:cs="Times New Roman" w:asciiTheme="minorEastAsia" w:hAnsiTheme="minorEastAsia"/>
          <w:color w:val="auto"/>
          <w:kern w:val="44"/>
          <w:sz w:val="22"/>
          <w:szCs w:val="21"/>
          <w:highlight w:val="none"/>
        </w:rPr>
        <w:t>输出文章的一级主题、二级主题和三级主题，如：政治</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法律</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军事</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经济</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文化、教育、哲学、宗教</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体育</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文学艺术</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历史、地理</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科学</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技术</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医药卫生</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城乡建设与环境</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社会生活与社会问题</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娱乐休闲</w:t>
      </w:r>
      <w:r>
        <w:rPr>
          <w:rFonts w:hint="eastAsia" w:cs="Times New Roman" w:asciiTheme="minorEastAsia" w:hAnsiTheme="minorEastAsia"/>
          <w:color w:val="auto"/>
          <w:kern w:val="44"/>
          <w:sz w:val="22"/>
          <w:szCs w:val="21"/>
          <w:highlight w:val="none"/>
        </w:rPr>
        <w:t>、</w:t>
      </w:r>
      <w:r>
        <w:rPr>
          <w:rFonts w:cs="Times New Roman" w:asciiTheme="minorEastAsia" w:hAnsiTheme="minorEastAsia"/>
          <w:color w:val="auto"/>
          <w:kern w:val="44"/>
          <w:sz w:val="22"/>
          <w:szCs w:val="21"/>
          <w:highlight w:val="none"/>
        </w:rPr>
        <w:t>其他</w:t>
      </w:r>
      <w:r>
        <w:rPr>
          <w:rFonts w:hint="eastAsia" w:cs="Times New Roman" w:asciiTheme="minorEastAsia" w:hAnsiTheme="minorEastAsia"/>
          <w:color w:val="auto"/>
          <w:kern w:val="44"/>
          <w:sz w:val="22"/>
          <w:szCs w:val="21"/>
          <w:highlight w:val="none"/>
        </w:rPr>
        <w:t>，便于</w:t>
      </w:r>
      <w:r>
        <w:rPr>
          <w:rFonts w:cs="Times New Roman" w:asciiTheme="minorEastAsia" w:hAnsiTheme="minorEastAsia"/>
          <w:color w:val="auto"/>
          <w:kern w:val="44"/>
          <w:sz w:val="22"/>
          <w:szCs w:val="21"/>
          <w:highlight w:val="none"/>
        </w:rPr>
        <w:t>理解与使用，有助于相关资料的收录与存档</w:t>
      </w:r>
      <w:r>
        <w:rPr>
          <w:rFonts w:hint="eastAsia" w:cs="Times New Roman" w:asciiTheme="minorEastAsia" w:hAnsiTheme="minorEastAsia"/>
          <w:color w:val="auto"/>
          <w:kern w:val="44"/>
          <w:sz w:val="22"/>
          <w:szCs w:val="21"/>
          <w:highlight w:val="none"/>
        </w:rPr>
        <w:t>；</w:t>
      </w:r>
    </w:p>
    <w:p w14:paraId="32F29E93">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b/>
          <w:bCs/>
          <w:color w:val="auto"/>
          <w:kern w:val="44"/>
          <w:sz w:val="22"/>
          <w:szCs w:val="21"/>
          <w:highlight w:val="none"/>
        </w:rPr>
      </w:pPr>
      <w:r>
        <w:rPr>
          <w:rFonts w:hint="eastAsia" w:ascii="宋体" w:hAnsi="宋体" w:eastAsia="宋体" w:cs="宋体"/>
          <w:b/>
          <w:bCs/>
          <w:color w:val="auto"/>
          <w:sz w:val="22"/>
          <w:szCs w:val="22"/>
          <w:highlight w:val="none"/>
        </w:rPr>
        <w:t>▲上述功能要求</w:t>
      </w:r>
      <w:r>
        <w:rPr>
          <w:rFonts w:hint="eastAsia" w:ascii="宋体" w:hAnsi="宋体" w:cs="宋体"/>
          <w:b/>
          <w:bCs/>
          <w:color w:val="auto"/>
          <w:sz w:val="22"/>
          <w:szCs w:val="22"/>
          <w:highlight w:val="none"/>
          <w:lang w:val="en-US" w:eastAsia="zh-CN"/>
        </w:rPr>
        <w:t>须</w:t>
      </w:r>
      <w:r>
        <w:rPr>
          <w:rFonts w:hint="eastAsia" w:ascii="宋体" w:hAnsi="宋体" w:eastAsia="宋体" w:cs="宋体"/>
          <w:b/>
          <w:bCs/>
          <w:color w:val="auto"/>
          <w:sz w:val="22"/>
          <w:szCs w:val="22"/>
          <w:highlight w:val="none"/>
        </w:rPr>
        <w:t>提供</w:t>
      </w:r>
      <w:r>
        <w:rPr>
          <w:rFonts w:hint="eastAsia" w:ascii="宋体" w:hAnsi="宋体" w:cs="宋体"/>
          <w:b/>
          <w:bCs/>
          <w:color w:val="auto"/>
          <w:sz w:val="22"/>
          <w:szCs w:val="22"/>
          <w:highlight w:val="none"/>
          <w:lang w:val="en-US" w:eastAsia="zh-CN"/>
        </w:rPr>
        <w:t>有效的</w:t>
      </w:r>
      <w:r>
        <w:rPr>
          <w:rFonts w:hint="eastAsia" w:ascii="宋体" w:hAnsi="宋体" w:eastAsia="宋体" w:cs="宋体"/>
          <w:b/>
          <w:bCs/>
          <w:color w:val="auto"/>
          <w:sz w:val="22"/>
          <w:szCs w:val="22"/>
          <w:highlight w:val="none"/>
        </w:rPr>
        <w:t>检测报告</w:t>
      </w:r>
      <w:r>
        <w:rPr>
          <w:rFonts w:hint="eastAsia"/>
          <w:b/>
          <w:bCs w:val="0"/>
          <w:color w:val="auto"/>
          <w:sz w:val="22"/>
          <w:szCs w:val="21"/>
          <w:highlight w:val="none"/>
          <w:lang w:val="en-US" w:eastAsia="zh-CN"/>
        </w:rPr>
        <w:t>复印件并加盖供应商公章</w:t>
      </w:r>
      <w:r>
        <w:rPr>
          <w:rFonts w:hint="eastAsia" w:ascii="宋体" w:hAnsi="宋体" w:eastAsia="宋体" w:cs="宋体"/>
          <w:b/>
          <w:bCs/>
          <w:color w:val="auto"/>
          <w:sz w:val="22"/>
          <w:szCs w:val="22"/>
          <w:highlight w:val="none"/>
        </w:rPr>
        <w:t>；</w:t>
      </w:r>
    </w:p>
    <w:p w14:paraId="6850919B">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要求新闻文本分类引擎采用本地部署，永久使用；</w:t>
      </w:r>
    </w:p>
    <w:p w14:paraId="0ABB132D">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2" w:name="_Toc173361661"/>
      <w:r>
        <w:rPr>
          <w:rFonts w:hint="eastAsia" w:asciiTheme="minorEastAsia" w:hAnsiTheme="minorEastAsia" w:eastAsiaTheme="minorEastAsia"/>
          <w:color w:val="auto"/>
          <w:sz w:val="24"/>
          <w:szCs w:val="24"/>
          <w:highlight w:val="none"/>
          <w:lang w:val="en-US" w:eastAsia="zh-CN"/>
        </w:rPr>
        <w:t>2.3.2.9</w:t>
      </w:r>
      <w:r>
        <w:rPr>
          <w:rFonts w:hint="eastAsia" w:asciiTheme="minorEastAsia" w:hAnsiTheme="minorEastAsia" w:eastAsiaTheme="minorEastAsia"/>
          <w:color w:val="auto"/>
          <w:sz w:val="24"/>
          <w:szCs w:val="24"/>
          <w:highlight w:val="none"/>
        </w:rPr>
        <w:t>视频转场识别引擎</w:t>
      </w:r>
      <w:bookmarkEnd w:id="42"/>
    </w:p>
    <w:p w14:paraId="77635BA0">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要求</w:t>
      </w:r>
      <w:r>
        <w:rPr>
          <w:rFonts w:cs="Times New Roman" w:asciiTheme="minorEastAsia" w:hAnsiTheme="minorEastAsia"/>
          <w:color w:val="auto"/>
          <w:kern w:val="44"/>
          <w:sz w:val="22"/>
          <w:szCs w:val="21"/>
          <w:highlight w:val="none"/>
        </w:rPr>
        <w:t>识别出</w:t>
      </w:r>
      <w:r>
        <w:rPr>
          <w:rFonts w:hint="eastAsia" w:cs="Times New Roman" w:asciiTheme="minorEastAsia" w:hAnsiTheme="minorEastAsia"/>
          <w:color w:val="auto"/>
          <w:kern w:val="44"/>
          <w:sz w:val="22"/>
          <w:szCs w:val="21"/>
          <w:highlight w:val="none"/>
        </w:rPr>
        <w:t>视频</w:t>
      </w:r>
      <w:r>
        <w:rPr>
          <w:rFonts w:cs="Times New Roman" w:asciiTheme="minorEastAsia" w:hAnsiTheme="minorEastAsia"/>
          <w:color w:val="auto"/>
          <w:kern w:val="44"/>
          <w:sz w:val="22"/>
          <w:szCs w:val="21"/>
          <w:highlight w:val="none"/>
        </w:rPr>
        <w:t>中的镜头变化</w:t>
      </w:r>
      <w:r>
        <w:rPr>
          <w:rFonts w:hint="eastAsia" w:cs="Times New Roman" w:asciiTheme="minorEastAsia" w:hAnsiTheme="minorEastAsia"/>
          <w:color w:val="auto"/>
          <w:kern w:val="44"/>
          <w:sz w:val="22"/>
          <w:szCs w:val="21"/>
          <w:highlight w:val="none"/>
        </w:rPr>
        <w:t>，识别视频中的转场片段，并返回转场对应的时间区间和位置，为新闻智能结构化拆分提供基础；</w:t>
      </w:r>
    </w:p>
    <w:p w14:paraId="14C09288">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要求视频转场识别引擎采用本地部署，永久使用；</w:t>
      </w:r>
    </w:p>
    <w:p w14:paraId="2C7AF82E">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3" w:name="_Toc173361662"/>
      <w:r>
        <w:rPr>
          <w:rFonts w:hint="eastAsia" w:asciiTheme="minorEastAsia" w:hAnsiTheme="minorEastAsia" w:eastAsiaTheme="minorEastAsia"/>
          <w:color w:val="auto"/>
          <w:sz w:val="24"/>
          <w:szCs w:val="24"/>
          <w:highlight w:val="none"/>
          <w:lang w:val="en-US" w:eastAsia="zh-CN"/>
        </w:rPr>
        <w:t>2.3.2.10</w:t>
      </w:r>
      <w:r>
        <w:rPr>
          <w:rFonts w:hint="eastAsia" w:asciiTheme="minorEastAsia" w:hAnsiTheme="minorEastAsia" w:eastAsiaTheme="minorEastAsia"/>
          <w:color w:val="auto"/>
          <w:sz w:val="24"/>
          <w:szCs w:val="24"/>
          <w:highlight w:val="none"/>
        </w:rPr>
        <w:t>镜头制作语言分析引擎</w:t>
      </w:r>
      <w:bookmarkEnd w:id="43"/>
    </w:p>
    <w:p w14:paraId="7A1A6F62">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从</w:t>
      </w:r>
      <w:r>
        <w:rPr>
          <w:rFonts w:cs="Times New Roman" w:asciiTheme="minorEastAsia" w:hAnsiTheme="minorEastAsia"/>
          <w:color w:val="auto"/>
          <w:kern w:val="44"/>
          <w:sz w:val="22"/>
          <w:szCs w:val="21"/>
          <w:highlight w:val="none"/>
        </w:rPr>
        <w:t>摄影机所拍摄出来的画面</w:t>
      </w:r>
      <w:r>
        <w:rPr>
          <w:rFonts w:hint="eastAsia" w:cs="Times New Roman" w:asciiTheme="minorEastAsia" w:hAnsiTheme="minorEastAsia"/>
          <w:color w:val="auto"/>
          <w:kern w:val="44"/>
          <w:sz w:val="22"/>
          <w:szCs w:val="21"/>
          <w:highlight w:val="none"/>
        </w:rPr>
        <w:t>，能</w:t>
      </w:r>
      <w:r>
        <w:rPr>
          <w:rFonts w:cs="Times New Roman" w:asciiTheme="minorEastAsia" w:hAnsiTheme="minorEastAsia"/>
          <w:color w:val="auto"/>
          <w:kern w:val="44"/>
          <w:sz w:val="22"/>
          <w:szCs w:val="21"/>
          <w:highlight w:val="none"/>
        </w:rPr>
        <w:t>看出拍摄者的意图，从拍摄的主题及画面的变化，感受拍摄者透过镜头所要表达的内容</w:t>
      </w:r>
      <w:r>
        <w:rPr>
          <w:rFonts w:hint="eastAsia" w:cs="Times New Roman" w:asciiTheme="minorEastAsia" w:hAnsiTheme="minorEastAsia"/>
          <w:color w:val="auto"/>
          <w:kern w:val="44"/>
          <w:sz w:val="22"/>
          <w:szCs w:val="21"/>
          <w:highlight w:val="none"/>
        </w:rPr>
        <w:t>。</w:t>
      </w:r>
    </w:p>
    <w:p w14:paraId="51FEBF74">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b/>
          <w:bCs w:val="0"/>
          <w:color w:val="auto"/>
          <w:kern w:val="44"/>
          <w:sz w:val="22"/>
          <w:szCs w:val="21"/>
          <w:highlight w:val="none"/>
        </w:rPr>
      </w:pPr>
      <w:r>
        <w:rPr>
          <w:rFonts w:hint="eastAsia" w:asciiTheme="minorEastAsia" w:hAnsiTheme="minorEastAsia"/>
          <w:b/>
          <w:bCs w:val="0"/>
          <w:color w:val="auto"/>
          <w:sz w:val="22"/>
          <w:szCs w:val="22"/>
          <w:highlight w:val="none"/>
        </w:rPr>
        <w:t>▲</w:t>
      </w:r>
      <w:r>
        <w:rPr>
          <w:rFonts w:hint="eastAsia" w:cs="Times New Roman" w:asciiTheme="minorEastAsia" w:hAnsiTheme="minorEastAsia"/>
          <w:b/>
          <w:bCs w:val="0"/>
          <w:color w:val="auto"/>
          <w:kern w:val="44"/>
          <w:sz w:val="22"/>
          <w:szCs w:val="21"/>
          <w:highlight w:val="none"/>
        </w:rPr>
        <w:t>要求</w:t>
      </w:r>
      <w:r>
        <w:rPr>
          <w:rFonts w:hint="eastAsia" w:cs="Times New Roman" w:asciiTheme="minorEastAsia" w:hAnsiTheme="minorEastAsia"/>
          <w:b/>
          <w:bCs w:val="0"/>
          <w:color w:val="auto"/>
          <w:kern w:val="44"/>
          <w:sz w:val="22"/>
          <w:szCs w:val="21"/>
          <w:highlight w:val="none"/>
          <w:lang w:val="en-US" w:eastAsia="zh-CN"/>
        </w:rPr>
        <w:t>该产品</w:t>
      </w:r>
      <w:r>
        <w:rPr>
          <w:rFonts w:hint="eastAsia" w:cs="Times New Roman" w:asciiTheme="minorEastAsia" w:hAnsiTheme="minorEastAsia"/>
          <w:b/>
          <w:bCs w:val="0"/>
          <w:color w:val="auto"/>
          <w:kern w:val="44"/>
          <w:sz w:val="22"/>
          <w:szCs w:val="21"/>
          <w:highlight w:val="none"/>
        </w:rPr>
        <w:t>支持对</w:t>
      </w:r>
      <w:r>
        <w:rPr>
          <w:rFonts w:hint="eastAsia"/>
          <w:b/>
          <w:bCs w:val="0"/>
          <w:color w:val="auto"/>
          <w:sz w:val="22"/>
          <w:szCs w:val="21"/>
          <w:highlight w:val="none"/>
        </w:rPr>
        <w:t>人物景别、拍摄角度、摄像机动作、地标和同期声标识进行识别和结果展示，支持远景、中景、近景、特写等人物景别的判定，支持平视、俯视、仰视等拍摄角度的判定，支持上摇、下摇、左移、右移、放大、缩小等摄像机动作的判定，该功能要求提供</w:t>
      </w:r>
      <w:r>
        <w:rPr>
          <w:rFonts w:hint="eastAsia"/>
          <w:b/>
          <w:bCs w:val="0"/>
          <w:color w:val="auto"/>
          <w:sz w:val="22"/>
          <w:szCs w:val="21"/>
          <w:highlight w:val="none"/>
          <w:lang w:val="en-US" w:eastAsia="zh-CN"/>
        </w:rPr>
        <w:t>有效的</w:t>
      </w:r>
      <w:r>
        <w:rPr>
          <w:rFonts w:hint="eastAsia"/>
          <w:b/>
          <w:bCs w:val="0"/>
          <w:color w:val="auto"/>
          <w:sz w:val="22"/>
          <w:szCs w:val="21"/>
          <w:highlight w:val="none"/>
        </w:rPr>
        <w:t>检测报告</w:t>
      </w:r>
      <w:r>
        <w:rPr>
          <w:rFonts w:hint="eastAsia"/>
          <w:b/>
          <w:bCs w:val="0"/>
          <w:color w:val="auto"/>
          <w:sz w:val="22"/>
          <w:szCs w:val="21"/>
          <w:highlight w:val="none"/>
          <w:lang w:val="en-US" w:eastAsia="zh-CN"/>
        </w:rPr>
        <w:t>复印件并加盖供应商公章</w:t>
      </w:r>
      <w:r>
        <w:rPr>
          <w:rFonts w:hint="eastAsia" w:cs="Times New Roman" w:asciiTheme="minorEastAsia" w:hAnsiTheme="minorEastAsia"/>
          <w:b/>
          <w:bCs w:val="0"/>
          <w:color w:val="auto"/>
          <w:kern w:val="44"/>
          <w:sz w:val="22"/>
          <w:szCs w:val="21"/>
          <w:highlight w:val="none"/>
        </w:rPr>
        <w:t>；</w:t>
      </w:r>
    </w:p>
    <w:p w14:paraId="40C07B38">
      <w:pPr>
        <w:pStyle w:val="2"/>
        <w:pageBreakBefore w:val="0"/>
        <w:kinsoku/>
        <w:wordWrap/>
        <w:overflowPunct/>
        <w:topLinePunct w:val="0"/>
        <w:autoSpaceDE/>
        <w:autoSpaceDN/>
        <w:bidi w:val="0"/>
        <w:adjustRightInd/>
        <w:snapToGrid/>
        <w:spacing w:line="480" w:lineRule="exact"/>
        <w:ind w:left="0" w:leftChars="0" w:right="0"/>
        <w:textAlignment w:val="auto"/>
        <w:rPr>
          <w:rFonts w:cs="Times New Roman" w:asciiTheme="minorEastAsia" w:hAnsiTheme="minorEastAsia"/>
          <w:color w:val="auto"/>
          <w:kern w:val="44"/>
          <w:sz w:val="22"/>
          <w:szCs w:val="21"/>
          <w:highlight w:val="none"/>
        </w:rPr>
      </w:pPr>
      <w:r>
        <w:rPr>
          <w:rFonts w:hint="eastAsia" w:cs="Times New Roman" w:asciiTheme="minorEastAsia" w:hAnsiTheme="minorEastAsia"/>
          <w:color w:val="auto"/>
          <w:kern w:val="44"/>
          <w:sz w:val="22"/>
          <w:szCs w:val="21"/>
          <w:highlight w:val="none"/>
        </w:rPr>
        <w:t>要求镜头制作语言分析引擎采用本地部署，永久使用；</w:t>
      </w:r>
    </w:p>
    <w:p w14:paraId="0B9AD286">
      <w:pPr>
        <w:pStyle w:val="7"/>
        <w:pageBreakBefore w:val="0"/>
        <w:numPr>
          <w:ilvl w:val="4"/>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4" w:name="_Toc76135959"/>
      <w:bookmarkStart w:id="45" w:name="_Toc173361663"/>
      <w:r>
        <w:rPr>
          <w:rFonts w:hint="eastAsia" w:asciiTheme="minorEastAsia" w:hAnsiTheme="minorEastAsia" w:eastAsiaTheme="minorEastAsia"/>
          <w:color w:val="auto"/>
          <w:sz w:val="24"/>
          <w:szCs w:val="24"/>
          <w:highlight w:val="none"/>
          <w:lang w:val="en-US" w:eastAsia="zh-CN"/>
        </w:rPr>
        <w:t>2.3.2.11</w:t>
      </w:r>
      <w:r>
        <w:rPr>
          <w:rFonts w:hint="eastAsia" w:asciiTheme="minorEastAsia" w:hAnsiTheme="minorEastAsia" w:eastAsiaTheme="minorEastAsia"/>
          <w:color w:val="auto"/>
          <w:sz w:val="24"/>
          <w:szCs w:val="24"/>
          <w:highlight w:val="none"/>
        </w:rPr>
        <w:t>标签</w:t>
      </w:r>
      <w:bookmarkEnd w:id="44"/>
      <w:r>
        <w:rPr>
          <w:rFonts w:hint="eastAsia" w:asciiTheme="minorEastAsia" w:hAnsiTheme="minorEastAsia" w:eastAsiaTheme="minorEastAsia"/>
          <w:color w:val="auto"/>
          <w:sz w:val="24"/>
          <w:szCs w:val="24"/>
          <w:highlight w:val="none"/>
        </w:rPr>
        <w:t>提取引擎</w:t>
      </w:r>
      <w:bookmarkEnd w:id="45"/>
    </w:p>
    <w:p w14:paraId="2367DF3B">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内容入库后，通过智能处理（人脸识别、语音识别、字幕识别等），为内容打上标签，通过NLP自然语音分析引擎，分类推导，剔除无效标签，保留有效标签，具体要求如下：</w:t>
      </w:r>
    </w:p>
    <w:p w14:paraId="5132464D">
      <w:pPr>
        <w:pStyle w:val="2"/>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Cs/>
          <w:color w:val="auto"/>
          <w:sz w:val="22"/>
          <w:szCs w:val="22"/>
          <w:highlight w:val="none"/>
        </w:rPr>
      </w:pPr>
      <w:r>
        <w:rPr>
          <w:rFonts w:hint="eastAsia" w:asciiTheme="minorEastAsia" w:hAnsiTheme="minorEastAsia"/>
          <w:bCs/>
          <w:color w:val="auto"/>
          <w:sz w:val="22"/>
          <w:szCs w:val="22"/>
          <w:highlight w:val="none"/>
        </w:rPr>
        <w:t>预置标签库为最新标签库，可支持手工上传更新。</w:t>
      </w:r>
    </w:p>
    <w:p w14:paraId="310CFC48">
      <w:pPr>
        <w:pStyle w:val="2"/>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Cs/>
          <w:color w:val="auto"/>
          <w:sz w:val="22"/>
          <w:szCs w:val="22"/>
          <w:highlight w:val="none"/>
        </w:rPr>
      </w:pPr>
      <w:r>
        <w:rPr>
          <w:rFonts w:hint="eastAsia" w:asciiTheme="minorEastAsia" w:hAnsiTheme="minorEastAsia"/>
          <w:bCs/>
          <w:color w:val="auto"/>
          <w:sz w:val="22"/>
          <w:szCs w:val="22"/>
          <w:highlight w:val="none"/>
        </w:rPr>
        <w:t>系统应具备层级结构标签分类的能力；</w:t>
      </w:r>
    </w:p>
    <w:p w14:paraId="67F6F33A">
      <w:pPr>
        <w:pStyle w:val="2"/>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Cs/>
          <w:color w:val="auto"/>
          <w:sz w:val="22"/>
          <w:szCs w:val="22"/>
          <w:highlight w:val="none"/>
        </w:rPr>
      </w:pPr>
      <w:r>
        <w:rPr>
          <w:rFonts w:hint="eastAsia" w:asciiTheme="minorEastAsia" w:hAnsiTheme="minorEastAsia"/>
          <w:bCs/>
          <w:color w:val="auto"/>
          <w:sz w:val="22"/>
          <w:szCs w:val="22"/>
          <w:highlight w:val="none"/>
        </w:rPr>
        <w:t>要求支持提取多种节目的标签，包括：新闻节目标签、综艺节目标签、影视剧节目标</w:t>
      </w:r>
      <w:r>
        <w:rPr>
          <w:rFonts w:hint="eastAsia"/>
          <w:color w:val="auto"/>
          <w:sz w:val="22"/>
          <w:szCs w:val="21"/>
          <w:highlight w:val="none"/>
        </w:rPr>
        <w:t>签，针对新闻节目，标签维度应包括时间、人物、地点、机构、事件、关键字、景别、拍摄角度、同期声等；针对综艺节目，标签维度应包括人物、表情、台标、音效等：针对影视剧节目，标签维度应包括人物、物体、音效、背景等；</w:t>
      </w:r>
    </w:p>
    <w:p w14:paraId="5370FFD4">
      <w:pPr>
        <w:pStyle w:val="2"/>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Cs/>
          <w:color w:val="auto"/>
          <w:sz w:val="22"/>
          <w:szCs w:val="22"/>
          <w:highlight w:val="none"/>
        </w:rPr>
      </w:pPr>
      <w:r>
        <w:rPr>
          <w:rFonts w:hint="eastAsia" w:asciiTheme="minorEastAsia" w:hAnsiTheme="minorEastAsia"/>
          <w:bCs/>
          <w:color w:val="auto"/>
          <w:sz w:val="22"/>
          <w:szCs w:val="22"/>
          <w:highlight w:val="none"/>
        </w:rPr>
        <w:t>要求智能标签引擎采用本地部署，永久使用；</w:t>
      </w:r>
    </w:p>
    <w:p w14:paraId="30CDE3F8">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6" w:name="_Toc173361664"/>
      <w:r>
        <w:rPr>
          <w:rFonts w:hint="eastAsia" w:asciiTheme="minorEastAsia" w:hAnsiTheme="minorEastAsia" w:eastAsiaTheme="minorEastAsia"/>
          <w:color w:val="auto"/>
          <w:sz w:val="24"/>
          <w:szCs w:val="24"/>
          <w:highlight w:val="none"/>
          <w:lang w:val="en-US" w:eastAsia="zh-CN"/>
        </w:rPr>
        <w:t>2.3.3</w:t>
      </w:r>
      <w:r>
        <w:rPr>
          <w:rFonts w:hint="eastAsia" w:asciiTheme="minorEastAsia" w:hAnsiTheme="minorEastAsia" w:eastAsiaTheme="minorEastAsia"/>
          <w:color w:val="auto"/>
          <w:sz w:val="24"/>
          <w:szCs w:val="24"/>
          <w:highlight w:val="none"/>
        </w:rPr>
        <w:t>智能编目引擎</w:t>
      </w:r>
      <w:bookmarkEnd w:id="46"/>
    </w:p>
    <w:p w14:paraId="0E4EBA80">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支持智能识别新闻联播类节目，实现对视频进行结构化拆分，减少人工操作，具体要求如下：</w:t>
      </w:r>
    </w:p>
    <w:p w14:paraId="7AC839F5">
      <w:pPr>
        <w:pStyle w:val="2"/>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系统应具备对新闻类节目的拆条能力、新闻标题的提取能力；</w:t>
      </w:r>
    </w:p>
    <w:p w14:paraId="56B2EBE1">
      <w:pPr>
        <w:pStyle w:val="2"/>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支持对自动切分后的片段层、场景层及镜头层进行修改、合并；</w:t>
      </w:r>
    </w:p>
    <w:p w14:paraId="6B30BCDD">
      <w:pPr>
        <w:pStyle w:val="2"/>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引擎具备学习、调优功能，以实现对其他类型节目的智能结构化拆分功能；</w:t>
      </w:r>
    </w:p>
    <w:p w14:paraId="2F4107B1">
      <w:pPr>
        <w:pStyle w:val="2"/>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b/>
          <w:bCs w:val="0"/>
          <w:color w:val="auto"/>
          <w:sz w:val="22"/>
          <w:szCs w:val="22"/>
          <w:highlight w:val="none"/>
        </w:rPr>
      </w:pPr>
      <w:r>
        <w:rPr>
          <w:rFonts w:hint="eastAsia" w:asciiTheme="minorEastAsia" w:hAnsiTheme="minorEastAsia"/>
          <w:b/>
          <w:bCs w:val="0"/>
          <w:color w:val="auto"/>
          <w:sz w:val="22"/>
          <w:szCs w:val="22"/>
          <w:highlight w:val="none"/>
        </w:rPr>
        <w:t>▲</w:t>
      </w:r>
      <w:r>
        <w:rPr>
          <w:rFonts w:hint="eastAsia"/>
          <w:b/>
          <w:bCs w:val="0"/>
          <w:color w:val="auto"/>
          <w:sz w:val="22"/>
          <w:szCs w:val="21"/>
          <w:highlight w:val="none"/>
        </w:rPr>
        <w:t>要求</w:t>
      </w:r>
      <w:r>
        <w:rPr>
          <w:rFonts w:hint="eastAsia"/>
          <w:b/>
          <w:bCs w:val="0"/>
          <w:color w:val="auto"/>
          <w:sz w:val="22"/>
          <w:szCs w:val="21"/>
          <w:highlight w:val="none"/>
          <w:lang w:val="en-US" w:eastAsia="zh-CN"/>
        </w:rPr>
        <w:t>该产品</w:t>
      </w:r>
      <w:r>
        <w:rPr>
          <w:rFonts w:hint="eastAsia"/>
          <w:b/>
          <w:bCs w:val="0"/>
          <w:color w:val="auto"/>
          <w:sz w:val="22"/>
          <w:szCs w:val="21"/>
          <w:highlight w:val="none"/>
        </w:rPr>
        <w:t>支持自动提取新闻片段层的内容摘要并展示，支持提取视频内容实体，包括但不限于出现在文本或语音中的人物、地名、组织机构、职务、时间等实体信息，此功能要求提供</w:t>
      </w:r>
      <w:r>
        <w:rPr>
          <w:rFonts w:hint="eastAsia"/>
          <w:b/>
          <w:bCs w:val="0"/>
          <w:color w:val="auto"/>
          <w:sz w:val="22"/>
          <w:szCs w:val="21"/>
          <w:highlight w:val="none"/>
          <w:lang w:val="en-US" w:eastAsia="zh-CN"/>
        </w:rPr>
        <w:t>有效的</w:t>
      </w:r>
      <w:r>
        <w:rPr>
          <w:rFonts w:hint="eastAsia"/>
          <w:b/>
          <w:bCs w:val="0"/>
          <w:color w:val="auto"/>
          <w:sz w:val="22"/>
          <w:szCs w:val="21"/>
          <w:highlight w:val="none"/>
        </w:rPr>
        <w:t>检测报告</w:t>
      </w:r>
      <w:r>
        <w:rPr>
          <w:rFonts w:hint="eastAsia"/>
          <w:b/>
          <w:bCs w:val="0"/>
          <w:color w:val="auto"/>
          <w:sz w:val="22"/>
          <w:szCs w:val="21"/>
          <w:highlight w:val="none"/>
          <w:lang w:val="en-US" w:eastAsia="zh-CN"/>
        </w:rPr>
        <w:t>复印件并加盖供应商公章</w:t>
      </w:r>
      <w:r>
        <w:rPr>
          <w:rFonts w:hint="eastAsia"/>
          <w:b/>
          <w:bCs w:val="0"/>
          <w:color w:val="auto"/>
          <w:sz w:val="22"/>
          <w:szCs w:val="21"/>
          <w:highlight w:val="none"/>
        </w:rPr>
        <w:t>；</w:t>
      </w:r>
    </w:p>
    <w:p w14:paraId="55BE1944">
      <w:pPr>
        <w:pStyle w:val="2"/>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要求智能编目引擎采用本地部署，永久使用；</w:t>
      </w:r>
    </w:p>
    <w:p w14:paraId="4A5B2770">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4"/>
          <w:highlight w:val="none"/>
        </w:rPr>
      </w:pPr>
      <w:bookmarkStart w:id="47" w:name="_Toc128482867"/>
      <w:bookmarkStart w:id="48" w:name="_Toc173361665"/>
      <w:r>
        <w:rPr>
          <w:rFonts w:hint="eastAsia" w:asciiTheme="minorEastAsia" w:hAnsiTheme="minorEastAsia" w:eastAsiaTheme="minorEastAsia"/>
          <w:color w:val="auto"/>
          <w:sz w:val="24"/>
          <w:szCs w:val="24"/>
          <w:highlight w:val="none"/>
          <w:lang w:val="en-US" w:eastAsia="zh-CN"/>
        </w:rPr>
        <w:t>2.3.4</w:t>
      </w:r>
      <w:r>
        <w:rPr>
          <w:rFonts w:hint="eastAsia" w:asciiTheme="minorEastAsia" w:hAnsiTheme="minorEastAsia" w:eastAsiaTheme="minorEastAsia"/>
          <w:color w:val="auto"/>
          <w:sz w:val="24"/>
          <w:szCs w:val="24"/>
          <w:highlight w:val="none"/>
        </w:rPr>
        <w:t>视频修复引擎</w:t>
      </w:r>
      <w:bookmarkEnd w:id="47"/>
      <w:bookmarkEnd w:id="48"/>
    </w:p>
    <w:p w14:paraId="2F3AD38E">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我单位现有部分历史标清素材，由于制作年代久远，不能满足当前观看体验，要求使用AI图像重建技术、噪点去除、切边等AI技术，实现低分辨率到高分辨率，低帧率到高帧率，标清到高清的高质量转换，使这些珍贵的旧片源重新焕发光彩，带来更好的观看体验，具体要求如下：</w:t>
      </w:r>
    </w:p>
    <w:p w14:paraId="043244CD">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要求支持对视频中的噪点进行去除；</w:t>
      </w:r>
    </w:p>
    <w:p w14:paraId="05FEA6B8">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要求支持视频切边功能，以切掉旧片源画面边缘抖动的画面；</w:t>
      </w:r>
    </w:p>
    <w:p w14:paraId="49FABF24">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要求支持视频超分技术，使标清幅面转换到高清或更高幅面，以提升画面质量；</w:t>
      </w:r>
    </w:p>
    <w:p w14:paraId="2CF3364B">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要求支持帧率变换；</w:t>
      </w:r>
    </w:p>
    <w:p w14:paraId="2B4F8FDA">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b/>
          <w:bCs w:val="0"/>
          <w:color w:val="auto"/>
          <w:sz w:val="22"/>
          <w:szCs w:val="22"/>
          <w:highlight w:val="none"/>
        </w:rPr>
      </w:pPr>
      <w:r>
        <w:rPr>
          <w:rFonts w:hint="eastAsia" w:asciiTheme="minorEastAsia" w:hAnsiTheme="minorEastAsia"/>
          <w:color w:val="auto"/>
          <w:sz w:val="22"/>
          <w:szCs w:val="22"/>
          <w:highlight w:val="none"/>
        </w:rPr>
        <w:t>要求智能修复引擎采用本地部署，永久使用；</w:t>
      </w:r>
    </w:p>
    <w:p w14:paraId="53B2A90A">
      <w:pPr>
        <w:pStyle w:val="2"/>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00" w:firstLineChars="0"/>
        <w:textAlignment w:val="auto"/>
        <w:rPr>
          <w:rFonts w:asciiTheme="minorEastAsia" w:hAnsiTheme="minorEastAsia"/>
          <w:b/>
          <w:bCs w:val="0"/>
          <w:color w:val="auto"/>
          <w:sz w:val="22"/>
          <w:szCs w:val="22"/>
          <w:highlight w:val="none"/>
        </w:rPr>
      </w:pPr>
      <w:r>
        <w:rPr>
          <w:rFonts w:hint="eastAsia" w:asciiTheme="minorEastAsia" w:hAnsiTheme="minorEastAsia"/>
          <w:b/>
          <w:bCs w:val="0"/>
          <w:color w:val="auto"/>
          <w:sz w:val="22"/>
          <w:szCs w:val="22"/>
          <w:highlight w:val="none"/>
        </w:rPr>
        <w:t>▲</w:t>
      </w:r>
      <w:r>
        <w:rPr>
          <w:rFonts w:hint="eastAsia" w:asciiTheme="minorEastAsia" w:hAnsiTheme="minorEastAsia"/>
          <w:b/>
          <w:bCs w:val="0"/>
          <w:color w:val="auto"/>
          <w:sz w:val="22"/>
          <w:szCs w:val="22"/>
          <w:highlight w:val="none"/>
          <w:lang w:val="en-US" w:eastAsia="zh-CN"/>
        </w:rPr>
        <w:t>该产品须满足上述</w:t>
      </w:r>
      <w:r>
        <w:rPr>
          <w:rFonts w:hint="eastAsia"/>
          <w:b/>
          <w:bCs w:val="0"/>
          <w:color w:val="auto"/>
          <w:sz w:val="22"/>
          <w:szCs w:val="21"/>
          <w:highlight w:val="none"/>
        </w:rPr>
        <w:t>功能</w:t>
      </w:r>
      <w:r>
        <w:rPr>
          <w:rFonts w:hint="eastAsia"/>
          <w:b/>
          <w:bCs w:val="0"/>
          <w:color w:val="auto"/>
          <w:sz w:val="22"/>
          <w:szCs w:val="21"/>
          <w:highlight w:val="none"/>
          <w:lang w:eastAsia="zh-CN"/>
        </w:rPr>
        <w:t>，</w:t>
      </w:r>
      <w:r>
        <w:rPr>
          <w:rFonts w:hint="eastAsia"/>
          <w:b/>
          <w:bCs w:val="0"/>
          <w:color w:val="auto"/>
          <w:sz w:val="22"/>
          <w:szCs w:val="21"/>
          <w:highlight w:val="none"/>
          <w:lang w:val="en-US" w:eastAsia="zh-CN"/>
        </w:rPr>
        <w:t>要求</w:t>
      </w:r>
      <w:r>
        <w:rPr>
          <w:rFonts w:hint="eastAsia"/>
          <w:b/>
          <w:bCs w:val="0"/>
          <w:color w:val="auto"/>
          <w:sz w:val="22"/>
          <w:szCs w:val="21"/>
          <w:highlight w:val="none"/>
        </w:rPr>
        <w:t>提供</w:t>
      </w:r>
      <w:r>
        <w:rPr>
          <w:rFonts w:hint="eastAsia"/>
          <w:b/>
          <w:bCs w:val="0"/>
          <w:color w:val="auto"/>
          <w:sz w:val="22"/>
          <w:szCs w:val="21"/>
          <w:highlight w:val="none"/>
          <w:lang w:val="en-US" w:eastAsia="zh-CN"/>
        </w:rPr>
        <w:t>有效的</w:t>
      </w:r>
      <w:r>
        <w:rPr>
          <w:rFonts w:hint="eastAsia"/>
          <w:b/>
          <w:bCs w:val="0"/>
          <w:color w:val="auto"/>
          <w:sz w:val="22"/>
          <w:szCs w:val="21"/>
          <w:highlight w:val="none"/>
        </w:rPr>
        <w:t>检测报告</w:t>
      </w:r>
      <w:r>
        <w:rPr>
          <w:rFonts w:hint="eastAsia"/>
          <w:b/>
          <w:bCs w:val="0"/>
          <w:color w:val="auto"/>
          <w:sz w:val="22"/>
          <w:szCs w:val="21"/>
          <w:highlight w:val="none"/>
          <w:lang w:val="en-US" w:eastAsia="zh-CN"/>
        </w:rPr>
        <w:t>复印件并加盖供应商公章</w:t>
      </w:r>
      <w:r>
        <w:rPr>
          <w:rFonts w:hint="eastAsia"/>
          <w:b/>
          <w:bCs w:val="0"/>
          <w:color w:val="auto"/>
          <w:sz w:val="22"/>
          <w:szCs w:val="21"/>
          <w:highlight w:val="none"/>
        </w:rPr>
        <w:t>；</w:t>
      </w:r>
    </w:p>
    <w:p w14:paraId="386030E3">
      <w:pPr>
        <w:pStyle w:val="4"/>
        <w:pageBreakBefore w:val="0"/>
        <w:numPr>
          <w:ilvl w:val="1"/>
          <w:numId w:val="0"/>
        </w:numPr>
        <w:kinsoku/>
        <w:wordWrap/>
        <w:overflowPunct/>
        <w:topLinePunct w:val="0"/>
        <w:autoSpaceDE/>
        <w:autoSpaceDN/>
        <w:bidi w:val="0"/>
        <w:adjustRightInd/>
        <w:snapToGrid/>
        <w:spacing w:before="0" w:after="0" w:line="480" w:lineRule="exact"/>
        <w:ind w:left="0" w:leftChars="0" w:right="0"/>
        <w:textAlignment w:val="auto"/>
        <w:rPr>
          <w:color w:val="auto"/>
          <w:sz w:val="24"/>
          <w:szCs w:val="24"/>
          <w:highlight w:val="none"/>
        </w:rPr>
      </w:pPr>
      <w:bookmarkStart w:id="49" w:name="_Toc173361666"/>
      <w:r>
        <w:rPr>
          <w:rFonts w:hint="eastAsia" w:eastAsia="宋体"/>
          <w:color w:val="auto"/>
          <w:sz w:val="24"/>
          <w:szCs w:val="24"/>
          <w:highlight w:val="none"/>
          <w:lang w:val="en-US" w:eastAsia="zh-CN"/>
        </w:rPr>
        <w:t>三、</w:t>
      </w:r>
      <w:r>
        <w:rPr>
          <w:rFonts w:hint="eastAsia"/>
          <w:color w:val="auto"/>
          <w:sz w:val="24"/>
          <w:szCs w:val="24"/>
          <w:highlight w:val="none"/>
        </w:rPr>
        <w:t>系统功能要求</w:t>
      </w:r>
      <w:bookmarkEnd w:id="49"/>
    </w:p>
    <w:p w14:paraId="40F05C04">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对于我单位这种需要对大量媒体资料进行管理组织的机构而言，一套先进的智能媒资平台对于所拥有的媒体资产的不断保值和增值具有重要价值，可大大加强对数字资产的管理能力，提高媒体文件的可利用率和再利用程度，盘活所拥有的大量媒体资源。</w:t>
      </w:r>
    </w:p>
    <w:p w14:paraId="4F0BCCC4">
      <w:pPr>
        <w:pStyle w:val="2"/>
        <w:pageBreakBefore w:val="0"/>
        <w:kinsoku/>
        <w:wordWrap/>
        <w:overflowPunct/>
        <w:topLinePunct w:val="0"/>
        <w:autoSpaceDE/>
        <w:autoSpaceDN/>
        <w:bidi w:val="0"/>
        <w:adjustRightInd/>
        <w:snapToGrid/>
        <w:spacing w:line="480" w:lineRule="exact"/>
        <w:ind w:left="0" w:leftChars="0" w:right="0" w:firstLineChars="0"/>
        <w:textAlignment w:val="auto"/>
        <w:rPr>
          <w:rFonts w:asciiTheme="minorEastAsia" w:hAnsiTheme="minorEastAsia"/>
          <w:b/>
          <w:bCs/>
          <w:color w:val="auto"/>
          <w:sz w:val="22"/>
          <w:szCs w:val="22"/>
          <w:highlight w:val="none"/>
        </w:rPr>
      </w:pPr>
      <w:r>
        <w:rPr>
          <w:rFonts w:hint="eastAsia" w:ascii="宋体" w:hAnsi="宋体" w:eastAsia="宋体" w:cs="宋体"/>
          <w:b/>
          <w:bCs/>
          <w:color w:val="auto"/>
          <w:sz w:val="22"/>
          <w:szCs w:val="22"/>
          <w:highlight w:val="none"/>
        </w:rPr>
        <w:t>▲</w:t>
      </w:r>
      <w:r>
        <w:rPr>
          <w:rFonts w:hint="eastAsia" w:cs="宋体" w:asciiTheme="minorEastAsia" w:hAnsiTheme="minorEastAsia"/>
          <w:b/>
          <w:bCs/>
          <w:color w:val="auto"/>
          <w:sz w:val="22"/>
          <w:szCs w:val="22"/>
          <w:highlight w:val="none"/>
        </w:rPr>
        <w:t>智能媒资平台应具备新闻结构化识别、新闻标题提取、新闻分类识别、实体标签提取、内容摘要提取的能力，要求提供</w:t>
      </w:r>
      <w:r>
        <w:rPr>
          <w:rFonts w:hint="eastAsia" w:cs="宋体" w:asciiTheme="minorEastAsia" w:hAnsiTheme="minorEastAsia"/>
          <w:b/>
          <w:bCs/>
          <w:color w:val="auto"/>
          <w:sz w:val="22"/>
          <w:szCs w:val="22"/>
          <w:highlight w:val="none"/>
          <w:lang w:val="en-US" w:eastAsia="zh-CN"/>
        </w:rPr>
        <w:t>有效的</w:t>
      </w:r>
      <w:r>
        <w:rPr>
          <w:rFonts w:hint="eastAsia" w:cs="宋体" w:asciiTheme="minorEastAsia" w:hAnsiTheme="minorEastAsia"/>
          <w:b/>
          <w:bCs/>
          <w:color w:val="auto"/>
          <w:sz w:val="22"/>
          <w:szCs w:val="22"/>
          <w:highlight w:val="none"/>
        </w:rPr>
        <w:t>检测报告</w:t>
      </w:r>
      <w:r>
        <w:rPr>
          <w:rFonts w:hint="eastAsia"/>
          <w:b/>
          <w:bCs w:val="0"/>
          <w:color w:val="auto"/>
          <w:sz w:val="22"/>
          <w:szCs w:val="21"/>
          <w:highlight w:val="none"/>
          <w:lang w:val="en-US" w:eastAsia="zh-CN"/>
        </w:rPr>
        <w:t>复印件并加盖供应商公章</w:t>
      </w:r>
      <w:r>
        <w:rPr>
          <w:rFonts w:hint="eastAsia" w:cs="宋体" w:asciiTheme="minorEastAsia" w:hAnsiTheme="minorEastAsia"/>
          <w:b/>
          <w:bCs/>
          <w:color w:val="auto"/>
          <w:sz w:val="22"/>
          <w:szCs w:val="22"/>
          <w:highlight w:val="none"/>
        </w:rPr>
        <w:t>；</w:t>
      </w:r>
    </w:p>
    <w:p w14:paraId="61336870">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50" w:name="_Toc173361667"/>
      <w:r>
        <w:rPr>
          <w:rFonts w:hint="eastAsia" w:asciiTheme="minorEastAsia" w:hAnsiTheme="minorEastAsia" w:eastAsiaTheme="minorEastAsia"/>
          <w:color w:val="auto"/>
          <w:sz w:val="24"/>
          <w:szCs w:val="24"/>
          <w:highlight w:val="none"/>
          <w:lang w:val="en-US" w:eastAsia="zh-CN"/>
        </w:rPr>
        <w:t>3.1</w:t>
      </w:r>
      <w:r>
        <w:rPr>
          <w:rFonts w:hint="eastAsia" w:asciiTheme="minorEastAsia" w:hAnsiTheme="minorEastAsia" w:eastAsiaTheme="minorEastAsia"/>
          <w:color w:val="auto"/>
          <w:sz w:val="24"/>
          <w:szCs w:val="24"/>
          <w:highlight w:val="none"/>
        </w:rPr>
        <w:t>媒资门户</w:t>
      </w:r>
      <w:bookmarkEnd w:id="50"/>
    </w:p>
    <w:p w14:paraId="73B1B007">
      <w:pPr>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8"/>
          <w:highlight w:val="none"/>
          <w:shd w:val="clear" w:color="auto" w:fill="FFFFFF"/>
        </w:rPr>
      </w:pPr>
      <w:r>
        <w:rPr>
          <w:rFonts w:hint="eastAsia" w:asciiTheme="minorEastAsia" w:hAnsiTheme="minorEastAsia"/>
          <w:color w:val="auto"/>
          <w:sz w:val="22"/>
          <w:szCs w:val="28"/>
          <w:highlight w:val="none"/>
          <w:shd w:val="clear" w:color="auto" w:fill="FFFFFF"/>
        </w:rPr>
        <w:t>门户首页要求展示轮播推荐、主题推荐、热门场景、热门关键词、热门人物、资源概述、入出库任务量分布、热门分类排行、最多浏览、最多使用、最新入库，具体要求如下：</w:t>
      </w:r>
    </w:p>
    <w:p w14:paraId="56F47B10">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轮播推荐：具备权限的用户可选择一些时效性强的需要重点宣传、推荐的素材；</w:t>
      </w:r>
    </w:p>
    <w:p w14:paraId="7190AC0C">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主题推荐：可选择一些应时或更新的主题包内容做推荐，点击可预览查看；</w:t>
      </w:r>
    </w:p>
    <w:p w14:paraId="344583CB">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热门场景：要求自动展示数量top场景，点击可带条件检索；</w:t>
      </w:r>
    </w:p>
    <w:p w14:paraId="716777D5">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热门关键词：根据资源库中提取的关键词频率进行排序，展示出当前热门的关键词；</w:t>
      </w:r>
    </w:p>
    <w:p w14:paraId="5C84682B">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热门人物：可自主选择一些知识库的已知人物做展示；</w:t>
      </w:r>
    </w:p>
    <w:p w14:paraId="14BB37FB">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资源概述：对资源库中的资源总量进行汇总，按内容数量和时长做分类展示，可展示每日新增情况；</w:t>
      </w:r>
    </w:p>
    <w:p w14:paraId="2313025B">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任务量分布：要求采用折线图，按不同日期展示当前用户的入、出库操作数量；</w:t>
      </w:r>
    </w:p>
    <w:p w14:paraId="3DFC6637">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热门分类排行：要求根据智能分析的分类结果，以柱状排行形式动态展示当前素材的分类统计情况；</w:t>
      </w:r>
    </w:p>
    <w:p w14:paraId="4A13EA51">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最多浏览：根据各素材浏览量，展示出资源库中浏览次数最多的1</w:t>
      </w:r>
      <w:r>
        <w:rPr>
          <w:rFonts w:asciiTheme="minorEastAsia" w:hAnsiTheme="minorEastAsia" w:eastAsiaTheme="minorEastAsia"/>
          <w:color w:val="auto"/>
          <w:sz w:val="22"/>
          <w:szCs w:val="22"/>
          <w:highlight w:val="none"/>
        </w:rPr>
        <w:t>0</w:t>
      </w:r>
      <w:r>
        <w:rPr>
          <w:rFonts w:hint="eastAsia" w:asciiTheme="minorEastAsia" w:hAnsiTheme="minorEastAsia" w:eastAsiaTheme="minorEastAsia"/>
          <w:color w:val="auto"/>
          <w:sz w:val="22"/>
          <w:szCs w:val="22"/>
          <w:highlight w:val="none"/>
        </w:rPr>
        <w:t>条素材；</w:t>
      </w:r>
    </w:p>
    <w:p w14:paraId="4FCBABC0">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最多使用：根据下载和出库量，展示出资源库中使用数量最高的1</w:t>
      </w:r>
      <w:r>
        <w:rPr>
          <w:rFonts w:asciiTheme="minorEastAsia" w:hAnsiTheme="minorEastAsia" w:eastAsiaTheme="minorEastAsia"/>
          <w:color w:val="auto"/>
          <w:sz w:val="22"/>
          <w:szCs w:val="22"/>
          <w:highlight w:val="none"/>
        </w:rPr>
        <w:t>0</w:t>
      </w:r>
      <w:r>
        <w:rPr>
          <w:rFonts w:hint="eastAsia" w:asciiTheme="minorEastAsia" w:hAnsiTheme="minorEastAsia" w:eastAsiaTheme="minorEastAsia"/>
          <w:color w:val="auto"/>
          <w:sz w:val="22"/>
          <w:szCs w:val="22"/>
          <w:highlight w:val="none"/>
        </w:rPr>
        <w:t>条素材；</w:t>
      </w:r>
    </w:p>
    <w:p w14:paraId="5CCA05A0">
      <w:pPr>
        <w:pStyle w:val="19"/>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最新入库：要求展示资源库当前最新入库的1</w:t>
      </w:r>
      <w:r>
        <w:rPr>
          <w:rFonts w:asciiTheme="minorEastAsia" w:hAnsiTheme="minorEastAsia" w:eastAsiaTheme="minorEastAsia"/>
          <w:color w:val="auto"/>
          <w:sz w:val="22"/>
          <w:szCs w:val="22"/>
          <w:highlight w:val="none"/>
        </w:rPr>
        <w:t>0</w:t>
      </w:r>
      <w:r>
        <w:rPr>
          <w:rFonts w:hint="eastAsia" w:asciiTheme="minorEastAsia" w:hAnsiTheme="minorEastAsia" w:eastAsiaTheme="minorEastAsia"/>
          <w:color w:val="auto"/>
          <w:sz w:val="22"/>
          <w:szCs w:val="22"/>
          <w:highlight w:val="none"/>
        </w:rPr>
        <w:t>条素材；</w:t>
      </w:r>
    </w:p>
    <w:p w14:paraId="4044CD8F">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51" w:name="_Toc173361668"/>
      <w:r>
        <w:rPr>
          <w:rFonts w:hint="eastAsia" w:asciiTheme="minorEastAsia" w:hAnsiTheme="minorEastAsia" w:eastAsiaTheme="minorEastAsia"/>
          <w:color w:val="auto"/>
          <w:sz w:val="24"/>
          <w:szCs w:val="24"/>
          <w:highlight w:val="none"/>
          <w:lang w:val="en-US" w:eastAsia="zh-CN"/>
        </w:rPr>
        <w:t>3.2</w:t>
      </w:r>
      <w:r>
        <w:rPr>
          <w:rFonts w:hint="eastAsia" w:asciiTheme="minorEastAsia" w:hAnsiTheme="minorEastAsia" w:eastAsiaTheme="minorEastAsia"/>
          <w:color w:val="auto"/>
          <w:sz w:val="24"/>
          <w:szCs w:val="24"/>
          <w:highlight w:val="none"/>
        </w:rPr>
        <w:t>内容入库</w:t>
      </w:r>
      <w:bookmarkEnd w:id="51"/>
    </w:p>
    <w:p w14:paraId="377757D8">
      <w:pPr>
        <w:pageBreakBefore w:val="0"/>
        <w:kinsoku/>
        <w:wordWrap/>
        <w:overflowPunct/>
        <w:topLinePunct w:val="0"/>
        <w:autoSpaceDE/>
        <w:autoSpaceDN/>
        <w:bidi w:val="0"/>
        <w:adjustRightInd/>
        <w:snapToGrid/>
        <w:spacing w:line="480" w:lineRule="exact"/>
        <w:ind w:left="0" w:leftChars="0" w:right="0" w:firstLine="431" w:firstLineChars="196"/>
        <w:textAlignment w:val="auto"/>
        <w:rPr>
          <w:rFonts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素材上传主要用于平台内外素材文件通过客户端导入至平台内。需有标准化的B/S，C/S上传界面。并提供断点续传，失败重传，上传是否成功，上传素材信息总览等功能，具体要求如下：</w:t>
      </w:r>
    </w:p>
    <w:p w14:paraId="2281D90D">
      <w:pPr>
        <w:pStyle w:val="19"/>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支持通过轻量级客户端直接上传入库，</w:t>
      </w:r>
      <w:r>
        <w:rPr>
          <w:rFonts w:asciiTheme="minorEastAsia" w:hAnsiTheme="minorEastAsia" w:eastAsiaTheme="minorEastAsia"/>
          <w:color w:val="auto"/>
          <w:sz w:val="22"/>
          <w:szCs w:val="22"/>
          <w:highlight w:val="none"/>
        </w:rPr>
        <w:t>支持异地远程回传</w:t>
      </w:r>
      <w:r>
        <w:rPr>
          <w:rFonts w:hint="eastAsia" w:asciiTheme="minorEastAsia" w:hAnsiTheme="minorEastAsia" w:eastAsiaTheme="minorEastAsia"/>
          <w:color w:val="auto"/>
          <w:sz w:val="22"/>
          <w:szCs w:val="22"/>
          <w:highlight w:val="none"/>
        </w:rPr>
        <w:t>；</w:t>
      </w:r>
    </w:p>
    <w:p w14:paraId="4D8A2A92">
      <w:pPr>
        <w:pStyle w:val="19"/>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支持大文件</w:t>
      </w:r>
      <w:r>
        <w:rPr>
          <w:rFonts w:asciiTheme="minorEastAsia" w:hAnsiTheme="minorEastAsia" w:eastAsiaTheme="minorEastAsia"/>
          <w:color w:val="auto"/>
          <w:sz w:val="22"/>
          <w:szCs w:val="22"/>
          <w:highlight w:val="none"/>
        </w:rPr>
        <w:t>回传与下载，支持断点续传</w:t>
      </w:r>
      <w:r>
        <w:rPr>
          <w:rFonts w:hint="eastAsia" w:asciiTheme="minorEastAsia" w:hAnsiTheme="minorEastAsia" w:eastAsiaTheme="minorEastAsia"/>
          <w:color w:val="auto"/>
          <w:sz w:val="22"/>
          <w:szCs w:val="22"/>
          <w:highlight w:val="none"/>
        </w:rPr>
        <w:t>；</w:t>
      </w:r>
    </w:p>
    <w:p w14:paraId="7D42E777">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支持将文件上传至指定目录，由系统自动扫描入库；</w:t>
      </w:r>
    </w:p>
    <w:p w14:paraId="116129EE">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支持UDP/TCP等</w:t>
      </w:r>
      <w:r>
        <w:rPr>
          <w:rFonts w:cs="宋体" w:asciiTheme="minorEastAsia" w:hAnsiTheme="minorEastAsia"/>
          <w:color w:val="auto"/>
          <w:sz w:val="22"/>
          <w:szCs w:val="22"/>
          <w:highlight w:val="none"/>
        </w:rPr>
        <w:t>多种传输协议</w:t>
      </w:r>
      <w:r>
        <w:rPr>
          <w:rFonts w:hint="eastAsia" w:cs="宋体" w:asciiTheme="minorEastAsia" w:hAnsiTheme="minorEastAsia"/>
          <w:color w:val="auto"/>
          <w:sz w:val="22"/>
          <w:szCs w:val="22"/>
          <w:highlight w:val="none"/>
        </w:rPr>
        <w:t>，</w:t>
      </w:r>
      <w:r>
        <w:rPr>
          <w:rFonts w:cs="宋体" w:asciiTheme="minorEastAsia" w:hAnsiTheme="minorEastAsia"/>
          <w:color w:val="auto"/>
          <w:sz w:val="22"/>
          <w:szCs w:val="22"/>
          <w:highlight w:val="none"/>
        </w:rPr>
        <w:t>可根据网络情况灵活选择</w:t>
      </w:r>
      <w:r>
        <w:rPr>
          <w:rFonts w:hint="eastAsia" w:cs="宋体" w:asciiTheme="minorEastAsia" w:hAnsiTheme="minorEastAsia"/>
          <w:color w:val="auto"/>
          <w:sz w:val="22"/>
          <w:szCs w:val="22"/>
          <w:highlight w:val="none"/>
        </w:rPr>
        <w:t>；</w:t>
      </w:r>
    </w:p>
    <w:p w14:paraId="11D4626B">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支持入库资源文件的白名单校验，不符合要求的文件将限制入库；</w:t>
      </w:r>
    </w:p>
    <w:p w14:paraId="2F09F0BC">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支持在局域网、</w:t>
      </w:r>
      <w:r>
        <w:rPr>
          <w:rFonts w:cs="宋体" w:asciiTheme="minorEastAsia" w:hAnsiTheme="minorEastAsia"/>
          <w:color w:val="auto"/>
          <w:sz w:val="22"/>
          <w:szCs w:val="22"/>
          <w:highlight w:val="none"/>
        </w:rPr>
        <w:t>广域网</w:t>
      </w:r>
      <w:r>
        <w:rPr>
          <w:rFonts w:hint="eastAsia" w:cs="宋体" w:asciiTheme="minorEastAsia" w:hAnsiTheme="minorEastAsia"/>
          <w:color w:val="auto"/>
          <w:sz w:val="22"/>
          <w:szCs w:val="22"/>
          <w:highlight w:val="none"/>
        </w:rPr>
        <w:t>环境下进行</w:t>
      </w:r>
      <w:r>
        <w:rPr>
          <w:rFonts w:cs="宋体" w:asciiTheme="minorEastAsia" w:hAnsiTheme="minorEastAsia"/>
          <w:color w:val="auto"/>
          <w:sz w:val="22"/>
          <w:szCs w:val="22"/>
          <w:highlight w:val="none"/>
        </w:rPr>
        <w:t>文件</w:t>
      </w:r>
      <w:r>
        <w:rPr>
          <w:rFonts w:hint="eastAsia" w:cs="宋体" w:asciiTheme="minorEastAsia" w:hAnsiTheme="minorEastAsia"/>
          <w:color w:val="auto"/>
          <w:sz w:val="22"/>
          <w:szCs w:val="22"/>
          <w:highlight w:val="none"/>
        </w:rPr>
        <w:t>回传；</w:t>
      </w:r>
    </w:p>
    <w:p w14:paraId="57D9BC70">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支持通过浏览器上传，可单个或批量上传、支持以资料集</w:t>
      </w:r>
      <w:r>
        <w:rPr>
          <w:rFonts w:hint="eastAsia" w:asciiTheme="minorEastAsia" w:hAnsiTheme="minorEastAsia"/>
          <w:color w:val="auto"/>
          <w:sz w:val="22"/>
          <w:szCs w:val="22"/>
          <w:highlight w:val="none"/>
        </w:rPr>
        <w:t>方式</w:t>
      </w:r>
      <w:r>
        <w:rPr>
          <w:rFonts w:hint="eastAsia" w:cs="宋体" w:asciiTheme="minorEastAsia" w:hAnsiTheme="minorEastAsia"/>
          <w:color w:val="auto"/>
          <w:sz w:val="22"/>
          <w:szCs w:val="22"/>
          <w:highlight w:val="none"/>
        </w:rPr>
        <w:t>引入；</w:t>
      </w:r>
    </w:p>
    <w:p w14:paraId="7A49A54A">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上传时可</w:t>
      </w:r>
      <w:r>
        <w:rPr>
          <w:rFonts w:cs="宋体" w:asciiTheme="minorEastAsia" w:hAnsiTheme="minorEastAsia"/>
          <w:color w:val="auto"/>
          <w:sz w:val="22"/>
          <w:szCs w:val="22"/>
          <w:highlight w:val="none"/>
        </w:rPr>
        <w:t>进行</w:t>
      </w:r>
      <w:r>
        <w:rPr>
          <w:rFonts w:hint="eastAsia" w:cs="宋体" w:asciiTheme="minorEastAsia" w:hAnsiTheme="minorEastAsia"/>
          <w:color w:val="auto"/>
          <w:sz w:val="22"/>
          <w:szCs w:val="22"/>
          <w:highlight w:val="none"/>
        </w:rPr>
        <w:t>自定义</w:t>
      </w:r>
      <w:r>
        <w:rPr>
          <w:rFonts w:cs="宋体" w:asciiTheme="minorEastAsia" w:hAnsiTheme="minorEastAsia"/>
          <w:color w:val="auto"/>
          <w:sz w:val="22"/>
          <w:szCs w:val="22"/>
          <w:highlight w:val="none"/>
        </w:rPr>
        <w:t>相关信息填写，方便后续查找利用</w:t>
      </w:r>
      <w:r>
        <w:rPr>
          <w:rFonts w:hint="eastAsia" w:cs="宋体" w:asciiTheme="minorEastAsia" w:hAnsiTheme="minorEastAsia"/>
          <w:color w:val="auto"/>
          <w:sz w:val="22"/>
          <w:szCs w:val="22"/>
          <w:highlight w:val="none"/>
        </w:rPr>
        <w:t>，支持对相同类型的素材进行批量编辑元数据；</w:t>
      </w:r>
    </w:p>
    <w:p w14:paraId="2F229F82">
      <w:pPr>
        <w:pStyle w:val="8"/>
        <w:keepNext w:val="0"/>
        <w:keepLines w:val="0"/>
        <w:pageBreakBefore w:val="0"/>
        <w:widowControl w:val="0"/>
        <w:numPr>
          <w:ilvl w:val="0"/>
          <w:numId w:val="17"/>
        </w:numPr>
        <w:kinsoku/>
        <w:wordWrap/>
        <w:overflowPunct/>
        <w:topLinePunct w:val="0"/>
        <w:autoSpaceDE/>
        <w:autoSpaceDN/>
        <w:bidi w:val="0"/>
        <w:adjustRightInd/>
        <w:snapToGrid/>
        <w:spacing w:line="480" w:lineRule="exact"/>
        <w:ind w:left="0" w:leftChars="0" w:right="0" w:firstLine="400" w:firstLineChars="0"/>
        <w:textAlignment w:val="auto"/>
        <w:rPr>
          <w:rFonts w:cs="宋体" w:asciiTheme="minorEastAsia" w:hAnsiTheme="minorEastAsia"/>
          <w:color w:val="auto"/>
          <w:sz w:val="22"/>
          <w:szCs w:val="22"/>
          <w:highlight w:val="none"/>
        </w:rPr>
      </w:pPr>
      <w:r>
        <w:rPr>
          <w:rFonts w:hint="eastAsia" w:cs="宋体" w:asciiTheme="minorEastAsia" w:hAnsiTheme="minorEastAsia"/>
          <w:color w:val="auto"/>
          <w:sz w:val="22"/>
          <w:szCs w:val="22"/>
          <w:highlight w:val="none"/>
        </w:rPr>
        <w:t>支持定时目录扫描入库，即将需要入库的文件放入指定文件夹，由系统自动增量扫描该文件夹中的文件，并入库；</w:t>
      </w:r>
    </w:p>
    <w:p w14:paraId="1B5562F7">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52" w:name="_Toc173361669"/>
      <w:r>
        <w:rPr>
          <w:rFonts w:hint="eastAsia" w:asciiTheme="minorEastAsia" w:hAnsiTheme="minorEastAsia" w:eastAsiaTheme="minorEastAsia"/>
          <w:color w:val="auto"/>
          <w:sz w:val="24"/>
          <w:szCs w:val="24"/>
          <w:highlight w:val="none"/>
          <w:lang w:val="en-US" w:eastAsia="zh-CN"/>
        </w:rPr>
        <w:t>3.3</w:t>
      </w:r>
      <w:r>
        <w:rPr>
          <w:rFonts w:hint="eastAsia" w:asciiTheme="minorEastAsia" w:hAnsiTheme="minorEastAsia" w:eastAsiaTheme="minorEastAsia"/>
          <w:color w:val="auto"/>
          <w:sz w:val="24"/>
          <w:szCs w:val="24"/>
          <w:highlight w:val="none"/>
        </w:rPr>
        <w:t>内容审核</w:t>
      </w:r>
      <w:bookmarkEnd w:id="52"/>
    </w:p>
    <w:p w14:paraId="28DA87FA">
      <w:pPr>
        <w:pStyle w:val="20"/>
        <w:pageBreakBefore w:val="0"/>
        <w:kinsoku/>
        <w:wordWrap/>
        <w:overflowPunct/>
        <w:topLinePunct w:val="0"/>
        <w:autoSpaceDE/>
        <w:autoSpaceDN/>
        <w:bidi w:val="0"/>
        <w:adjustRightInd/>
        <w:snapToGrid/>
        <w:spacing w:line="480" w:lineRule="exact"/>
        <w:ind w:left="0" w:leftChars="0" w:right="0" w:firstLine="499" w:firstLineChars="227"/>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该功能主要用于审核入库的视频和音频文件，审核内容包括视频和音频的质量及元数据信息，具体要求如下：</w:t>
      </w:r>
    </w:p>
    <w:p w14:paraId="5CE99AD9">
      <w:pPr>
        <w:pStyle w:val="19"/>
        <w:keepNext w:val="0"/>
        <w:keepLines w:val="0"/>
        <w:pageBreakBefore w:val="0"/>
        <w:widowControl w:val="0"/>
        <w:numPr>
          <w:ilvl w:val="0"/>
          <w:numId w:val="18"/>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支持预览审核任务，并查看素材详情；</w:t>
      </w:r>
    </w:p>
    <w:p w14:paraId="12A94E70">
      <w:pPr>
        <w:pStyle w:val="8"/>
        <w:keepNext w:val="0"/>
        <w:keepLines w:val="0"/>
        <w:pageBreakBefore w:val="0"/>
        <w:widowControl w:val="0"/>
        <w:numPr>
          <w:ilvl w:val="0"/>
          <w:numId w:val="18"/>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支持根据出入点查看音视频技术审核结果，包括：静帧、黑场、不可听等；</w:t>
      </w:r>
    </w:p>
    <w:p w14:paraId="168B63F2">
      <w:pPr>
        <w:pStyle w:val="8"/>
        <w:keepNext w:val="0"/>
        <w:keepLines w:val="0"/>
        <w:pageBreakBefore w:val="0"/>
        <w:widowControl w:val="0"/>
        <w:numPr>
          <w:ilvl w:val="0"/>
          <w:numId w:val="18"/>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支持查看智能分析结果，包括：语音识别、字幕识别、人脸识别等；</w:t>
      </w:r>
    </w:p>
    <w:p w14:paraId="0599C6DF">
      <w:pPr>
        <w:pStyle w:val="8"/>
        <w:keepNext w:val="0"/>
        <w:keepLines w:val="0"/>
        <w:pageBreakBefore w:val="0"/>
        <w:widowControl w:val="0"/>
        <w:numPr>
          <w:ilvl w:val="0"/>
          <w:numId w:val="18"/>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支持通过入库或拒绝入库，被拒绝的任务将终止入库；</w:t>
      </w:r>
    </w:p>
    <w:p w14:paraId="7324208C">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53" w:name="_Toc76135956"/>
      <w:bookmarkStart w:id="54" w:name="_Toc36563231"/>
      <w:bookmarkStart w:id="55" w:name="_Toc4749780"/>
      <w:bookmarkStart w:id="56" w:name="_Toc77151023"/>
      <w:bookmarkStart w:id="57" w:name="_Toc173361670"/>
      <w:r>
        <w:rPr>
          <w:rFonts w:hint="eastAsia" w:asciiTheme="minorEastAsia" w:hAnsiTheme="minorEastAsia" w:eastAsiaTheme="minorEastAsia"/>
          <w:color w:val="auto"/>
          <w:sz w:val="24"/>
          <w:szCs w:val="24"/>
          <w:highlight w:val="none"/>
          <w:lang w:val="en-US" w:eastAsia="zh-CN"/>
        </w:rPr>
        <w:t>3.4</w:t>
      </w:r>
      <w:r>
        <w:rPr>
          <w:rFonts w:hint="eastAsia" w:asciiTheme="minorEastAsia" w:hAnsiTheme="minorEastAsia" w:eastAsiaTheme="minorEastAsia"/>
          <w:color w:val="auto"/>
          <w:sz w:val="24"/>
          <w:szCs w:val="24"/>
          <w:highlight w:val="none"/>
        </w:rPr>
        <w:t>内容检索</w:t>
      </w:r>
      <w:bookmarkEnd w:id="53"/>
      <w:bookmarkEnd w:id="54"/>
      <w:bookmarkEnd w:id="55"/>
      <w:bookmarkEnd w:id="56"/>
      <w:bookmarkEnd w:id="57"/>
    </w:p>
    <w:p w14:paraId="7B60E439">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提供检索门户，可以</w:t>
      </w:r>
      <w:r>
        <w:rPr>
          <w:rFonts w:asciiTheme="minorEastAsia" w:hAnsiTheme="minorEastAsia"/>
          <w:color w:val="auto"/>
          <w:sz w:val="22"/>
          <w:szCs w:val="22"/>
          <w:highlight w:val="none"/>
        </w:rPr>
        <w:t>将</w:t>
      </w:r>
      <w:r>
        <w:rPr>
          <w:rFonts w:hint="eastAsia" w:asciiTheme="minorEastAsia" w:hAnsiTheme="minorEastAsia"/>
          <w:color w:val="auto"/>
          <w:sz w:val="22"/>
          <w:szCs w:val="22"/>
          <w:highlight w:val="none"/>
        </w:rPr>
        <w:t>资源库</w:t>
      </w:r>
      <w:r>
        <w:rPr>
          <w:rFonts w:asciiTheme="minorEastAsia" w:hAnsiTheme="minorEastAsia"/>
          <w:color w:val="auto"/>
          <w:sz w:val="22"/>
          <w:szCs w:val="22"/>
          <w:highlight w:val="none"/>
        </w:rPr>
        <w:t>中的资源进行检索和展现</w:t>
      </w:r>
      <w:r>
        <w:rPr>
          <w:rFonts w:hint="eastAsia" w:asciiTheme="minorEastAsia" w:hAnsiTheme="minorEastAsia"/>
          <w:color w:val="auto"/>
          <w:sz w:val="22"/>
          <w:szCs w:val="22"/>
          <w:highlight w:val="none"/>
        </w:rPr>
        <w:t>，提供丰富的检索手段，如全文检索、分类检索、条件过滤检索等，支持检索结果的智能排序，针对每一类资源都针对性的提供最适合的展现方式，功能要求：</w:t>
      </w:r>
    </w:p>
    <w:p w14:paraId="4DEFDCE5">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提供全文检索、分类检索，并支持以上模式的组合检索。检索内容可被浏览，包括视频、音频、图片、文字、富文本</w:t>
      </w:r>
      <w:r>
        <w:rPr>
          <w:rFonts w:asciiTheme="minorEastAsia" w:hAnsiTheme="minorEastAsia" w:eastAsiaTheme="minorEastAsia"/>
          <w:color w:val="auto"/>
          <w:sz w:val="22"/>
          <w:szCs w:val="22"/>
          <w:highlight w:val="none"/>
        </w:rPr>
        <w:t>内容</w:t>
      </w:r>
      <w:r>
        <w:rPr>
          <w:rFonts w:hint="eastAsia" w:asciiTheme="minorEastAsia" w:hAnsiTheme="minorEastAsia" w:eastAsiaTheme="minorEastAsia"/>
          <w:color w:val="auto"/>
          <w:sz w:val="22"/>
          <w:szCs w:val="22"/>
          <w:highlight w:val="none"/>
        </w:rPr>
        <w:t>等；</w:t>
      </w:r>
    </w:p>
    <w:p w14:paraId="37A99556">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全文检索引擎可完成针对大规模数据，在秒级时间内完成这一搜索需求；</w:t>
      </w:r>
    </w:p>
    <w:p w14:paraId="6ABA4D79">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支持在第一次检索结果中进行二次递进检索，进一步精确检索范围；</w:t>
      </w:r>
    </w:p>
    <w:p w14:paraId="5042F1BE">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支持条件</w:t>
      </w:r>
      <w:r>
        <w:rPr>
          <w:rFonts w:asciiTheme="minorEastAsia" w:hAnsiTheme="minorEastAsia" w:eastAsiaTheme="minorEastAsia"/>
          <w:color w:val="auto"/>
          <w:sz w:val="22"/>
          <w:szCs w:val="22"/>
          <w:highlight w:val="none"/>
        </w:rPr>
        <w:t>过滤检索</w:t>
      </w:r>
      <w:r>
        <w:rPr>
          <w:rFonts w:hint="eastAsia" w:asciiTheme="minorEastAsia" w:hAnsiTheme="minorEastAsia" w:eastAsiaTheme="minorEastAsia"/>
          <w:color w:val="auto"/>
          <w:sz w:val="22"/>
          <w:szCs w:val="22"/>
          <w:highlight w:val="none"/>
        </w:rPr>
        <w:t>，进一步找到需要的素材。条件过滤包括：类型、部门、画质、地点、来源、编目状态等；</w:t>
      </w:r>
    </w:p>
    <w:p w14:paraId="502EF5F9">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支持以图搜视频、以图搜图片，上传一张含有人脸的图片，可检索出包含该人脸的视频或图片；</w:t>
      </w:r>
    </w:p>
    <w:p w14:paraId="3D007853">
      <w:pPr>
        <w:pStyle w:val="19"/>
        <w:keepNext w:val="0"/>
        <w:keepLines w:val="0"/>
        <w:pageBreakBefore w:val="0"/>
        <w:widowControl w:val="0"/>
        <w:numPr>
          <w:ilvl w:val="0"/>
          <w:numId w:val="19"/>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color w:val="auto"/>
          <w:sz w:val="22"/>
          <w:szCs w:val="28"/>
          <w:highlight w:val="none"/>
        </w:rPr>
        <w:t>支持跨模态检索，可基于自然语言描述场景，利用深度学习模型，对向量特征进行提取和关联，通过相似度计算寻找与目标最相关的跨模态数据，支持对视频、图片等内容进行检索；</w:t>
      </w:r>
    </w:p>
    <w:p w14:paraId="7A622149">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58" w:name="_Toc173361671"/>
      <w:r>
        <w:rPr>
          <w:rFonts w:hint="eastAsia" w:asciiTheme="minorEastAsia" w:hAnsiTheme="minorEastAsia" w:eastAsiaTheme="minorEastAsia"/>
          <w:color w:val="auto"/>
          <w:sz w:val="24"/>
          <w:szCs w:val="24"/>
          <w:highlight w:val="none"/>
          <w:lang w:val="en-US" w:eastAsia="zh-CN"/>
        </w:rPr>
        <w:t>3.5</w:t>
      </w:r>
      <w:r>
        <w:rPr>
          <w:rFonts w:hint="eastAsia" w:asciiTheme="minorEastAsia" w:hAnsiTheme="minorEastAsia" w:eastAsiaTheme="minorEastAsia"/>
          <w:color w:val="auto"/>
          <w:sz w:val="24"/>
          <w:szCs w:val="24"/>
          <w:highlight w:val="none"/>
        </w:rPr>
        <w:t>内容管理</w:t>
      </w:r>
      <w:bookmarkEnd w:id="58"/>
    </w:p>
    <w:p w14:paraId="58703ED1">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59" w:name="_Toc173361672"/>
      <w:r>
        <w:rPr>
          <w:rFonts w:hint="eastAsia" w:asciiTheme="minorEastAsia" w:hAnsiTheme="minorEastAsia" w:eastAsiaTheme="minorEastAsia"/>
          <w:color w:val="auto"/>
          <w:sz w:val="24"/>
          <w:szCs w:val="22"/>
          <w:highlight w:val="none"/>
          <w:u w:val="none"/>
          <w:lang w:val="en-US" w:eastAsia="zh-CN"/>
        </w:rPr>
        <w:t>3.5.1</w:t>
      </w:r>
      <w:r>
        <w:rPr>
          <w:rFonts w:hint="eastAsia" w:asciiTheme="minorEastAsia" w:hAnsiTheme="minorEastAsia" w:eastAsiaTheme="minorEastAsia"/>
          <w:color w:val="auto"/>
          <w:sz w:val="24"/>
          <w:szCs w:val="22"/>
          <w:highlight w:val="none"/>
          <w:u w:val="none"/>
        </w:rPr>
        <w:t>音视频文件</w:t>
      </w:r>
      <w:bookmarkEnd w:id="59"/>
    </w:p>
    <w:p w14:paraId="0BC3AF2E">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要求支持各种格式的视频、音频文件入库，支持查看视频内容的元数据、智能标签、结构化、人脸识别结果、语音识别结果、字幕识别结果、审核信息、关键帧、历史操作记录、文件格式列表等信息。针对4</w:t>
      </w:r>
      <w:r>
        <w:rPr>
          <w:rFonts w:ascii="宋体" w:hAnsi="宋体" w:eastAsia="宋体"/>
          <w:color w:val="auto"/>
          <w:sz w:val="22"/>
          <w:szCs w:val="20"/>
          <w:highlight w:val="none"/>
        </w:rPr>
        <w:t>K</w:t>
      </w:r>
      <w:r>
        <w:rPr>
          <w:rFonts w:hint="eastAsia" w:ascii="宋体" w:hAnsi="宋体" w:eastAsia="宋体"/>
          <w:color w:val="auto"/>
          <w:sz w:val="22"/>
          <w:szCs w:val="20"/>
          <w:highlight w:val="none"/>
        </w:rPr>
        <w:t>格式，要求支持4K视频预览，支持4K视频动态范围、伽马曲线、色域值、分辨率等特征参数的显示；</w:t>
      </w:r>
    </w:p>
    <w:p w14:paraId="3415019D">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60" w:name="_Toc173361673"/>
      <w:r>
        <w:rPr>
          <w:rFonts w:hint="eastAsia" w:asciiTheme="minorEastAsia" w:hAnsiTheme="minorEastAsia" w:eastAsiaTheme="minorEastAsia"/>
          <w:color w:val="auto"/>
          <w:sz w:val="24"/>
          <w:szCs w:val="22"/>
          <w:highlight w:val="none"/>
          <w:u w:val="none"/>
          <w:lang w:val="en-US" w:eastAsia="zh-CN"/>
        </w:rPr>
        <w:t>3.5.2</w:t>
      </w:r>
      <w:r>
        <w:rPr>
          <w:rFonts w:hint="eastAsia" w:asciiTheme="minorEastAsia" w:hAnsiTheme="minorEastAsia" w:eastAsiaTheme="minorEastAsia"/>
          <w:color w:val="auto"/>
          <w:sz w:val="24"/>
          <w:szCs w:val="22"/>
          <w:highlight w:val="none"/>
          <w:u w:val="none"/>
        </w:rPr>
        <w:t>图片文件</w:t>
      </w:r>
      <w:bookmarkEnd w:id="60"/>
    </w:p>
    <w:p w14:paraId="5A03D558">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要求支持各种格式的图片文件入库，</w:t>
      </w:r>
      <w:r>
        <w:rPr>
          <w:rFonts w:ascii="宋体" w:hAnsi="宋体" w:eastAsia="宋体"/>
          <w:color w:val="auto"/>
          <w:sz w:val="22"/>
          <w:szCs w:val="20"/>
          <w:highlight w:val="none"/>
        </w:rPr>
        <w:t>可以查看</w:t>
      </w:r>
      <w:r>
        <w:rPr>
          <w:rFonts w:hint="eastAsia" w:ascii="宋体" w:hAnsi="宋体" w:eastAsia="宋体"/>
          <w:color w:val="auto"/>
          <w:sz w:val="22"/>
          <w:szCs w:val="20"/>
          <w:highlight w:val="none"/>
        </w:rPr>
        <w:t>图片</w:t>
      </w:r>
      <w:r>
        <w:rPr>
          <w:rFonts w:ascii="宋体" w:hAnsi="宋体" w:eastAsia="宋体"/>
          <w:color w:val="auto"/>
          <w:sz w:val="22"/>
          <w:szCs w:val="20"/>
          <w:highlight w:val="none"/>
        </w:rPr>
        <w:t>内容的元数据、智能标签、人脸识别结果、字幕识别结果、审核信息、历史操作记录、文件格式列表等信息</w:t>
      </w:r>
      <w:r>
        <w:rPr>
          <w:rFonts w:hint="eastAsia" w:ascii="宋体" w:hAnsi="宋体" w:eastAsia="宋体"/>
          <w:color w:val="auto"/>
          <w:sz w:val="22"/>
          <w:szCs w:val="20"/>
          <w:highlight w:val="none"/>
        </w:rPr>
        <w:t>；</w:t>
      </w:r>
    </w:p>
    <w:p w14:paraId="4F5CF1EF">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61" w:name="_Toc173361674"/>
      <w:r>
        <w:rPr>
          <w:rFonts w:hint="eastAsia" w:asciiTheme="minorEastAsia" w:hAnsiTheme="minorEastAsia" w:eastAsiaTheme="minorEastAsia"/>
          <w:color w:val="auto"/>
          <w:sz w:val="24"/>
          <w:szCs w:val="22"/>
          <w:highlight w:val="none"/>
          <w:u w:val="none"/>
          <w:lang w:val="en-US" w:eastAsia="zh-CN"/>
        </w:rPr>
        <w:t>3.5.3</w:t>
      </w:r>
      <w:r>
        <w:rPr>
          <w:rFonts w:hint="eastAsia" w:asciiTheme="minorEastAsia" w:hAnsiTheme="minorEastAsia" w:eastAsiaTheme="minorEastAsia"/>
          <w:color w:val="auto"/>
          <w:sz w:val="24"/>
          <w:szCs w:val="22"/>
          <w:highlight w:val="none"/>
          <w:u w:val="none"/>
        </w:rPr>
        <w:t>电子报</w:t>
      </w:r>
      <w:bookmarkEnd w:id="61"/>
    </w:p>
    <w:p w14:paraId="3D4A9418">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要求智能媒资平台要能支持对我社已有电子报的管理，电子报的反解数据（x</w:t>
      </w:r>
      <w:r>
        <w:rPr>
          <w:rFonts w:ascii="宋体" w:hAnsi="宋体" w:eastAsia="宋体"/>
          <w:color w:val="auto"/>
          <w:sz w:val="22"/>
          <w:szCs w:val="20"/>
          <w:highlight w:val="none"/>
        </w:rPr>
        <w:t>ml</w:t>
      </w:r>
      <w:r>
        <w:rPr>
          <w:rFonts w:hint="eastAsia" w:ascii="宋体" w:hAnsi="宋体" w:eastAsia="宋体"/>
          <w:color w:val="auto"/>
          <w:sz w:val="22"/>
          <w:szCs w:val="20"/>
          <w:highlight w:val="none"/>
        </w:rPr>
        <w:t>或m</w:t>
      </w:r>
      <w:r>
        <w:rPr>
          <w:rFonts w:ascii="宋体" w:hAnsi="宋体" w:eastAsia="宋体"/>
          <w:color w:val="auto"/>
          <w:sz w:val="22"/>
          <w:szCs w:val="20"/>
          <w:highlight w:val="none"/>
        </w:rPr>
        <w:t>db</w:t>
      </w:r>
      <w:r>
        <w:rPr>
          <w:rFonts w:hint="eastAsia" w:ascii="宋体" w:hAnsi="宋体" w:eastAsia="宋体"/>
          <w:color w:val="auto"/>
          <w:sz w:val="22"/>
          <w:szCs w:val="20"/>
          <w:highlight w:val="none"/>
        </w:rPr>
        <w:t>）由招标方提供，媒资系统要将该反解数据解析后入库，具体如下：</w:t>
      </w:r>
    </w:p>
    <w:p w14:paraId="37424461">
      <w:pPr>
        <w:pStyle w:val="20"/>
        <w:pageBreakBefore w:val="0"/>
        <w:numPr>
          <w:ilvl w:val="0"/>
          <w:numId w:val="20"/>
        </w:numPr>
        <w:kinsoku/>
        <w:wordWrap/>
        <w:overflowPunct/>
        <w:topLinePunct w:val="0"/>
        <w:autoSpaceDE/>
        <w:autoSpaceDN/>
        <w:bidi w:val="0"/>
        <w:adjustRightInd/>
        <w:snapToGrid/>
        <w:spacing w:line="480" w:lineRule="exact"/>
        <w:ind w:left="0" w:leftChars="0" w:right="0" w:firstLine="400" w:firstLineChars="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要求提供报纸库，进入报纸库后，只查看对应报纸类型的内容；</w:t>
      </w:r>
    </w:p>
    <w:p w14:paraId="36FC541C">
      <w:pPr>
        <w:pStyle w:val="20"/>
        <w:pageBreakBefore w:val="0"/>
        <w:numPr>
          <w:ilvl w:val="0"/>
          <w:numId w:val="20"/>
        </w:numPr>
        <w:kinsoku/>
        <w:wordWrap/>
        <w:overflowPunct/>
        <w:topLinePunct w:val="0"/>
        <w:autoSpaceDE/>
        <w:autoSpaceDN/>
        <w:bidi w:val="0"/>
        <w:adjustRightInd/>
        <w:snapToGrid/>
        <w:spacing w:line="480" w:lineRule="exact"/>
        <w:ind w:left="0" w:leftChars="0" w:right="0" w:firstLine="400" w:firstLineChars="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w:t>
      </w:r>
      <w:r>
        <w:rPr>
          <w:rFonts w:ascii="宋体" w:hAnsi="宋体" w:eastAsia="宋体"/>
          <w:color w:val="auto"/>
          <w:sz w:val="22"/>
          <w:szCs w:val="20"/>
          <w:highlight w:val="none"/>
        </w:rPr>
        <w:t>报纸库</w:t>
      </w:r>
      <w:r>
        <w:rPr>
          <w:rFonts w:hint="eastAsia" w:ascii="宋体" w:hAnsi="宋体" w:eastAsia="宋体"/>
          <w:color w:val="auto"/>
          <w:sz w:val="22"/>
          <w:szCs w:val="20"/>
          <w:highlight w:val="none"/>
        </w:rPr>
        <w:t>提供</w:t>
      </w:r>
      <w:r>
        <w:rPr>
          <w:rFonts w:ascii="宋体" w:hAnsi="宋体" w:eastAsia="宋体"/>
          <w:color w:val="auto"/>
          <w:sz w:val="22"/>
          <w:szCs w:val="20"/>
          <w:highlight w:val="none"/>
        </w:rPr>
        <w:t>适应报纸类型的</w:t>
      </w:r>
      <w:r>
        <w:rPr>
          <w:rFonts w:hint="eastAsia" w:ascii="宋体" w:hAnsi="宋体" w:eastAsia="宋体"/>
          <w:color w:val="auto"/>
          <w:sz w:val="22"/>
          <w:szCs w:val="20"/>
          <w:highlight w:val="none"/>
        </w:rPr>
        <w:t>检索层面；</w:t>
      </w:r>
    </w:p>
    <w:p w14:paraId="1DDA5EAD">
      <w:pPr>
        <w:pStyle w:val="20"/>
        <w:pageBreakBefore w:val="0"/>
        <w:numPr>
          <w:ilvl w:val="0"/>
          <w:numId w:val="20"/>
        </w:numPr>
        <w:kinsoku/>
        <w:wordWrap/>
        <w:overflowPunct/>
        <w:topLinePunct w:val="0"/>
        <w:autoSpaceDE/>
        <w:autoSpaceDN/>
        <w:bidi w:val="0"/>
        <w:adjustRightInd/>
        <w:snapToGrid/>
        <w:spacing w:line="480" w:lineRule="exact"/>
        <w:ind w:left="0" w:leftChars="0" w:right="0" w:firstLine="400" w:firstLineChars="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要求支持报纸详情页，在详情页可查看到报纸信息、内容导航、版面预览、文章列表、图片列表</w:t>
      </w:r>
      <w:r>
        <w:rPr>
          <w:rFonts w:hint="eastAsia" w:ascii="宋体" w:hAnsi="宋体"/>
          <w:color w:val="auto"/>
          <w:sz w:val="22"/>
          <w:szCs w:val="20"/>
          <w:highlight w:val="none"/>
          <w:lang w:eastAsia="zh-CN"/>
        </w:rPr>
        <w:t>；</w:t>
      </w:r>
    </w:p>
    <w:p w14:paraId="3E70664E">
      <w:pPr>
        <w:pStyle w:val="20"/>
        <w:pageBreakBefore w:val="0"/>
        <w:numPr>
          <w:ilvl w:val="0"/>
          <w:numId w:val="20"/>
        </w:numPr>
        <w:kinsoku/>
        <w:wordWrap/>
        <w:overflowPunct/>
        <w:topLinePunct w:val="0"/>
        <w:autoSpaceDE/>
        <w:autoSpaceDN/>
        <w:bidi w:val="0"/>
        <w:adjustRightInd/>
        <w:snapToGrid/>
        <w:spacing w:line="480" w:lineRule="exact"/>
        <w:ind w:left="0" w:leftChars="0" w:right="0" w:firstLine="400" w:firstLineChars="0"/>
        <w:textAlignment w:val="auto"/>
        <w:rPr>
          <w:rFonts w:ascii="宋体" w:hAnsi="宋体" w:eastAsia="宋体"/>
          <w:color w:val="auto"/>
          <w:sz w:val="22"/>
          <w:szCs w:val="20"/>
          <w:highlight w:val="none"/>
        </w:rPr>
      </w:pPr>
      <w:r>
        <w:rPr>
          <w:rFonts w:hint="eastAsia" w:ascii="宋体" w:hAnsi="宋体" w:eastAsia="宋体"/>
          <w:color w:val="auto"/>
          <w:sz w:val="22"/>
          <w:szCs w:val="20"/>
          <w:highlight w:val="none"/>
        </w:rPr>
        <w:t>支持</w:t>
      </w:r>
      <w:r>
        <w:rPr>
          <w:rFonts w:ascii="宋体" w:hAnsi="宋体" w:eastAsia="宋体"/>
          <w:color w:val="auto"/>
          <w:sz w:val="22"/>
          <w:szCs w:val="20"/>
          <w:highlight w:val="none"/>
        </w:rPr>
        <w:t>按照报纸类型、期号、版面、文章的四级结构管理报纸内容；支持报纸版面热区交互；</w:t>
      </w:r>
      <w:r>
        <w:rPr>
          <w:rFonts w:hint="eastAsia" w:ascii="宋体" w:hAnsi="宋体" w:eastAsia="宋体"/>
          <w:color w:val="auto"/>
          <w:sz w:val="22"/>
          <w:szCs w:val="20"/>
          <w:highlight w:val="none"/>
        </w:rPr>
        <w:t>支持对报纸文章发起智能处理，提取智能标签</w:t>
      </w:r>
      <w:r>
        <w:rPr>
          <w:rFonts w:ascii="宋体" w:hAnsi="宋体" w:eastAsia="宋体"/>
          <w:color w:val="auto"/>
          <w:sz w:val="22"/>
          <w:szCs w:val="20"/>
          <w:highlight w:val="none"/>
        </w:rPr>
        <w:t>，支持对报纸进行</w:t>
      </w:r>
      <w:r>
        <w:rPr>
          <w:rFonts w:hint="eastAsia" w:ascii="宋体" w:hAnsi="宋体" w:eastAsia="宋体"/>
          <w:color w:val="auto"/>
          <w:sz w:val="22"/>
          <w:szCs w:val="20"/>
          <w:highlight w:val="none"/>
        </w:rPr>
        <w:t>多维度检索</w:t>
      </w:r>
      <w:r>
        <w:rPr>
          <w:rFonts w:ascii="宋体" w:hAnsi="宋体" w:eastAsia="宋体"/>
          <w:color w:val="auto"/>
          <w:sz w:val="22"/>
          <w:szCs w:val="20"/>
          <w:highlight w:val="none"/>
        </w:rPr>
        <w:t>，包括日期、关键词、标题、期号等</w:t>
      </w:r>
      <w:r>
        <w:rPr>
          <w:rFonts w:hint="eastAsia" w:ascii="宋体" w:hAnsi="宋体" w:eastAsia="宋体"/>
          <w:color w:val="auto"/>
          <w:sz w:val="22"/>
          <w:szCs w:val="20"/>
          <w:highlight w:val="none"/>
        </w:rPr>
        <w:t>。</w:t>
      </w:r>
    </w:p>
    <w:p w14:paraId="2569EDAF">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62" w:name="_Toc173361675"/>
      <w:r>
        <w:rPr>
          <w:rFonts w:hint="eastAsia" w:asciiTheme="minorEastAsia" w:hAnsiTheme="minorEastAsia" w:eastAsiaTheme="minorEastAsia"/>
          <w:color w:val="auto"/>
          <w:sz w:val="24"/>
          <w:szCs w:val="22"/>
          <w:highlight w:val="none"/>
          <w:u w:val="none"/>
          <w:lang w:val="en-US" w:eastAsia="zh-CN"/>
        </w:rPr>
        <w:t>3.5.4</w:t>
      </w:r>
      <w:r>
        <w:rPr>
          <w:rFonts w:hint="eastAsia" w:asciiTheme="minorEastAsia" w:hAnsiTheme="minorEastAsia" w:eastAsiaTheme="minorEastAsia"/>
          <w:color w:val="auto"/>
          <w:sz w:val="24"/>
          <w:szCs w:val="22"/>
          <w:highlight w:val="none"/>
          <w:u w:val="none"/>
        </w:rPr>
        <w:t>三维资产</w:t>
      </w:r>
      <w:bookmarkEnd w:id="62"/>
    </w:p>
    <w:p w14:paraId="71D6537A">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二维时代的资产库仅支持对音视频、图文稿件、节目、模板的关联，针对未来视听时代的要求，要求媒资系统支持三维资产库，支持二维资产和三维资产的统一管理，三维资产包括：纹理、材质、模型、场景、蓝图、动画和三维工程等，支持从策划、建模、制作和渲染过程中所产生的各类资产的归档和管理；</w:t>
      </w:r>
    </w:p>
    <w:p w14:paraId="46024470">
      <w:pPr>
        <w:pStyle w:val="6"/>
        <w:pageBreakBefore w:val="0"/>
        <w:numPr>
          <w:ilvl w:val="3"/>
          <w:numId w:val="0"/>
        </w:numPr>
        <w:kinsoku/>
        <w:wordWrap/>
        <w:overflowPunct/>
        <w:topLinePunct w:val="0"/>
        <w:autoSpaceDE/>
        <w:autoSpaceDN/>
        <w:bidi w:val="0"/>
        <w:adjustRightInd/>
        <w:snapToGrid/>
        <w:spacing w:before="0" w:beforeLines="0" w:after="0" w:afterLines="0" w:line="480" w:lineRule="exact"/>
        <w:ind w:left="0" w:leftChars="0" w:right="0"/>
        <w:textAlignment w:val="auto"/>
        <w:rPr>
          <w:rFonts w:asciiTheme="minorEastAsia" w:hAnsiTheme="minorEastAsia" w:eastAsiaTheme="minorEastAsia"/>
          <w:color w:val="auto"/>
          <w:sz w:val="24"/>
          <w:szCs w:val="22"/>
          <w:highlight w:val="none"/>
          <w:u w:val="none"/>
        </w:rPr>
      </w:pPr>
      <w:bookmarkStart w:id="63" w:name="_Toc173361676"/>
      <w:r>
        <w:rPr>
          <w:rFonts w:hint="eastAsia" w:asciiTheme="minorEastAsia" w:hAnsiTheme="minorEastAsia" w:eastAsiaTheme="minorEastAsia"/>
          <w:color w:val="auto"/>
          <w:sz w:val="24"/>
          <w:szCs w:val="22"/>
          <w:highlight w:val="none"/>
          <w:u w:val="none"/>
          <w:lang w:val="en-US" w:eastAsia="zh-CN"/>
        </w:rPr>
        <w:t>3.5.5</w:t>
      </w:r>
      <w:r>
        <w:rPr>
          <w:rFonts w:hint="eastAsia" w:asciiTheme="minorEastAsia" w:hAnsiTheme="minorEastAsia" w:eastAsiaTheme="minorEastAsia"/>
          <w:color w:val="auto"/>
          <w:sz w:val="24"/>
          <w:szCs w:val="22"/>
          <w:highlight w:val="none"/>
          <w:u w:val="none"/>
        </w:rPr>
        <w:t>其他类型文件</w:t>
      </w:r>
      <w:bookmarkEnd w:id="63"/>
    </w:p>
    <w:p w14:paraId="441B9679">
      <w:pPr>
        <w:pageBreakBefore w:val="0"/>
        <w:kinsoku/>
        <w:wordWrap/>
        <w:overflowPunct/>
        <w:topLinePunct w:val="0"/>
        <w:autoSpaceDE/>
        <w:autoSpaceDN/>
        <w:bidi w:val="0"/>
        <w:adjustRightInd/>
        <w:snapToGrid/>
        <w:spacing w:line="480" w:lineRule="exact"/>
        <w:ind w:left="0" w:leftChars="0" w:right="0" w:firstLine="42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智能媒资平台支持其他格式文件的入库管理，包括文档（PDF、RTF、DOCX等）、矢量图（EPS、CDR等）、工程图（AutoCAD、Maya等）、医学影像（DICOM、NIFTI、NRRD等）、数字胶片（DPX、R3D、CIN等）、电子书（EPUB、MOBI、AWZ3等）、压缩包（ZIP、RAR、TAR等），以实现对全维度内容的融合管理；</w:t>
      </w:r>
    </w:p>
    <w:p w14:paraId="7B670EAC">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64" w:name="_Toc173361677"/>
      <w:bookmarkStart w:id="65" w:name="_Toc4749782"/>
      <w:bookmarkStart w:id="66" w:name="_Toc77151025"/>
      <w:bookmarkStart w:id="67" w:name="_Toc36563232"/>
      <w:bookmarkStart w:id="68" w:name="_Toc76135962"/>
      <w:r>
        <w:rPr>
          <w:rFonts w:hint="eastAsia" w:asciiTheme="minorEastAsia" w:hAnsiTheme="minorEastAsia" w:eastAsiaTheme="minorEastAsia"/>
          <w:color w:val="auto"/>
          <w:sz w:val="24"/>
          <w:szCs w:val="24"/>
          <w:highlight w:val="none"/>
          <w:lang w:val="en-US" w:eastAsia="zh-CN"/>
        </w:rPr>
        <w:t>3.6</w:t>
      </w:r>
      <w:r>
        <w:rPr>
          <w:rFonts w:hint="eastAsia" w:asciiTheme="minorEastAsia" w:hAnsiTheme="minorEastAsia" w:eastAsiaTheme="minorEastAsia"/>
          <w:color w:val="auto"/>
          <w:sz w:val="24"/>
          <w:szCs w:val="24"/>
          <w:highlight w:val="none"/>
        </w:rPr>
        <w:t>专题管理</w:t>
      </w:r>
      <w:bookmarkEnd w:id="64"/>
    </w:p>
    <w:p w14:paraId="7F9731ED">
      <w:pPr>
        <w:pageBreakBefore w:val="0"/>
        <w:kinsoku/>
        <w:wordWrap/>
        <w:overflowPunct/>
        <w:topLinePunct w:val="0"/>
        <w:autoSpaceDE/>
        <w:autoSpaceDN/>
        <w:bidi w:val="0"/>
        <w:adjustRightInd/>
        <w:snapToGrid/>
        <w:spacing w:line="480" w:lineRule="exact"/>
        <w:ind w:left="0" w:leftChars="0" w:right="0" w:firstLine="42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专题管理可将相同主题或特征的内容进行自动或手动汇聚，便于集中查看、管理，具体要求如下：</w:t>
      </w:r>
    </w:p>
    <w:p w14:paraId="2BC4AF54">
      <w:pPr>
        <w:pStyle w:val="19"/>
        <w:keepNext w:val="0"/>
        <w:keepLines w:val="0"/>
        <w:pageBreakBefore w:val="0"/>
        <w:widowControl w:val="0"/>
        <w:numPr>
          <w:ilvl w:val="0"/>
          <w:numId w:val="2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支持设置条件进行自动汇聚，所有符合该条件的内容将自动汇合到该专辑；</w:t>
      </w:r>
    </w:p>
    <w:p w14:paraId="633F4333">
      <w:pPr>
        <w:pStyle w:val="19"/>
        <w:keepNext w:val="0"/>
        <w:keepLines w:val="0"/>
        <w:pageBreakBefore w:val="0"/>
        <w:widowControl w:val="0"/>
        <w:numPr>
          <w:ilvl w:val="0"/>
          <w:numId w:val="2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支持手动添加内容进入已有专题；</w:t>
      </w:r>
    </w:p>
    <w:p w14:paraId="7B7ED060">
      <w:pPr>
        <w:pStyle w:val="19"/>
        <w:keepNext w:val="0"/>
        <w:keepLines w:val="0"/>
        <w:pageBreakBefore w:val="0"/>
        <w:widowControl w:val="0"/>
        <w:numPr>
          <w:ilvl w:val="0"/>
          <w:numId w:val="21"/>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color w:val="auto"/>
          <w:sz w:val="22"/>
          <w:szCs w:val="28"/>
          <w:highlight w:val="none"/>
        </w:rPr>
        <w:t>系统应支持对主题包/子主题包进行统一管理，包括创建、删除、移动、设置封面、修改分类等操作</w:t>
      </w:r>
    </w:p>
    <w:p w14:paraId="2AFE744E">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69" w:name="_Toc173361678"/>
      <w:r>
        <w:rPr>
          <w:rFonts w:hint="eastAsia" w:asciiTheme="minorEastAsia" w:hAnsiTheme="minorEastAsia" w:eastAsiaTheme="minorEastAsia"/>
          <w:color w:val="auto"/>
          <w:sz w:val="24"/>
          <w:szCs w:val="24"/>
          <w:highlight w:val="none"/>
          <w:lang w:val="en-US" w:eastAsia="zh-CN"/>
        </w:rPr>
        <w:t>3.7</w:t>
      </w:r>
      <w:r>
        <w:rPr>
          <w:rFonts w:hint="eastAsia" w:asciiTheme="minorEastAsia" w:hAnsiTheme="minorEastAsia" w:eastAsiaTheme="minorEastAsia"/>
          <w:color w:val="auto"/>
          <w:sz w:val="24"/>
          <w:szCs w:val="24"/>
          <w:highlight w:val="none"/>
        </w:rPr>
        <w:t>出库下载</w:t>
      </w:r>
      <w:bookmarkEnd w:id="65"/>
      <w:bookmarkEnd w:id="66"/>
      <w:bookmarkEnd w:id="67"/>
      <w:bookmarkEnd w:id="68"/>
      <w:bookmarkEnd w:id="69"/>
    </w:p>
    <w:p w14:paraId="0C970FCC">
      <w:pPr>
        <w:pStyle w:val="2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要求支持对智能媒资平台中的内容进行回调，以便有效</w:t>
      </w:r>
      <w:r>
        <w:rPr>
          <w:rFonts w:asciiTheme="minorEastAsia" w:hAnsiTheme="minorEastAsia"/>
          <w:color w:val="auto"/>
          <w:sz w:val="22"/>
          <w:szCs w:val="22"/>
          <w:highlight w:val="none"/>
        </w:rPr>
        <w:t>提高</w:t>
      </w:r>
      <w:r>
        <w:rPr>
          <w:rFonts w:hint="eastAsia" w:asciiTheme="minorEastAsia" w:hAnsiTheme="minorEastAsia"/>
          <w:color w:val="auto"/>
          <w:sz w:val="22"/>
          <w:szCs w:val="22"/>
          <w:highlight w:val="none"/>
        </w:rPr>
        <w:t>内容的利用率，功能包括但不限于：</w:t>
      </w:r>
    </w:p>
    <w:p w14:paraId="6A19D5F5">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支持向</w:t>
      </w:r>
      <w:r>
        <w:rPr>
          <w:rFonts w:asciiTheme="minorEastAsia" w:hAnsiTheme="minorEastAsia" w:eastAsiaTheme="minorEastAsia"/>
          <w:color w:val="auto"/>
          <w:sz w:val="22"/>
          <w:szCs w:val="22"/>
          <w:highlight w:val="none"/>
        </w:rPr>
        <w:t>下游系统输出资源文件，包括</w:t>
      </w:r>
      <w:r>
        <w:rPr>
          <w:rFonts w:hint="eastAsia" w:asciiTheme="minorEastAsia" w:hAnsiTheme="minorEastAsia" w:eastAsiaTheme="minorEastAsia"/>
          <w:color w:val="auto"/>
          <w:sz w:val="22"/>
          <w:szCs w:val="22"/>
          <w:highlight w:val="none"/>
        </w:rPr>
        <w:t>：源码</w:t>
      </w:r>
      <w:r>
        <w:rPr>
          <w:rFonts w:asciiTheme="minorEastAsia" w:hAnsiTheme="minorEastAsia" w:eastAsiaTheme="minorEastAsia"/>
          <w:color w:val="auto"/>
          <w:sz w:val="22"/>
          <w:szCs w:val="22"/>
          <w:highlight w:val="none"/>
        </w:rPr>
        <w:t>文件</w:t>
      </w:r>
      <w:r>
        <w:rPr>
          <w:rFonts w:hint="eastAsia" w:asciiTheme="minorEastAsia" w:hAnsiTheme="minorEastAsia" w:eastAsiaTheme="minorEastAsia"/>
          <w:color w:val="auto"/>
          <w:sz w:val="22"/>
          <w:szCs w:val="22"/>
          <w:highlight w:val="none"/>
        </w:rPr>
        <w:t>和转码文件；</w:t>
      </w:r>
    </w:p>
    <w:p w14:paraId="71F7BD74">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支持提供同一资源的不同码率、不同格式转换功能，以适配不同业务平台的视音频格式要求；</w:t>
      </w:r>
    </w:p>
    <w:p w14:paraId="42D06B75">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支持整段素材下载/出库、支持片段下载/出库；</w:t>
      </w:r>
    </w:p>
    <w:p w14:paraId="4BE16606">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支持对同一素材的音视频分离文件进行指定文件类型的下载及转码，如只使用音频文件，可只音频文件进行回迁转码；</w:t>
      </w:r>
    </w:p>
    <w:p w14:paraId="122128BD">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支持对需要转码的素材进行多格式转码，转码不限于整段转码、打点转码；</w:t>
      </w:r>
    </w:p>
    <w:p w14:paraId="424BE1A8">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支持转码后的素材有统一的存储路径，支持低码浏览；</w:t>
      </w:r>
    </w:p>
    <w:p w14:paraId="687F8071">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支持编辑可通过统计界面查看转码进度；</w:t>
      </w:r>
    </w:p>
    <w:p w14:paraId="5A3A5882">
      <w:pPr>
        <w:pStyle w:val="19"/>
        <w:keepNext w:val="0"/>
        <w:keepLines w:val="0"/>
        <w:pageBreakBefore w:val="0"/>
        <w:widowControl w:val="0"/>
        <w:numPr>
          <w:ilvl w:val="0"/>
          <w:numId w:val="22"/>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提供</w:t>
      </w:r>
      <w:r>
        <w:rPr>
          <w:rFonts w:asciiTheme="minorEastAsia" w:hAnsiTheme="minorEastAsia" w:eastAsiaTheme="minorEastAsia"/>
          <w:color w:val="auto"/>
          <w:sz w:val="22"/>
          <w:szCs w:val="22"/>
          <w:highlight w:val="none"/>
        </w:rPr>
        <w:t>媒资库桥接工具</w:t>
      </w:r>
      <w:r>
        <w:rPr>
          <w:rFonts w:hint="eastAsia" w:asciiTheme="minorEastAsia" w:hAnsiTheme="minorEastAsia" w:eastAsiaTheme="minorEastAsia"/>
          <w:color w:val="auto"/>
          <w:sz w:val="22"/>
          <w:szCs w:val="22"/>
          <w:highlight w:val="none"/>
        </w:rPr>
        <w:t>，无需下载媒资内容即可在编辑软件中进行使用，且编辑完成后可以直接入库到媒资系统；</w:t>
      </w:r>
    </w:p>
    <w:p w14:paraId="07D87935">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70" w:name="_Toc173361679"/>
      <w:r>
        <w:rPr>
          <w:rFonts w:hint="eastAsia" w:asciiTheme="minorEastAsia" w:hAnsiTheme="minorEastAsia" w:eastAsiaTheme="minorEastAsia"/>
          <w:color w:val="auto"/>
          <w:sz w:val="24"/>
          <w:szCs w:val="24"/>
          <w:highlight w:val="none"/>
          <w:lang w:val="en-US" w:eastAsia="zh-CN"/>
        </w:rPr>
        <w:t>3.8</w:t>
      </w:r>
      <w:r>
        <w:rPr>
          <w:rFonts w:hint="eastAsia" w:asciiTheme="minorEastAsia" w:hAnsiTheme="minorEastAsia" w:eastAsiaTheme="minorEastAsia"/>
          <w:color w:val="auto"/>
          <w:sz w:val="24"/>
          <w:szCs w:val="24"/>
          <w:highlight w:val="none"/>
        </w:rPr>
        <w:t>知识图谱</w:t>
      </w:r>
      <w:bookmarkEnd w:id="70"/>
    </w:p>
    <w:p w14:paraId="075096F8">
      <w:pPr>
        <w:pageBreakBefore w:val="0"/>
        <w:kinsoku/>
        <w:wordWrap/>
        <w:overflowPunct/>
        <w:topLinePunct w:val="0"/>
        <w:autoSpaceDE/>
        <w:autoSpaceDN/>
        <w:bidi w:val="0"/>
        <w:adjustRightInd/>
        <w:snapToGrid/>
        <w:spacing w:line="480" w:lineRule="exact"/>
        <w:ind w:left="0" w:leftChars="0" w:right="0" w:firstLine="48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要求提供知识图谱功能，知识图谱用于对人物、机构做释义，便于媒资使用者快速、准确了解相关人物和机构简介，具体要求如下：</w:t>
      </w:r>
    </w:p>
    <w:p w14:paraId="1F65989C">
      <w:pPr>
        <w:pageBreakBefore w:val="0"/>
        <w:numPr>
          <w:ilvl w:val="0"/>
          <w:numId w:val="2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Cs w:val="21"/>
          <w:highlight w:val="none"/>
        </w:rPr>
      </w:pPr>
      <w:r>
        <w:rPr>
          <w:rFonts w:hint="eastAsia" w:asciiTheme="minorEastAsia" w:hAnsiTheme="minorEastAsia"/>
          <w:color w:val="auto"/>
          <w:sz w:val="22"/>
          <w:szCs w:val="22"/>
          <w:highlight w:val="none"/>
        </w:rPr>
        <w:t>要求预置人物库，分类展示和记录人物履历信息，支持增加、删除、修改、过滤、检索等操作；</w:t>
      </w:r>
    </w:p>
    <w:p w14:paraId="73EDCBC6">
      <w:pPr>
        <w:pageBreakBefore w:val="0"/>
        <w:numPr>
          <w:ilvl w:val="0"/>
          <w:numId w:val="23"/>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Cs w:val="21"/>
          <w:highlight w:val="none"/>
        </w:rPr>
      </w:pPr>
      <w:r>
        <w:rPr>
          <w:rFonts w:hint="eastAsia" w:asciiTheme="minorEastAsia" w:hAnsiTheme="minorEastAsia"/>
          <w:color w:val="auto"/>
          <w:sz w:val="22"/>
          <w:szCs w:val="22"/>
          <w:highlight w:val="none"/>
        </w:rPr>
        <w:t>要求预置企业、学校及医院等机构的信息，支持增加、删除、修改、查找等操作；</w:t>
      </w:r>
    </w:p>
    <w:p w14:paraId="14362D8F">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71" w:name="_Toc4749792"/>
      <w:bookmarkStart w:id="72" w:name="_Toc173361680"/>
      <w:bookmarkStart w:id="73" w:name="_Toc77151027"/>
      <w:bookmarkStart w:id="74" w:name="_Toc36563235"/>
      <w:bookmarkStart w:id="75" w:name="_Toc76135964"/>
      <w:bookmarkStart w:id="76" w:name="_Toc4749786"/>
      <w:r>
        <w:rPr>
          <w:rFonts w:hint="eastAsia" w:asciiTheme="minorEastAsia" w:hAnsiTheme="minorEastAsia" w:eastAsiaTheme="minorEastAsia"/>
          <w:color w:val="auto"/>
          <w:sz w:val="24"/>
          <w:szCs w:val="24"/>
          <w:highlight w:val="none"/>
          <w:lang w:val="en-US" w:eastAsia="zh-CN"/>
        </w:rPr>
        <w:t>3.9</w:t>
      </w:r>
      <w:r>
        <w:rPr>
          <w:rFonts w:hint="eastAsia" w:asciiTheme="minorEastAsia" w:hAnsiTheme="minorEastAsia" w:eastAsiaTheme="minorEastAsia"/>
          <w:color w:val="auto"/>
          <w:sz w:val="24"/>
          <w:szCs w:val="24"/>
          <w:highlight w:val="none"/>
        </w:rPr>
        <w:t>数据统计</w:t>
      </w:r>
      <w:bookmarkEnd w:id="71"/>
      <w:bookmarkEnd w:id="72"/>
      <w:bookmarkEnd w:id="73"/>
      <w:bookmarkEnd w:id="74"/>
      <w:bookmarkEnd w:id="75"/>
    </w:p>
    <w:p w14:paraId="02A38752">
      <w:pPr>
        <w:pageBreakBefore w:val="0"/>
        <w:kinsoku/>
        <w:wordWrap/>
        <w:overflowPunct/>
        <w:topLinePunct w:val="0"/>
        <w:autoSpaceDE/>
        <w:autoSpaceDN/>
        <w:bidi w:val="0"/>
        <w:adjustRightInd/>
        <w:snapToGrid/>
        <w:spacing w:line="480" w:lineRule="exact"/>
        <w:ind w:left="0" w:leftChars="0" w:right="0" w:firstLine="48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有统计功能权限的用户，可进入统计平台主页面，默认显示“统计”数据信息门户页面，即上传、出库、编目的总数和排行统计信息。要求：</w:t>
      </w:r>
    </w:p>
    <w:p w14:paraId="62F5C938">
      <w:pPr>
        <w:pStyle w:val="19"/>
        <w:keepNext w:val="0"/>
        <w:keepLines w:val="0"/>
        <w:pageBreakBefore w:val="0"/>
        <w:widowControl w:val="0"/>
        <w:numPr>
          <w:ilvl w:val="0"/>
          <w:numId w:val="2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显示系统中进行不同操作的前5名的用户名和操作数量；</w:t>
      </w:r>
    </w:p>
    <w:p w14:paraId="5159B3DB">
      <w:pPr>
        <w:pStyle w:val="19"/>
        <w:keepNext w:val="0"/>
        <w:keepLines w:val="0"/>
        <w:pageBreakBefore w:val="0"/>
        <w:widowControl w:val="0"/>
        <w:numPr>
          <w:ilvl w:val="0"/>
          <w:numId w:val="2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提供入库、出库、编目数据的统计报表；</w:t>
      </w:r>
    </w:p>
    <w:p w14:paraId="6065E76A">
      <w:pPr>
        <w:pStyle w:val="19"/>
        <w:keepNext w:val="0"/>
        <w:keepLines w:val="0"/>
        <w:pageBreakBefore w:val="0"/>
        <w:widowControl w:val="0"/>
        <w:numPr>
          <w:ilvl w:val="0"/>
          <w:numId w:val="24"/>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支持对统计报表的数据导出为e</w:t>
      </w:r>
      <w:r>
        <w:rPr>
          <w:rFonts w:asciiTheme="minorEastAsia" w:hAnsiTheme="minorEastAsia" w:eastAsiaTheme="minorEastAsia"/>
          <w:color w:val="auto"/>
          <w:sz w:val="22"/>
          <w:szCs w:val="22"/>
          <w:highlight w:val="none"/>
        </w:rPr>
        <w:t>xcel</w:t>
      </w:r>
      <w:r>
        <w:rPr>
          <w:rFonts w:hint="eastAsia" w:asciiTheme="minorEastAsia" w:hAnsiTheme="minorEastAsia" w:eastAsiaTheme="minorEastAsia"/>
          <w:color w:val="auto"/>
          <w:sz w:val="22"/>
          <w:szCs w:val="22"/>
          <w:highlight w:val="none"/>
        </w:rPr>
        <w:t>；</w:t>
      </w:r>
      <w:bookmarkEnd w:id="76"/>
    </w:p>
    <w:p w14:paraId="751DEE9A">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77" w:name="_Toc173361681"/>
      <w:r>
        <w:rPr>
          <w:rFonts w:hint="eastAsia" w:asciiTheme="minorEastAsia" w:hAnsiTheme="minorEastAsia" w:eastAsiaTheme="minorEastAsia"/>
          <w:color w:val="auto"/>
          <w:sz w:val="24"/>
          <w:szCs w:val="24"/>
          <w:highlight w:val="none"/>
          <w:lang w:val="en-US" w:eastAsia="zh-CN"/>
        </w:rPr>
        <w:t>3.10</w:t>
      </w:r>
      <w:r>
        <w:rPr>
          <w:rFonts w:hint="eastAsia" w:asciiTheme="minorEastAsia" w:hAnsiTheme="minorEastAsia" w:eastAsiaTheme="minorEastAsia"/>
          <w:color w:val="auto"/>
          <w:sz w:val="24"/>
          <w:szCs w:val="24"/>
          <w:highlight w:val="none"/>
        </w:rPr>
        <w:t>用户管理</w:t>
      </w:r>
      <w:bookmarkEnd w:id="77"/>
    </w:p>
    <w:p w14:paraId="6599082B">
      <w:pPr>
        <w:pStyle w:val="2"/>
        <w:pageBreakBefore w:val="0"/>
        <w:kinsoku/>
        <w:wordWrap/>
        <w:overflowPunct/>
        <w:topLinePunct w:val="0"/>
        <w:autoSpaceDE/>
        <w:autoSpaceDN/>
        <w:bidi w:val="0"/>
        <w:adjustRightInd/>
        <w:snapToGrid/>
        <w:spacing w:line="480" w:lineRule="exact"/>
        <w:ind w:left="0" w:leftChars="0" w:right="0"/>
        <w:textAlignment w:val="auto"/>
        <w:rPr>
          <w:rFonts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提供对用户、角色和权限进行统一配置、管理；进行存储区域设置，配置管理存储路径、存储策略、存储任务，具体要求如下：</w:t>
      </w:r>
    </w:p>
    <w:p w14:paraId="0B057C3F">
      <w:pPr>
        <w:pStyle w:val="19"/>
        <w:keepNext w:val="0"/>
        <w:keepLines w:val="0"/>
        <w:pageBreakBefore w:val="0"/>
        <w:widowControl w:val="0"/>
        <w:numPr>
          <w:ilvl w:val="0"/>
          <w:numId w:val="25"/>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支持功能权限设置，权限包括但不限于W</w:t>
      </w:r>
      <w:r>
        <w:rPr>
          <w:rFonts w:asciiTheme="minorEastAsia" w:hAnsiTheme="minorEastAsia" w:eastAsiaTheme="minorEastAsia"/>
          <w:color w:val="auto"/>
          <w:sz w:val="22"/>
          <w:szCs w:val="22"/>
          <w:highlight w:val="none"/>
        </w:rPr>
        <w:t>EB</w:t>
      </w:r>
      <w:r>
        <w:rPr>
          <w:rFonts w:hint="eastAsia" w:asciiTheme="minorEastAsia" w:hAnsiTheme="minorEastAsia" w:eastAsiaTheme="minorEastAsia"/>
          <w:color w:val="auto"/>
          <w:sz w:val="22"/>
          <w:szCs w:val="22"/>
          <w:highlight w:val="none"/>
        </w:rPr>
        <w:t>引入、下载、删除、出库、统计、具有权限的用户，对应的功能可见可用；</w:t>
      </w:r>
    </w:p>
    <w:p w14:paraId="10234B1C">
      <w:pPr>
        <w:pStyle w:val="19"/>
        <w:keepNext w:val="0"/>
        <w:keepLines w:val="0"/>
        <w:pageBreakBefore w:val="0"/>
        <w:widowControl w:val="0"/>
        <w:numPr>
          <w:ilvl w:val="0"/>
          <w:numId w:val="25"/>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素材本身权限控制，权限包括但不限于公开、秘密、机密、绝密等，可以对不同级别的素材进行权限控制；</w:t>
      </w:r>
    </w:p>
    <w:p w14:paraId="4BA4A004">
      <w:pPr>
        <w:pStyle w:val="4"/>
        <w:pageBreakBefore w:val="0"/>
        <w:numPr>
          <w:ilvl w:val="1"/>
          <w:numId w:val="0"/>
        </w:numPr>
        <w:kinsoku/>
        <w:wordWrap/>
        <w:overflowPunct/>
        <w:topLinePunct w:val="0"/>
        <w:autoSpaceDE/>
        <w:autoSpaceDN/>
        <w:bidi w:val="0"/>
        <w:adjustRightInd/>
        <w:snapToGrid/>
        <w:spacing w:before="0" w:after="0" w:line="480" w:lineRule="exact"/>
        <w:ind w:left="0" w:leftChars="0" w:right="0"/>
        <w:textAlignment w:val="auto"/>
        <w:rPr>
          <w:color w:val="auto"/>
          <w:sz w:val="24"/>
          <w:szCs w:val="24"/>
          <w:highlight w:val="none"/>
        </w:rPr>
      </w:pPr>
      <w:bookmarkStart w:id="78" w:name="_Toc173361682"/>
      <w:r>
        <w:rPr>
          <w:rFonts w:hint="eastAsia" w:eastAsia="宋体"/>
          <w:color w:val="auto"/>
          <w:sz w:val="24"/>
          <w:szCs w:val="24"/>
          <w:highlight w:val="none"/>
          <w:lang w:val="en-US" w:eastAsia="zh-CN"/>
        </w:rPr>
        <w:t>四、</w:t>
      </w:r>
      <w:r>
        <w:rPr>
          <w:rFonts w:hint="eastAsia"/>
          <w:color w:val="auto"/>
          <w:sz w:val="24"/>
          <w:szCs w:val="24"/>
          <w:highlight w:val="none"/>
        </w:rPr>
        <w:t>安全防护要求</w:t>
      </w:r>
      <w:bookmarkEnd w:id="78"/>
    </w:p>
    <w:p w14:paraId="0FF1A7C2">
      <w:pPr>
        <w:pageBreakBefore w:val="0"/>
        <w:kinsoku/>
        <w:wordWrap/>
        <w:overflowPunct/>
        <w:topLinePunct w:val="0"/>
        <w:autoSpaceDE/>
        <w:autoSpaceDN/>
        <w:bidi w:val="0"/>
        <w:adjustRightInd/>
        <w:snapToGrid/>
        <w:spacing w:line="480" w:lineRule="exact"/>
        <w:ind w:left="0" w:leftChars="0" w:right="0" w:firstLine="440" w:firstLineChars="200"/>
        <w:textAlignment w:val="auto"/>
        <w:rPr>
          <w:color w:val="auto"/>
          <w:sz w:val="22"/>
          <w:szCs w:val="28"/>
          <w:highlight w:val="none"/>
        </w:rPr>
      </w:pPr>
      <w:r>
        <w:rPr>
          <w:rFonts w:hint="eastAsia"/>
          <w:color w:val="auto"/>
          <w:sz w:val="22"/>
          <w:szCs w:val="28"/>
          <w:highlight w:val="none"/>
        </w:rPr>
        <w:t>要求提供一台服务器系统保护、边界防御、全面查杀、病毒隔离、邮件防护及漏洞，服务期三年。具体功能如下:</w:t>
      </w:r>
    </w:p>
    <w:p w14:paraId="52F13295">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b/>
          <w:bCs/>
          <w:color w:val="auto"/>
          <w:sz w:val="22"/>
          <w:szCs w:val="28"/>
          <w:highlight w:val="none"/>
        </w:rPr>
      </w:pPr>
      <w:r>
        <w:rPr>
          <w:rFonts w:hint="eastAsia" w:ascii="宋体" w:hAnsi="宋体" w:eastAsia="宋体" w:cs="宋体"/>
          <w:color w:val="auto"/>
          <w:sz w:val="22"/>
          <w:szCs w:val="28"/>
          <w:highlight w:val="none"/>
        </w:rPr>
        <w:t>要求SaaS化部署，无需更改网络架构，本地无需部署硬件设备；</w:t>
      </w:r>
    </w:p>
    <w:p w14:paraId="2163497B">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b/>
          <w:bCs/>
          <w:color w:val="auto"/>
          <w:sz w:val="22"/>
          <w:szCs w:val="28"/>
          <w:highlight w:val="none"/>
        </w:rPr>
        <w:t>▲要求支持设置多种扫描模式包括极速模式、低资源占用模式，且低资源占用模式可自定义CPU使用率，要求提供功能相关截图</w:t>
      </w:r>
      <w:r>
        <w:rPr>
          <w:rFonts w:hint="eastAsia" w:ascii="宋体" w:hAnsi="宋体" w:cs="宋体"/>
          <w:b/>
          <w:bCs/>
          <w:color w:val="auto"/>
          <w:sz w:val="22"/>
          <w:szCs w:val="28"/>
          <w:highlight w:val="none"/>
          <w:lang w:val="en-US" w:eastAsia="zh-CN"/>
        </w:rPr>
        <w:t>打印件并加盖</w:t>
      </w:r>
      <w:r>
        <w:rPr>
          <w:rFonts w:hint="eastAsia"/>
          <w:b/>
          <w:bCs w:val="0"/>
          <w:color w:val="auto"/>
          <w:sz w:val="22"/>
          <w:szCs w:val="21"/>
          <w:highlight w:val="none"/>
          <w:lang w:val="en-US" w:eastAsia="zh-CN"/>
        </w:rPr>
        <w:t>供应商</w:t>
      </w:r>
      <w:r>
        <w:rPr>
          <w:rFonts w:hint="eastAsia" w:ascii="宋体" w:hAnsi="宋体" w:cs="宋体"/>
          <w:b/>
          <w:bCs/>
          <w:color w:val="auto"/>
          <w:sz w:val="22"/>
          <w:szCs w:val="28"/>
          <w:highlight w:val="none"/>
          <w:lang w:val="en-US" w:eastAsia="zh-CN"/>
        </w:rPr>
        <w:t>公章</w:t>
      </w:r>
      <w:r>
        <w:rPr>
          <w:rFonts w:hint="eastAsia" w:ascii="宋体" w:hAnsi="宋体" w:eastAsia="宋体" w:cs="宋体"/>
          <w:b/>
          <w:bCs/>
          <w:color w:val="auto"/>
          <w:sz w:val="22"/>
          <w:szCs w:val="28"/>
          <w:highlight w:val="none"/>
        </w:rPr>
        <w:t>；</w:t>
      </w:r>
    </w:p>
    <w:p w14:paraId="1619C106">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▲要求支持多引擎设置，包括默认引擎、深度扫描引擎，要求提供功能相关截图</w:t>
      </w:r>
      <w:r>
        <w:rPr>
          <w:rFonts w:hint="eastAsia" w:ascii="宋体" w:hAnsi="宋体" w:cs="宋体"/>
          <w:b/>
          <w:bCs/>
          <w:color w:val="auto"/>
          <w:sz w:val="22"/>
          <w:szCs w:val="28"/>
          <w:highlight w:val="none"/>
          <w:lang w:val="en-US" w:eastAsia="zh-CN"/>
        </w:rPr>
        <w:t>打印件并加盖</w:t>
      </w:r>
      <w:r>
        <w:rPr>
          <w:rFonts w:hint="eastAsia"/>
          <w:b/>
          <w:bCs w:val="0"/>
          <w:color w:val="auto"/>
          <w:sz w:val="22"/>
          <w:szCs w:val="21"/>
          <w:highlight w:val="none"/>
          <w:lang w:val="en-US" w:eastAsia="zh-CN"/>
        </w:rPr>
        <w:t>供应商</w:t>
      </w:r>
      <w:r>
        <w:rPr>
          <w:rFonts w:hint="eastAsia" w:ascii="宋体" w:hAnsi="宋体" w:cs="宋体"/>
          <w:b/>
          <w:bCs/>
          <w:color w:val="auto"/>
          <w:sz w:val="22"/>
          <w:szCs w:val="28"/>
          <w:highlight w:val="none"/>
          <w:lang w:val="en-US" w:eastAsia="zh-CN"/>
        </w:rPr>
        <w:t>公章</w:t>
      </w:r>
      <w:r>
        <w:rPr>
          <w:rFonts w:hint="eastAsia" w:ascii="宋体" w:hAnsi="宋体" w:cs="宋体"/>
          <w:color w:val="auto"/>
          <w:sz w:val="22"/>
          <w:szCs w:val="28"/>
          <w:highlight w:val="none"/>
          <w:lang w:eastAsia="zh-CN"/>
        </w:rPr>
        <w:t>；</w:t>
      </w:r>
    </w:p>
    <w:p w14:paraId="0CE621A6">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要求支持自定义病毒处理方式，包括自动处理、记录、删除。优先对病毒文件进行修复，并将修复前的病毒文件进行备份；</w:t>
      </w:r>
    </w:p>
    <w:p w14:paraId="3F5B907A">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要求支持对顽固流行病毒进行智能拦截；</w:t>
      </w:r>
    </w:p>
    <w:p w14:paraId="4152D579">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b/>
          <w:bCs/>
          <w:color w:val="auto"/>
          <w:sz w:val="22"/>
          <w:szCs w:val="28"/>
          <w:highlight w:val="none"/>
        </w:rPr>
      </w:pPr>
      <w:r>
        <w:rPr>
          <w:rFonts w:hint="eastAsia" w:ascii="宋体" w:hAnsi="宋体" w:eastAsia="宋体" w:cs="宋体"/>
          <w:color w:val="auto"/>
          <w:sz w:val="22"/>
          <w:szCs w:val="28"/>
          <w:highlight w:val="none"/>
        </w:rPr>
        <w:t>要求提供内核级的数据防护能力，保护文件不被恶意修改、加密等，可自定义配置保护的文件及目录，支持设置例外进程；</w:t>
      </w:r>
    </w:p>
    <w:p w14:paraId="2703A906">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b/>
          <w:bCs/>
          <w:color w:val="auto"/>
          <w:sz w:val="22"/>
          <w:szCs w:val="28"/>
          <w:highlight w:val="none"/>
        </w:rPr>
        <w:t>▲要求提供专门的勒索风险评估功能，要求提供功能相关截图</w:t>
      </w:r>
      <w:r>
        <w:rPr>
          <w:rFonts w:hint="eastAsia" w:ascii="宋体" w:hAnsi="宋体" w:cs="宋体"/>
          <w:b/>
          <w:bCs/>
          <w:color w:val="auto"/>
          <w:sz w:val="22"/>
          <w:szCs w:val="28"/>
          <w:highlight w:val="none"/>
          <w:lang w:val="en-US" w:eastAsia="zh-CN"/>
        </w:rPr>
        <w:t>打印件并加盖</w:t>
      </w:r>
      <w:r>
        <w:rPr>
          <w:rFonts w:hint="eastAsia"/>
          <w:b/>
          <w:bCs w:val="0"/>
          <w:color w:val="auto"/>
          <w:sz w:val="22"/>
          <w:szCs w:val="21"/>
          <w:highlight w:val="none"/>
          <w:lang w:val="en-US" w:eastAsia="zh-CN"/>
        </w:rPr>
        <w:t>供应商</w:t>
      </w:r>
      <w:r>
        <w:rPr>
          <w:rFonts w:hint="eastAsia" w:ascii="宋体" w:hAnsi="宋体" w:cs="宋体"/>
          <w:b/>
          <w:bCs/>
          <w:color w:val="auto"/>
          <w:sz w:val="22"/>
          <w:szCs w:val="28"/>
          <w:highlight w:val="none"/>
          <w:lang w:val="en-US" w:eastAsia="zh-CN"/>
        </w:rPr>
        <w:t>公章</w:t>
      </w:r>
      <w:r>
        <w:rPr>
          <w:rFonts w:hint="eastAsia" w:ascii="宋体" w:hAnsi="宋体" w:eastAsia="宋体" w:cs="宋体"/>
          <w:b/>
          <w:bCs/>
          <w:color w:val="auto"/>
          <w:sz w:val="22"/>
          <w:szCs w:val="28"/>
          <w:highlight w:val="none"/>
        </w:rPr>
        <w:t>；</w:t>
      </w:r>
    </w:p>
    <w:p w14:paraId="55CAED60">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要求提供专门的针对未知勒索病毒的行为检测防御引擎，基于文件读写、进程、命令、网络、注册表修改等行为对于未知勒索病毒进行发现和阻断；</w:t>
      </w:r>
    </w:p>
    <w:p w14:paraId="793AA021">
      <w:pPr>
        <w:pageBreakBefore w:val="0"/>
        <w:numPr>
          <w:ilvl w:val="0"/>
          <w:numId w:val="26"/>
        </w:numPr>
        <w:kinsoku/>
        <w:wordWrap/>
        <w:overflowPunct/>
        <w:topLinePunct w:val="0"/>
        <w:autoSpaceDE/>
        <w:autoSpaceDN/>
        <w:bidi w:val="0"/>
        <w:adjustRightInd/>
        <w:snapToGrid/>
        <w:spacing w:line="480" w:lineRule="exact"/>
        <w:ind w:left="0" w:leftChars="0" w:right="0" w:firstLine="400" w:firstLineChars="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要求提供专利级针对未知勒索病毒的诱饵防护引擎，通过自动生成的高仿真文件诱捕未知勒索病毒的攻击，并进行实时阻断。</w:t>
      </w:r>
    </w:p>
    <w:p w14:paraId="7C90B5C1">
      <w:pPr>
        <w:pStyle w:val="4"/>
        <w:pageBreakBefore w:val="0"/>
        <w:numPr>
          <w:ilvl w:val="1"/>
          <w:numId w:val="0"/>
        </w:numPr>
        <w:kinsoku/>
        <w:wordWrap/>
        <w:overflowPunct/>
        <w:topLinePunct w:val="0"/>
        <w:autoSpaceDE/>
        <w:autoSpaceDN/>
        <w:bidi w:val="0"/>
        <w:adjustRightInd/>
        <w:snapToGrid/>
        <w:spacing w:before="0" w:after="0" w:line="480" w:lineRule="exact"/>
        <w:ind w:left="0" w:leftChars="0" w:right="0"/>
        <w:textAlignment w:val="auto"/>
        <w:rPr>
          <w:color w:val="auto"/>
          <w:sz w:val="24"/>
          <w:szCs w:val="24"/>
          <w:highlight w:val="none"/>
        </w:rPr>
      </w:pPr>
      <w:bookmarkStart w:id="79" w:name="_Toc173361683"/>
      <w:r>
        <w:rPr>
          <w:rFonts w:hint="eastAsia" w:eastAsia="宋体"/>
          <w:color w:val="auto"/>
          <w:sz w:val="24"/>
          <w:szCs w:val="24"/>
          <w:highlight w:val="none"/>
          <w:lang w:val="en-US" w:eastAsia="zh-CN"/>
        </w:rPr>
        <w:t>五、</w:t>
      </w:r>
      <w:r>
        <w:rPr>
          <w:rFonts w:hint="eastAsia"/>
          <w:color w:val="auto"/>
          <w:sz w:val="24"/>
          <w:szCs w:val="24"/>
          <w:highlight w:val="none"/>
        </w:rPr>
        <w:t>系统集成要求</w:t>
      </w:r>
      <w:bookmarkEnd w:id="79"/>
    </w:p>
    <w:p w14:paraId="5DDF2971">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80" w:name="_Toc173361685"/>
      <w:r>
        <w:rPr>
          <w:rFonts w:hint="eastAsia" w:asciiTheme="minorEastAsia" w:hAnsiTheme="minorEastAsia" w:eastAsiaTheme="minorEastAsia"/>
          <w:color w:val="auto"/>
          <w:sz w:val="24"/>
          <w:szCs w:val="24"/>
          <w:highlight w:val="none"/>
          <w:lang w:val="en-US" w:eastAsia="zh-CN"/>
        </w:rPr>
        <w:t>5.1</w:t>
      </w:r>
      <w:r>
        <w:rPr>
          <w:rFonts w:hint="eastAsia" w:asciiTheme="minorEastAsia" w:hAnsiTheme="minorEastAsia" w:eastAsiaTheme="minorEastAsia"/>
          <w:color w:val="auto"/>
          <w:sz w:val="24"/>
          <w:szCs w:val="24"/>
          <w:highlight w:val="none"/>
        </w:rPr>
        <w:t>系统集成服务</w:t>
      </w:r>
      <w:bookmarkEnd w:id="80"/>
    </w:p>
    <w:p w14:paraId="79645140">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以下是采购人提出的</w:t>
      </w:r>
      <w:r>
        <w:rPr>
          <w:rFonts w:asciiTheme="minorEastAsia" w:hAnsiTheme="minorEastAsia"/>
          <w:color w:val="auto"/>
          <w:sz w:val="22"/>
          <w:szCs w:val="22"/>
          <w:highlight w:val="none"/>
        </w:rPr>
        <w:t>基本</w:t>
      </w:r>
      <w:r>
        <w:rPr>
          <w:rFonts w:hint="eastAsia" w:asciiTheme="minorEastAsia" w:hAnsiTheme="minorEastAsia"/>
          <w:color w:val="auto"/>
          <w:sz w:val="22"/>
          <w:szCs w:val="22"/>
          <w:highlight w:val="none"/>
        </w:rPr>
        <w:t>要求（不是全部要求），供应商应在此基础上根据自己公司的经验、优势、特点进行科学、合理的设计。</w:t>
      </w:r>
    </w:p>
    <w:p w14:paraId="33A95001">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系统集成包含了本次项目建设所需线材等集成设备以及布线、施工、安装、调试、培训、保障等工作，应根据采购人的要求进行设备安装和布线。</w:t>
      </w:r>
    </w:p>
    <w:p w14:paraId="5AAFB6EF">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81" w:name="_Toc173361686"/>
      <w:r>
        <w:rPr>
          <w:rFonts w:hint="eastAsia" w:asciiTheme="minorEastAsia" w:hAnsiTheme="minorEastAsia" w:eastAsiaTheme="minorEastAsia"/>
          <w:color w:val="auto"/>
          <w:sz w:val="24"/>
          <w:szCs w:val="24"/>
          <w:highlight w:val="none"/>
          <w:lang w:val="en-US" w:eastAsia="zh-CN"/>
        </w:rPr>
        <w:t>5.2</w:t>
      </w:r>
      <w:r>
        <w:rPr>
          <w:rFonts w:hint="eastAsia" w:asciiTheme="minorEastAsia" w:hAnsiTheme="minorEastAsia" w:eastAsiaTheme="minorEastAsia"/>
          <w:color w:val="auto"/>
          <w:sz w:val="24"/>
          <w:szCs w:val="24"/>
          <w:highlight w:val="none"/>
        </w:rPr>
        <w:t>售后服务要求</w:t>
      </w:r>
      <w:bookmarkEnd w:id="81"/>
    </w:p>
    <w:p w14:paraId="30015892">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供应商应根据采购人实际应用要求，提供全面、优质、及时的售后服务。</w:t>
      </w:r>
    </w:p>
    <w:p w14:paraId="5695B917">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产品免费质保期：项目硬件质保期为叁年，软件三年免费升级（质保期起始日期按照项目验收合格后开始计算）。在质保期内应能供充足的备品备件和专用工具，保证系统正常稳定运行。系统平台的升级不能影响软件的使用，并在软件使用的质保期内，提供系统平台的维护保障以及已有功能的迭代更新。质保期内，中标人须对提供的软、硬件产品出现的故障和缺陷予以免费解决，免费提供自有软件缺陷的版本升级以及针对硬件的固件版本升级；对于产品设计、制造、安装导致的故障和缺陷，在设备生命周期内应免费予以解决。</w:t>
      </w:r>
    </w:p>
    <w:p w14:paraId="3D96FE8A">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产品故障响应时间：质保期内，中标人安排专人负责免费维护，设备出现故障中标人应在 1 小时内做出响应，2 小时内派专业技术人员到现场进行维护，24 小时内解决问题。</w:t>
      </w:r>
    </w:p>
    <w:p w14:paraId="46B747CD">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质保期应免费提供整个系统的维护保障和软件维护服务。在质保期内，供应商向采购人提供故障维修和每年至少一次预防性维护、系统状况检查等服务，通过此项服务来保证系统处于良好的运行状态。</w:t>
      </w:r>
    </w:p>
    <w:p w14:paraId="6309BE27">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82" w:name="_Toc173361687"/>
      <w:r>
        <w:rPr>
          <w:rFonts w:hint="eastAsia" w:asciiTheme="minorEastAsia" w:hAnsiTheme="minorEastAsia" w:eastAsiaTheme="minorEastAsia"/>
          <w:color w:val="auto"/>
          <w:sz w:val="24"/>
          <w:szCs w:val="24"/>
          <w:highlight w:val="none"/>
          <w:lang w:val="en-US" w:eastAsia="zh-CN"/>
        </w:rPr>
        <w:t>5.3</w:t>
      </w:r>
      <w:r>
        <w:rPr>
          <w:rFonts w:hint="eastAsia" w:asciiTheme="minorEastAsia" w:hAnsiTheme="minorEastAsia" w:eastAsiaTheme="minorEastAsia"/>
          <w:color w:val="auto"/>
          <w:sz w:val="24"/>
          <w:szCs w:val="24"/>
          <w:highlight w:val="none"/>
        </w:rPr>
        <w:t>设备到货要求</w:t>
      </w:r>
      <w:bookmarkEnd w:id="82"/>
    </w:p>
    <w:p w14:paraId="40E964A6">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要求自签订合同之日起</w:t>
      </w:r>
      <w:r>
        <w:rPr>
          <w:rFonts w:asciiTheme="minorEastAsia" w:hAnsiTheme="minorEastAsia"/>
          <w:color w:val="auto"/>
          <w:sz w:val="22"/>
          <w:szCs w:val="22"/>
          <w:highlight w:val="none"/>
        </w:rPr>
        <w:t>30</w:t>
      </w:r>
      <w:r>
        <w:rPr>
          <w:rFonts w:hint="eastAsia" w:asciiTheme="minorEastAsia" w:hAnsiTheme="minorEastAsia"/>
          <w:color w:val="auto"/>
          <w:sz w:val="22"/>
          <w:szCs w:val="22"/>
          <w:highlight w:val="none"/>
        </w:rPr>
        <w:t>个自然日之内本项目所有设备全部到货，并运到采购人指定地点验货。</w:t>
      </w:r>
    </w:p>
    <w:p w14:paraId="446B928D">
      <w:pPr>
        <w:pStyle w:val="2"/>
        <w:pageBreakBefore w:val="0"/>
        <w:numPr>
          <w:ilvl w:val="0"/>
          <w:numId w:val="2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项目工期要求：签订合同之日起，</w:t>
      </w:r>
      <w:r>
        <w:rPr>
          <w:rFonts w:asciiTheme="minorEastAsia" w:hAnsiTheme="minorEastAsia"/>
          <w:bCs/>
          <w:color w:val="auto"/>
          <w:sz w:val="22"/>
          <w:szCs w:val="22"/>
          <w:highlight w:val="none"/>
        </w:rPr>
        <w:t>60</w:t>
      </w:r>
      <w:r>
        <w:rPr>
          <w:rFonts w:hint="eastAsia" w:asciiTheme="minorEastAsia" w:hAnsiTheme="minorEastAsia"/>
          <w:color w:val="auto"/>
          <w:sz w:val="22"/>
          <w:szCs w:val="22"/>
          <w:highlight w:val="none"/>
        </w:rPr>
        <w:t>个自然日之内系统部署；</w:t>
      </w:r>
    </w:p>
    <w:p w14:paraId="74F85CE6">
      <w:pPr>
        <w:pStyle w:val="2"/>
        <w:pageBreakBefore w:val="0"/>
        <w:numPr>
          <w:ilvl w:val="0"/>
          <w:numId w:val="27"/>
        </w:numPr>
        <w:kinsoku/>
        <w:wordWrap/>
        <w:overflowPunct/>
        <w:topLinePunct w:val="0"/>
        <w:autoSpaceDE/>
        <w:autoSpaceDN/>
        <w:bidi w:val="0"/>
        <w:adjustRightInd/>
        <w:snapToGrid/>
        <w:spacing w:line="480" w:lineRule="exact"/>
        <w:ind w:left="0" w:leftChars="0" w:right="0" w:firstLine="400" w:firstLineChars="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提供系统集成实施方案，工程进度和工作流程，系统集成的设计图纸，包括：系统方案图、网络系统拓扑图等。</w:t>
      </w:r>
    </w:p>
    <w:p w14:paraId="04191EFC">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在实施完成后，完成相关实施材料的交接工作，包括：</w:t>
      </w:r>
    </w:p>
    <w:p w14:paraId="410DCBED">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使用说明书。</w:t>
      </w:r>
    </w:p>
    <w:p w14:paraId="6DC9EDFB">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设备安装、调试维修线路原理图。</w:t>
      </w:r>
    </w:p>
    <w:p w14:paraId="584782B0">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相关文件、支持程序软件或光盘。</w:t>
      </w:r>
    </w:p>
    <w:p w14:paraId="236263D9">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安装维修手册。</w:t>
      </w:r>
    </w:p>
    <w:p w14:paraId="539F885B">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合同中要求的其他文件资料。</w:t>
      </w:r>
    </w:p>
    <w:p w14:paraId="71420D0C">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所有设备的各类参数，包括 IP，登陆管理用户资料等。</w:t>
      </w:r>
    </w:p>
    <w:p w14:paraId="12CF2BD0">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系统内所有线缆走线使用桥架，线缆走线整齐美观，不同功能电缆，应留足间距，提供桥架。</w:t>
      </w:r>
    </w:p>
    <w:p w14:paraId="2FADE6DA">
      <w:pPr>
        <w:pStyle w:val="2"/>
        <w:keepNext w:val="0"/>
        <w:keepLines w:val="0"/>
        <w:pageBreakBefore w:val="0"/>
        <w:widowControl w:val="0"/>
        <w:numPr>
          <w:ilvl w:val="0"/>
          <w:numId w:val="28"/>
        </w:numPr>
        <w:kinsoku/>
        <w:wordWrap/>
        <w:overflowPunct/>
        <w:topLinePunct w:val="0"/>
        <w:autoSpaceDE/>
        <w:autoSpaceDN/>
        <w:bidi w:val="0"/>
        <w:adjustRightInd/>
        <w:snapToGrid/>
        <w:spacing w:line="480" w:lineRule="exact"/>
        <w:ind w:left="0" w:leftChars="0" w:right="0" w:firstLine="440" w:firstLineChars="20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所有线材要满足传输距离要求，电缆技术指标符合国家相关标准；</w:t>
      </w:r>
    </w:p>
    <w:p w14:paraId="60EA810B">
      <w:pPr>
        <w:pStyle w:val="5"/>
        <w:pageBreakBefore w:val="0"/>
        <w:numPr>
          <w:ilvl w:val="2"/>
          <w:numId w:val="0"/>
        </w:numPr>
        <w:kinsoku/>
        <w:wordWrap/>
        <w:overflowPunct/>
        <w:topLinePunct w:val="0"/>
        <w:autoSpaceDE/>
        <w:autoSpaceDN/>
        <w:bidi w:val="0"/>
        <w:adjustRightInd/>
        <w:snapToGrid/>
        <w:spacing w:line="480" w:lineRule="exact"/>
        <w:ind w:left="0" w:leftChars="0" w:right="0"/>
        <w:jc w:val="left"/>
        <w:textAlignment w:val="auto"/>
        <w:rPr>
          <w:rFonts w:asciiTheme="minorEastAsia" w:hAnsiTheme="minorEastAsia" w:eastAsiaTheme="minorEastAsia"/>
          <w:color w:val="auto"/>
          <w:sz w:val="24"/>
          <w:szCs w:val="24"/>
          <w:highlight w:val="none"/>
        </w:rPr>
      </w:pPr>
      <w:bookmarkStart w:id="83" w:name="_Toc173361688"/>
      <w:r>
        <w:rPr>
          <w:rFonts w:hint="eastAsia" w:asciiTheme="minorEastAsia" w:hAnsiTheme="minorEastAsia" w:eastAsiaTheme="minorEastAsia"/>
          <w:color w:val="auto"/>
          <w:sz w:val="24"/>
          <w:szCs w:val="24"/>
          <w:highlight w:val="none"/>
          <w:lang w:val="en-US" w:eastAsia="zh-CN"/>
        </w:rPr>
        <w:t>5.4</w:t>
      </w:r>
      <w:r>
        <w:rPr>
          <w:rFonts w:hint="eastAsia" w:asciiTheme="minorEastAsia" w:hAnsiTheme="minorEastAsia" w:eastAsiaTheme="minorEastAsia"/>
          <w:color w:val="auto"/>
          <w:sz w:val="24"/>
          <w:szCs w:val="24"/>
          <w:highlight w:val="none"/>
        </w:rPr>
        <w:t>培训服务要求</w:t>
      </w:r>
      <w:bookmarkEnd w:id="83"/>
    </w:p>
    <w:p w14:paraId="0B5C9A4E">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供应商负责向采购人提供系统相关的安装、测试和维护所需的技术手册。</w:t>
      </w:r>
    </w:p>
    <w:p w14:paraId="3B738BAD">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培训授课人员需是供应商的技术专家或专业的授权培训机构专家，具备三年以上同类经验</w:t>
      </w:r>
      <w:r>
        <w:rPr>
          <w:rFonts w:asciiTheme="minorEastAsia" w:hAnsiTheme="minorEastAsia"/>
          <w:color w:val="auto"/>
          <w:sz w:val="22"/>
          <w:szCs w:val="22"/>
          <w:highlight w:val="none"/>
        </w:rPr>
        <w:t>。</w:t>
      </w:r>
    </w:p>
    <w:p w14:paraId="78DFDC1F">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供应商应对系统的使用和管理人员进行技术与操作培训，提供完整详细的技术与操作文档，并根据采购人实际需要制定完善的培训计划。</w:t>
      </w:r>
    </w:p>
    <w:p w14:paraId="2D860EC6">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系统建设期间，在不影响施工进度的情况下，供应商应该在安装调试过程中为采购人的技术人员提供培训，具体要求如下：</w:t>
      </w:r>
    </w:p>
    <w:p w14:paraId="27F92C7E">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对技术人员进行设备安装、测试、维护、操作、使用、故障排除等培训，使技术人员具备基本维护能力，面对突发故障能快速判断并处理。</w:t>
      </w:r>
    </w:p>
    <w:p w14:paraId="0023341A">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培训时长不少于</w:t>
      </w:r>
      <w:r>
        <w:rPr>
          <w:rFonts w:asciiTheme="minorEastAsia" w:hAnsiTheme="minorEastAsia"/>
          <w:color w:val="auto"/>
          <w:sz w:val="22"/>
          <w:szCs w:val="22"/>
          <w:highlight w:val="none"/>
        </w:rPr>
        <w:t>10</w:t>
      </w:r>
      <w:r>
        <w:rPr>
          <w:rFonts w:hint="eastAsia" w:asciiTheme="minorEastAsia" w:hAnsiTheme="minorEastAsia"/>
          <w:color w:val="auto"/>
          <w:sz w:val="22"/>
          <w:szCs w:val="22"/>
          <w:highlight w:val="none"/>
        </w:rPr>
        <w:t>课时，每课时为1小时的培训服务。</w:t>
      </w:r>
    </w:p>
    <w:p w14:paraId="2C565F02">
      <w:pPr>
        <w:pStyle w:val="2"/>
        <w:pageBreakBefore w:val="0"/>
        <w:kinsoku/>
        <w:wordWrap/>
        <w:overflowPunct/>
        <w:topLinePunct w:val="0"/>
        <w:autoSpaceDE/>
        <w:autoSpaceDN/>
        <w:bidi w:val="0"/>
        <w:adjustRightInd/>
        <w:snapToGrid/>
        <w:spacing w:line="480" w:lineRule="exact"/>
        <w:ind w:left="0" w:leftChars="0" w:right="0"/>
        <w:textAlignment w:val="auto"/>
        <w:rPr>
          <w:rFonts w:hint="eastAsia" w:asciiTheme="minorEastAsia" w:hAnsiTheme="minorEastAsia"/>
          <w:color w:val="auto"/>
          <w:sz w:val="22"/>
          <w:szCs w:val="22"/>
          <w:highlight w:val="none"/>
        </w:rPr>
      </w:pPr>
      <w:r>
        <w:rPr>
          <w:rFonts w:hint="eastAsia" w:asciiTheme="minorEastAsia" w:hAnsiTheme="minorEastAsia"/>
          <w:color w:val="auto"/>
          <w:sz w:val="22"/>
          <w:szCs w:val="22"/>
          <w:highlight w:val="none"/>
        </w:rPr>
        <w:t>每次培训对象人数不少于</w:t>
      </w:r>
      <w:r>
        <w:rPr>
          <w:rFonts w:asciiTheme="minorEastAsia" w:hAnsiTheme="minorEastAsia"/>
          <w:color w:val="auto"/>
          <w:sz w:val="22"/>
          <w:szCs w:val="22"/>
          <w:highlight w:val="none"/>
        </w:rPr>
        <w:t>15</w:t>
      </w:r>
      <w:r>
        <w:rPr>
          <w:rFonts w:hint="eastAsia" w:asciiTheme="minorEastAsia" w:hAnsiTheme="minorEastAsia"/>
          <w:color w:val="auto"/>
          <w:sz w:val="22"/>
          <w:szCs w:val="22"/>
          <w:highlight w:val="none"/>
        </w:rPr>
        <w:t>人。</w:t>
      </w:r>
    </w:p>
    <w:p w14:paraId="3F668BE6">
      <w:pPr>
        <w:pStyle w:val="4"/>
        <w:pageBreakBefore w:val="0"/>
        <w:numPr>
          <w:ilvl w:val="1"/>
          <w:numId w:val="0"/>
        </w:numPr>
        <w:kinsoku/>
        <w:wordWrap/>
        <w:overflowPunct/>
        <w:topLinePunct w:val="0"/>
        <w:autoSpaceDE/>
        <w:autoSpaceDN/>
        <w:bidi w:val="0"/>
        <w:adjustRightInd/>
        <w:snapToGrid/>
        <w:spacing w:before="0" w:after="0" w:line="480" w:lineRule="exact"/>
        <w:ind w:left="0" w:leftChars="0" w:right="0"/>
        <w:textAlignment w:val="auto"/>
        <w:rPr>
          <w:rFonts w:hint="eastAsia" w:ascii="宋体" w:hAnsi="宋体" w:eastAsia="宋体" w:cs="宋体"/>
          <w:color w:val="auto"/>
          <w:sz w:val="24"/>
          <w:szCs w:val="24"/>
          <w:highlight w:val="none"/>
        </w:rPr>
      </w:pPr>
      <w:bookmarkStart w:id="84" w:name="_Toc173361689"/>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项目采购清单</w:t>
      </w:r>
      <w:bookmarkEnd w:id="84"/>
    </w:p>
    <w:p w14:paraId="739E3763">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本次项目招标的对象为系统集成商。该集成商需科学、全面、合理、完善地实现满足本项目需求的技术系统，提供相关软硬件设备以及相应系统集成、系统/设备的维修/维护、用户使用/维护培训、设备选型适用性测试、软件安装、系统调试、现场施工、试运行技术保障等综合性服务。</w:t>
      </w:r>
    </w:p>
    <w:p w14:paraId="7039D9EE">
      <w:pPr>
        <w:pStyle w:val="2"/>
        <w:pageBreakBefore w:val="0"/>
        <w:kinsoku/>
        <w:wordWrap/>
        <w:overflowPunct/>
        <w:topLinePunct w:val="0"/>
        <w:autoSpaceDE/>
        <w:autoSpaceDN/>
        <w:bidi w:val="0"/>
        <w:adjustRightInd/>
        <w:snapToGrid/>
        <w:spacing w:line="480" w:lineRule="exact"/>
        <w:ind w:left="0" w:leftChars="0" w:right="0"/>
        <w:textAlignment w:val="auto"/>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以下设备清单中所涉及设备类型和数量，是根据上述技术需求得到的粗略估算值，供集成商参考。集成商可根据上述需求制定相应的技术实现方案，并依据该技术实现方案、综合考虑设备成本后确定设备数量。全面实现本项目需求所需要的其它设备，即使未列入本需求设备清单，也应包含在投标设备范围之内</w:t>
      </w:r>
    </w:p>
    <w:tbl>
      <w:tblPr>
        <w:tblStyle w:val="1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6968"/>
        <w:gridCol w:w="556"/>
      </w:tblGrid>
      <w:tr w14:paraId="2D2C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09" w:type="dxa"/>
            <w:shd w:val="clear" w:color="auto" w:fill="auto"/>
            <w:vAlign w:val="center"/>
          </w:tcPr>
          <w:p w14:paraId="129989E1">
            <w:pPr>
              <w:widowControl/>
              <w:jc w:val="center"/>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序号</w:t>
            </w:r>
          </w:p>
        </w:tc>
        <w:tc>
          <w:tcPr>
            <w:tcW w:w="1276" w:type="dxa"/>
            <w:shd w:val="clear" w:color="auto" w:fill="auto"/>
            <w:vAlign w:val="center"/>
          </w:tcPr>
          <w:p w14:paraId="0C96F0B5">
            <w:pPr>
              <w:widowControl/>
              <w:jc w:val="center"/>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产品名称</w:t>
            </w:r>
          </w:p>
        </w:tc>
        <w:tc>
          <w:tcPr>
            <w:tcW w:w="6968" w:type="dxa"/>
            <w:shd w:val="clear" w:color="auto" w:fill="auto"/>
            <w:vAlign w:val="center"/>
          </w:tcPr>
          <w:p w14:paraId="72ED4FEB">
            <w:pPr>
              <w:widowControl/>
              <w:jc w:val="center"/>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功能要求</w:t>
            </w:r>
          </w:p>
        </w:tc>
        <w:tc>
          <w:tcPr>
            <w:tcW w:w="556" w:type="dxa"/>
            <w:shd w:val="clear" w:color="auto" w:fill="auto"/>
            <w:vAlign w:val="center"/>
          </w:tcPr>
          <w:p w14:paraId="72FB1E02">
            <w:pPr>
              <w:widowControl/>
              <w:jc w:val="center"/>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数量</w:t>
            </w:r>
          </w:p>
        </w:tc>
      </w:tr>
      <w:tr w14:paraId="3EC2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09" w:type="dxa"/>
            <w:gridSpan w:val="4"/>
            <w:shd w:val="clear" w:color="auto" w:fill="auto"/>
            <w:vAlign w:val="center"/>
          </w:tcPr>
          <w:p w14:paraId="33EF5DAD">
            <w:pPr>
              <w:widowControl/>
              <w:jc w:val="left"/>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一、媒资后台支撑软件</w:t>
            </w:r>
          </w:p>
        </w:tc>
      </w:tr>
      <w:tr w14:paraId="67D1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09" w:type="dxa"/>
            <w:vMerge w:val="restart"/>
            <w:shd w:val="clear" w:color="auto" w:fill="auto"/>
            <w:vAlign w:val="center"/>
          </w:tcPr>
          <w:p w14:paraId="7DFE86D6">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c>
          <w:tcPr>
            <w:tcW w:w="1276" w:type="dxa"/>
            <w:vMerge w:val="restart"/>
            <w:shd w:val="clear" w:color="auto" w:fill="auto"/>
            <w:vAlign w:val="center"/>
          </w:tcPr>
          <w:p w14:paraId="2BF7E3AF">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媒资核心软件</w:t>
            </w:r>
          </w:p>
        </w:tc>
        <w:tc>
          <w:tcPr>
            <w:tcW w:w="6968" w:type="dxa"/>
            <w:shd w:val="clear" w:color="auto" w:fill="auto"/>
            <w:vAlign w:val="center"/>
          </w:tcPr>
          <w:p w14:paraId="42836761">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企业级容器云管理平台</w:t>
            </w:r>
          </w:p>
          <w:p w14:paraId="62F904E3">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1.要求提供企业级kubernetes应用编排能力（非开源免费版本），须提供三年软件售后服务，所有功能完全基于K8S原生扩展</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2.要求基于物理机部署（不依赖虚拟化平台或超融合平台）</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3.要求支持管理≥100个容器集群，提供Master节点授权（部署负载应用）</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4.要求支持容器、虚拟机的混合调度，兼容部署多种架构的应用</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5.要求支持GPU显卡、专用IO板卡等专业硬件资源的统一纳管</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6.要求支持多集群管理：支持同时对多个Kubernetes集群进行管理，图形化显示其所包含的阶段状态和容器运行状态。</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7.要求支持容器管理：支持命名空间管理、支持多类型负载创建及管理、支持弹性伸缩、支持滚动升级、支持容器日志实时查看、支持管理容器生命周期</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8.要求支持容器高可用性保障机制，服务器宕机或服务故障时，服务器上的服务自动调度到其他健康的服务器上。</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9.要求支持私有和公共容器化模板市场，实现容器应用的模板化展示和快速部署，支持应用模板的组织和管理</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10.要求支持通过纯命令行的方式进行配置和管理，方便配置和管理</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11.要求支持容器存储服务，支持 PV、PVC 创建和使用</w:t>
            </w:r>
          </w:p>
        </w:tc>
        <w:tc>
          <w:tcPr>
            <w:tcW w:w="556" w:type="dxa"/>
            <w:vMerge w:val="restart"/>
            <w:shd w:val="clear" w:color="auto" w:fill="auto"/>
            <w:vAlign w:val="center"/>
          </w:tcPr>
          <w:p w14:paraId="7F2CA8FB">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60B0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09" w:type="dxa"/>
            <w:vMerge w:val="continue"/>
            <w:shd w:val="clear" w:color="auto" w:fill="auto"/>
            <w:vAlign w:val="center"/>
          </w:tcPr>
          <w:p w14:paraId="6C7A96D8">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1ED362EE">
            <w:pPr>
              <w:widowControl/>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16A8775A">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融合内容管理平台数据库：</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1、要求提供关系型数据库，实现各个数据对象之间关联关系的存储，提供稳定可靠、弹性伸缩、便捷管理的在线关系型数据存储能力；</w:t>
            </w:r>
          </w:p>
          <w:p w14:paraId="0FF4410B">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2、要求提供文档数据库，用于存储复杂、无结构的数据类型，提供安全、高可用、高可靠、弹性伸缩和易用的文档数据存储能力，提供一键部署、弹性扩容、容灾、备份、恢复、监控和告警等功能；</w:t>
            </w:r>
          </w:p>
          <w:p w14:paraId="1E5349EE">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3、要求提供内存数据库，用于缓存热点数据来响应频繁的查询请求，减轻关系和非关系型数据库的查询压力；同时作为服务回话数据的共享存储区，在出现服务切换后服务能保持切换前的状态继续查询。要求支持持久化数据的存储或缓存数据的存储，提供自动容灾切换、在线扩容、数据备份、实例监控等能力。</w:t>
            </w:r>
          </w:p>
          <w:p w14:paraId="0BB8EBB1">
            <w:pPr>
              <w:widowControl/>
              <w:jc w:val="left"/>
              <w:rPr>
                <w:rFonts w:cs="Arial" w:asciiTheme="minorEastAsia" w:hAnsiTheme="minorEastAsia"/>
                <w:color w:val="auto"/>
                <w:kern w:val="0"/>
                <w:sz w:val="22"/>
                <w:szCs w:val="22"/>
                <w:highlight w:val="none"/>
              </w:rPr>
            </w:pPr>
            <w:r>
              <w:rPr>
                <w:rFonts w:hint="eastAsia" w:asciiTheme="minorEastAsia" w:hAnsiTheme="minorEastAsia"/>
                <w:color w:val="auto"/>
                <w:sz w:val="22"/>
                <w:szCs w:val="22"/>
                <w:highlight w:val="none"/>
              </w:rPr>
              <w:t>4、</w:t>
            </w:r>
            <w:r>
              <w:rPr>
                <w:rFonts w:hint="eastAsia"/>
                <w:color w:val="auto"/>
                <w:sz w:val="22"/>
                <w:szCs w:val="22"/>
                <w:highlight w:val="none"/>
              </w:rPr>
              <w:t>要求支持三副本部署</w:t>
            </w:r>
          </w:p>
        </w:tc>
        <w:tc>
          <w:tcPr>
            <w:tcW w:w="556" w:type="dxa"/>
            <w:vMerge w:val="continue"/>
            <w:shd w:val="clear" w:color="auto" w:fill="auto"/>
            <w:vAlign w:val="center"/>
          </w:tcPr>
          <w:p w14:paraId="2C4EE5BA">
            <w:pPr>
              <w:widowControl/>
              <w:jc w:val="center"/>
              <w:rPr>
                <w:rFonts w:cs="Arial" w:asciiTheme="minorEastAsia" w:hAnsiTheme="minorEastAsia"/>
                <w:color w:val="auto"/>
                <w:kern w:val="0"/>
                <w:sz w:val="22"/>
                <w:szCs w:val="22"/>
                <w:highlight w:val="none"/>
              </w:rPr>
            </w:pPr>
          </w:p>
        </w:tc>
      </w:tr>
      <w:tr w14:paraId="234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09" w:type="dxa"/>
            <w:vMerge w:val="continue"/>
            <w:shd w:val="clear" w:color="auto" w:fill="auto"/>
            <w:vAlign w:val="center"/>
          </w:tcPr>
          <w:p w14:paraId="44F95040">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3487767A">
            <w:pPr>
              <w:widowControl/>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6997848E">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媒资内容管理服务软件包：要求提供内容检索服务、编目服务、标签审校、内容门户、内容审核服务、敏感内容管理服务等，具体包括：</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要求基于智能标签和内容元数据，提供全文检索、二次检索、高级检索、人脸检索、层面组合过滤、检索模板、跨模态检索等功能。让用户能够根据不同的检索场景，选择不同的检索方式，快速、精确的定位到自己想要的素材，检索结果清晰、准确。</w:t>
            </w:r>
          </w:p>
          <w:p w14:paraId="29E70BB6">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2、要求支持对视频素材智能结构化拆分，符合四层编目标准，包含节目层、片段层、场景层、镜头层。且可自动识别提取片段标题、摘要、分类。</w:t>
            </w:r>
          </w:p>
          <w:p w14:paraId="1C5F3633">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3、要求在智能分析结果的基础上，可以人工对标签进行增加、删除、修改；关键帧设置；片段合并、移动、修改入出点操作，从而优化编目展示效果。</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4、要求结合智能标签信息和用户操作数据，进行多维度的媒体内容统计和呈现。包含热门场景、热门关键词、热门人物、最多浏览、最新入库、最多使用和最新入库模块。方便用户快速获取媒资内容信息，挖掘媒体资产价值。</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5、要求提供敏感内容自动筛查功能，对识别落马官员、不良艺人、不宜用语等进行显著标识，使工作人员在审核过程中不遗漏每一个敏感内容，提高内容使用的安全性。</w:t>
            </w:r>
          </w:p>
          <w:p w14:paraId="03852322">
            <w:pPr>
              <w:widowControl/>
              <w:jc w:val="left"/>
              <w:rPr>
                <w:rFonts w:cs="Arial" w:asciiTheme="minorEastAsia" w:hAnsiTheme="minorEastAsia"/>
                <w:color w:val="auto"/>
                <w:kern w:val="0"/>
                <w:sz w:val="22"/>
                <w:szCs w:val="22"/>
                <w:highlight w:val="none"/>
              </w:rPr>
            </w:pPr>
            <w:r>
              <w:rPr>
                <w:rFonts w:asciiTheme="minorEastAsia" w:hAnsiTheme="minorEastAsia"/>
                <w:color w:val="auto"/>
                <w:sz w:val="22"/>
                <w:szCs w:val="22"/>
                <w:highlight w:val="none"/>
              </w:rPr>
              <w:t>6</w:t>
            </w:r>
            <w:r>
              <w:rPr>
                <w:rFonts w:hint="eastAsia" w:asciiTheme="minorEastAsia" w:hAnsiTheme="minorEastAsia"/>
                <w:color w:val="auto"/>
                <w:sz w:val="22"/>
                <w:szCs w:val="22"/>
                <w:highlight w:val="none"/>
              </w:rPr>
              <w:t>、</w:t>
            </w:r>
            <w:r>
              <w:rPr>
                <w:rFonts w:hint="eastAsia"/>
                <w:color w:val="auto"/>
                <w:sz w:val="22"/>
                <w:szCs w:val="22"/>
                <w:highlight w:val="none"/>
              </w:rPr>
              <w:t>要求支持三副本部署</w:t>
            </w:r>
          </w:p>
        </w:tc>
        <w:tc>
          <w:tcPr>
            <w:tcW w:w="556" w:type="dxa"/>
            <w:vMerge w:val="continue"/>
            <w:shd w:val="clear" w:color="auto" w:fill="auto"/>
            <w:vAlign w:val="center"/>
          </w:tcPr>
          <w:p w14:paraId="554B4CDD">
            <w:pPr>
              <w:widowControl/>
              <w:jc w:val="center"/>
              <w:rPr>
                <w:rFonts w:cs="Arial" w:asciiTheme="minorEastAsia" w:hAnsiTheme="minorEastAsia"/>
                <w:color w:val="auto"/>
                <w:kern w:val="0"/>
                <w:sz w:val="22"/>
                <w:szCs w:val="22"/>
                <w:highlight w:val="none"/>
              </w:rPr>
            </w:pPr>
          </w:p>
        </w:tc>
      </w:tr>
      <w:tr w14:paraId="4CBE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09" w:type="dxa"/>
            <w:vMerge w:val="restart"/>
            <w:shd w:val="clear" w:color="auto" w:fill="auto"/>
            <w:vAlign w:val="center"/>
          </w:tcPr>
          <w:p w14:paraId="3F483FA0">
            <w:pPr>
              <w:jc w:val="center"/>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2</w:t>
            </w:r>
          </w:p>
        </w:tc>
        <w:tc>
          <w:tcPr>
            <w:tcW w:w="1276" w:type="dxa"/>
            <w:vMerge w:val="restart"/>
            <w:shd w:val="clear" w:color="auto" w:fill="auto"/>
            <w:vAlign w:val="center"/>
          </w:tcPr>
          <w:p w14:paraId="6B0263CF">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媒体处理服务</w:t>
            </w:r>
          </w:p>
        </w:tc>
        <w:tc>
          <w:tcPr>
            <w:tcW w:w="6968" w:type="dxa"/>
            <w:shd w:val="clear" w:color="auto" w:fill="auto"/>
            <w:vAlign w:val="center"/>
          </w:tcPr>
          <w:p w14:paraId="78A21028">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自动技审软件：</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实现对音视频文件的技术审查，在视频方面，能够对黑场、彩条、单色段、雪花、色彩丢失、静帧段、亮度超标、色度超标、RGB超标、YUV超标、YC超标、蓝底、绿底、活动区域边缘、夹帧等进行检测；在音频方面，能够对静音、音量VU值、削波、音量峰值、直流偏移、响度（包括平均值超标和瞬时值超标）、不可听、立体声相位反相等进行检测。</w:t>
            </w:r>
          </w:p>
        </w:tc>
        <w:tc>
          <w:tcPr>
            <w:tcW w:w="556" w:type="dxa"/>
            <w:vMerge w:val="restart"/>
            <w:shd w:val="clear" w:color="auto" w:fill="auto"/>
            <w:vAlign w:val="center"/>
          </w:tcPr>
          <w:p w14:paraId="76EB7853">
            <w:pPr>
              <w:jc w:val="center"/>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2</w:t>
            </w:r>
          </w:p>
        </w:tc>
      </w:tr>
      <w:tr w14:paraId="585F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08621A9E">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369C1885">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6B890A3E">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文件转码、文件分析软件</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1.要求提供各种途径接入内容的编码格式转换、文件封装转换、文件迁移等媒体处理工作。</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2.要求提供视频编辑所需文件的编码格式、帧率、码率、时长、Gop、文件封装等的分析。</w:t>
            </w:r>
          </w:p>
        </w:tc>
        <w:tc>
          <w:tcPr>
            <w:tcW w:w="556" w:type="dxa"/>
            <w:vMerge w:val="continue"/>
            <w:shd w:val="clear" w:color="auto" w:fill="auto"/>
            <w:vAlign w:val="center"/>
          </w:tcPr>
          <w:p w14:paraId="72023A9E">
            <w:pPr>
              <w:widowControl/>
              <w:jc w:val="center"/>
              <w:rPr>
                <w:rFonts w:cs="Arial" w:asciiTheme="minorEastAsia" w:hAnsiTheme="minorEastAsia"/>
                <w:color w:val="auto"/>
                <w:kern w:val="0"/>
                <w:sz w:val="22"/>
                <w:szCs w:val="22"/>
                <w:highlight w:val="none"/>
              </w:rPr>
            </w:pPr>
          </w:p>
        </w:tc>
      </w:tr>
      <w:tr w14:paraId="34A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restart"/>
            <w:shd w:val="clear" w:color="auto" w:fill="auto"/>
            <w:vAlign w:val="center"/>
          </w:tcPr>
          <w:p w14:paraId="68B5A78A">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3</w:t>
            </w:r>
          </w:p>
        </w:tc>
        <w:tc>
          <w:tcPr>
            <w:tcW w:w="1276" w:type="dxa"/>
            <w:vMerge w:val="restart"/>
            <w:shd w:val="clear" w:color="auto" w:fill="auto"/>
            <w:vAlign w:val="center"/>
          </w:tcPr>
          <w:p w14:paraId="74EED354">
            <w:pPr>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智能中台软件</w:t>
            </w:r>
          </w:p>
        </w:tc>
        <w:tc>
          <w:tcPr>
            <w:tcW w:w="6968" w:type="dxa"/>
            <w:shd w:val="clear" w:color="auto" w:fill="auto"/>
          </w:tcPr>
          <w:p w14:paraId="5D3B843B">
            <w:pPr>
              <w:widowControl/>
              <w:jc w:val="left"/>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1</w:t>
            </w:r>
            <w:r>
              <w:rPr>
                <w:rFonts w:hint="eastAsia" w:cs="Arial" w:asciiTheme="minorEastAsia" w:hAnsiTheme="minorEastAsia"/>
                <w:color w:val="auto"/>
                <w:kern w:val="0"/>
                <w:sz w:val="22"/>
                <w:szCs w:val="22"/>
                <w:highlight w:val="none"/>
              </w:rPr>
              <w:t>、CPU≥Intel Xeon 4316 2.3GHz（二十核）×2</w:t>
            </w:r>
          </w:p>
          <w:p w14:paraId="50364D93">
            <w:pPr>
              <w:widowControl/>
              <w:jc w:val="left"/>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2</w:t>
            </w:r>
            <w:r>
              <w:rPr>
                <w:rFonts w:hint="eastAsia" w:cs="Arial" w:asciiTheme="minorEastAsia" w:hAnsiTheme="minorEastAsia"/>
                <w:color w:val="auto"/>
                <w:kern w:val="0"/>
                <w:sz w:val="22"/>
                <w:szCs w:val="22"/>
                <w:highlight w:val="none"/>
              </w:rPr>
              <w:t>、内存≥128GB</w:t>
            </w:r>
          </w:p>
          <w:p w14:paraId="66CC2D79">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3、硬盘≥</w:t>
            </w:r>
            <w:r>
              <w:rPr>
                <w:rFonts w:cs="Arial" w:asciiTheme="minorEastAsia" w:hAnsiTheme="minorEastAsia"/>
                <w:color w:val="auto"/>
                <w:kern w:val="0"/>
                <w:sz w:val="22"/>
                <w:szCs w:val="22"/>
                <w:highlight w:val="none"/>
              </w:rPr>
              <w:t>2</w:t>
            </w:r>
            <w:r>
              <w:rPr>
                <w:rFonts w:hint="eastAsia" w:cs="Arial" w:asciiTheme="minorEastAsia" w:hAnsiTheme="minorEastAsia"/>
                <w:color w:val="auto"/>
                <w:kern w:val="0"/>
                <w:sz w:val="22"/>
                <w:szCs w:val="22"/>
                <w:highlight w:val="none"/>
              </w:rPr>
              <w:t>TB SATA×2</w:t>
            </w:r>
          </w:p>
          <w:p w14:paraId="350565C3">
            <w:pPr>
              <w:widowControl/>
              <w:jc w:val="left"/>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4</w:t>
            </w:r>
            <w:r>
              <w:rPr>
                <w:rFonts w:hint="eastAsia" w:cs="Arial" w:asciiTheme="minorEastAsia" w:hAnsiTheme="minorEastAsia"/>
                <w:color w:val="auto"/>
                <w:kern w:val="0"/>
                <w:sz w:val="22"/>
                <w:szCs w:val="22"/>
                <w:highlight w:val="none"/>
              </w:rPr>
              <w:t>、RAID控制器：板载RAID控制器，支持RAID0/1</w:t>
            </w:r>
          </w:p>
          <w:p w14:paraId="13461F1A">
            <w:pPr>
              <w:widowControl/>
              <w:jc w:val="left"/>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5</w:t>
            </w:r>
            <w:r>
              <w:rPr>
                <w:rFonts w:hint="eastAsia" w:cs="Arial" w:asciiTheme="minorEastAsia" w:hAnsiTheme="minorEastAsia"/>
                <w:color w:val="auto"/>
                <w:kern w:val="0"/>
                <w:sz w:val="22"/>
                <w:szCs w:val="22"/>
                <w:highlight w:val="none"/>
              </w:rPr>
              <w:t>、≥4个千兆网口、DVD-ROM、冗余电源、万兆网卡（含万兆多模块）</w:t>
            </w:r>
          </w:p>
          <w:p w14:paraId="465CC694">
            <w:pPr>
              <w:widowControl/>
              <w:jc w:val="left"/>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6</w:t>
            </w:r>
            <w:r>
              <w:rPr>
                <w:rFonts w:hint="eastAsia" w:cs="Arial" w:asciiTheme="minorEastAsia" w:hAnsiTheme="minorEastAsia"/>
                <w:color w:val="auto"/>
                <w:kern w:val="0"/>
                <w:sz w:val="22"/>
                <w:szCs w:val="22"/>
                <w:highlight w:val="none"/>
              </w:rPr>
              <w:t>、显卡≥NVIDIA A10显卡（24GB显存）</w:t>
            </w:r>
          </w:p>
          <w:p w14:paraId="2C5DEF65">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7、操作系统：Rocky Linux8.7</w:t>
            </w:r>
          </w:p>
        </w:tc>
        <w:tc>
          <w:tcPr>
            <w:tcW w:w="556" w:type="dxa"/>
            <w:vMerge w:val="restart"/>
            <w:shd w:val="clear" w:color="auto" w:fill="auto"/>
            <w:vAlign w:val="center"/>
          </w:tcPr>
          <w:p w14:paraId="15E87684">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0499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7DE72C3C">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5516C5D9">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342A8075">
            <w:pPr>
              <w:widowControl/>
              <w:jc w:val="left"/>
              <w:rPr>
                <w:rFonts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智能原子能力集合：</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1.新闻摘要提取：从新闻文本中，抽取关键信息，形成简明的摘要结果</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2.命名实体识别：从中文文本中识别出实体类型，包含人名、地名、时间、职务、组织机构名</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3.关键词提取：对本中各词的重要性进行计算，提取能代表人脑记忆快照的关键词</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4.新闻文本分类：采用编目规范的分类体系，输出文章的一级主题、二级主题和三级主题</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5.新闻事件活动名抽取：输出文本中包含的事件活动名、事件活动类型、置信度</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6.人脸识别：支持视频、图片中的人脸识别，识别人脸表情，包括惊讶、恐惧、厌恶、平静等</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7.通用字幕识别：对视频中的文字进行定位，以及文字识别，输出文字类别标签；</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8.滚动字幕识别：滚动字幕定位以及文字识别，并给出滚动字幕之间的上下左右的关系。</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9.视频转场识别：识别出素材中的镜头变化，为拆条提供基础。</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10.镜头语义分析：对画面语义进行分析，输出主体、地标、背景等信息。</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11.镜头制作语言分析：识别镜头角度、画面属性、人脸框、景别类型、是否有空镜头等。</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12.场景识别：从复杂的日常场景中，检测到视频中的背景信息（水面、铁路/轨道、植物等）并分类。</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13.语音识别：将长段音频数据转换成文本数据，为信息处理和数据挖掘提供基础。</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14.音频分类：在新闻素材中分辨出同期声、主持人、被采访对象；体育比赛中分辨欢呼、掌声。</w:t>
            </w:r>
            <w:r>
              <w:rPr>
                <w:rFonts w:hint="eastAsia" w:ascii="宋体" w:hAnsi="宋体" w:eastAsia="宋体" w:cs="Arial"/>
                <w:color w:val="auto"/>
                <w:kern w:val="0"/>
                <w:sz w:val="22"/>
                <w:szCs w:val="22"/>
                <w:highlight w:val="none"/>
              </w:rPr>
              <w:br w:type="textWrapping"/>
            </w:r>
            <w:r>
              <w:rPr>
                <w:rFonts w:hint="eastAsia" w:ascii="宋体" w:hAnsi="宋体" w:eastAsia="宋体" w:cs="Arial"/>
                <w:color w:val="auto"/>
                <w:kern w:val="0"/>
                <w:sz w:val="22"/>
                <w:szCs w:val="22"/>
                <w:highlight w:val="none"/>
              </w:rPr>
              <w:t>15.语音沸点检测：通过计算音频的短时能量来获得音频的声音沸腾点，然后处理沸点得到分布输出。</w:t>
            </w:r>
          </w:p>
        </w:tc>
        <w:tc>
          <w:tcPr>
            <w:tcW w:w="556" w:type="dxa"/>
            <w:vMerge w:val="continue"/>
            <w:shd w:val="clear" w:color="auto" w:fill="auto"/>
            <w:vAlign w:val="center"/>
          </w:tcPr>
          <w:p w14:paraId="6F5EDC38">
            <w:pPr>
              <w:widowControl/>
              <w:jc w:val="center"/>
              <w:rPr>
                <w:rFonts w:cs="Arial" w:asciiTheme="minorEastAsia" w:hAnsiTheme="minorEastAsia"/>
                <w:color w:val="auto"/>
                <w:kern w:val="0"/>
                <w:sz w:val="22"/>
                <w:szCs w:val="22"/>
                <w:highlight w:val="none"/>
              </w:rPr>
            </w:pPr>
          </w:p>
        </w:tc>
      </w:tr>
      <w:tr w14:paraId="02BD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restart"/>
            <w:shd w:val="clear" w:color="auto" w:fill="auto"/>
            <w:vAlign w:val="center"/>
          </w:tcPr>
          <w:p w14:paraId="235DB7A5">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4</w:t>
            </w:r>
          </w:p>
        </w:tc>
        <w:tc>
          <w:tcPr>
            <w:tcW w:w="1276" w:type="dxa"/>
            <w:vMerge w:val="restart"/>
            <w:shd w:val="clear" w:color="auto" w:fill="auto"/>
            <w:vAlign w:val="center"/>
          </w:tcPr>
          <w:p w14:paraId="1C1D6F46">
            <w:pPr>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媒资基础工具</w:t>
            </w:r>
          </w:p>
        </w:tc>
        <w:tc>
          <w:tcPr>
            <w:tcW w:w="6968" w:type="dxa"/>
            <w:shd w:val="clear" w:color="auto" w:fill="auto"/>
            <w:vAlign w:val="center"/>
          </w:tcPr>
          <w:p w14:paraId="6A64898B">
            <w:pPr>
              <w:widowControl/>
              <w:jc w:val="left"/>
              <w:rPr>
                <w:rFonts w:ascii="宋体" w:hAnsi="宋体" w:eastAsia="宋体" w:cs="Arial"/>
                <w:color w:val="auto"/>
                <w:kern w:val="0"/>
                <w:sz w:val="22"/>
                <w:szCs w:val="22"/>
                <w:highlight w:val="none"/>
              </w:rPr>
            </w:pPr>
            <w:r>
              <w:rPr>
                <w:rFonts w:hint="eastAsia" w:cs="Arial" w:asciiTheme="minorEastAsia" w:hAnsiTheme="minorEastAsia"/>
                <w:color w:val="auto"/>
                <w:kern w:val="0"/>
                <w:sz w:val="22"/>
                <w:szCs w:val="22"/>
                <w:highlight w:val="none"/>
              </w:rPr>
              <w:t>要求提供媒资标准门户模块，基于内容数据挖掘，聚合展示推荐主题、热门内容、最新内容和个人回调任务列表等内容。</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1、要求提供内容推送轮播区、主题推荐区、热门场景、热门关键词、热门人物、最多使用、最新入库、媒体内容库资源概览等模块；</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2、要求提供自定义设置门户首页的轮播区、主题推荐区的内容,并可设置首页热门人物和热门栏目；</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3、要求提供人工维护推送、推荐、热门人物模块，且可进行权限控制</w:t>
            </w:r>
          </w:p>
        </w:tc>
        <w:tc>
          <w:tcPr>
            <w:tcW w:w="556" w:type="dxa"/>
            <w:vMerge w:val="restart"/>
            <w:shd w:val="clear" w:color="auto" w:fill="auto"/>
            <w:vAlign w:val="center"/>
          </w:tcPr>
          <w:p w14:paraId="70A087F3">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33D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07052F90">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43CDE43D">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472EA481">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上下载及出入库</w:t>
            </w:r>
          </w:p>
          <w:p w14:paraId="58CAFC10">
            <w:pPr>
              <w:widowControl/>
              <w:jc w:val="left"/>
              <w:rPr>
                <w:rFonts w:ascii="宋体" w:hAnsi="宋体" w:eastAsia="宋体" w:cs="Arial"/>
                <w:color w:val="auto"/>
                <w:kern w:val="0"/>
                <w:sz w:val="22"/>
                <w:szCs w:val="22"/>
                <w:highlight w:val="none"/>
              </w:rPr>
            </w:pPr>
            <w:r>
              <w:rPr>
                <w:rFonts w:hint="eastAsia" w:cs="Arial" w:asciiTheme="minorEastAsia" w:hAnsiTheme="minorEastAsia"/>
                <w:color w:val="auto"/>
                <w:kern w:val="0"/>
                <w:sz w:val="22"/>
                <w:szCs w:val="22"/>
                <w:highlight w:val="none"/>
              </w:rPr>
              <w:t>要求提供上下载及入出库模块，包括web上传、客户端上传、扫描入库等多种方式，支持视频打点出库、支持出库加水印、支持批量出库、支持浏览器下载</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要求支持单文件、图片包、视音频等类型上传</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要求支持上传附件、元数据编辑、查看上传进度等</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要求支持资料集内容上传、网页获取上传</w:t>
            </w:r>
          </w:p>
        </w:tc>
        <w:tc>
          <w:tcPr>
            <w:tcW w:w="556" w:type="dxa"/>
            <w:vMerge w:val="continue"/>
            <w:shd w:val="clear" w:color="auto" w:fill="auto"/>
            <w:vAlign w:val="center"/>
          </w:tcPr>
          <w:p w14:paraId="7230BBD5">
            <w:pPr>
              <w:widowControl/>
              <w:jc w:val="center"/>
              <w:rPr>
                <w:rFonts w:cs="Arial" w:asciiTheme="minorEastAsia" w:hAnsiTheme="minorEastAsia"/>
                <w:color w:val="auto"/>
                <w:kern w:val="0"/>
                <w:sz w:val="22"/>
                <w:szCs w:val="22"/>
                <w:highlight w:val="none"/>
              </w:rPr>
            </w:pPr>
          </w:p>
        </w:tc>
      </w:tr>
      <w:tr w14:paraId="3697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9" w:type="dxa"/>
            <w:vMerge w:val="continue"/>
            <w:shd w:val="clear" w:color="auto" w:fill="auto"/>
            <w:vAlign w:val="center"/>
          </w:tcPr>
          <w:p w14:paraId="5BB2F568">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6C8872F">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437A7887">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内容组织</w:t>
            </w:r>
          </w:p>
          <w:p w14:paraId="4982CAE1">
            <w:pPr>
              <w:widowControl/>
              <w:jc w:val="left"/>
              <w:rPr>
                <w:rFonts w:ascii="宋体" w:hAnsi="宋体" w:eastAsia="宋体" w:cs="Arial"/>
                <w:color w:val="auto"/>
                <w:kern w:val="0"/>
                <w:sz w:val="22"/>
                <w:szCs w:val="22"/>
                <w:highlight w:val="none"/>
              </w:rPr>
            </w:pPr>
            <w:r>
              <w:rPr>
                <w:rFonts w:hint="eastAsia" w:cs="Arial" w:asciiTheme="minorEastAsia" w:hAnsiTheme="minorEastAsia"/>
                <w:color w:val="auto"/>
                <w:kern w:val="0"/>
                <w:sz w:val="22"/>
                <w:szCs w:val="22"/>
                <w:highlight w:val="none"/>
              </w:rPr>
              <w:t>要求支持对检索的素材发起归档、回迁、编目、智能分析、下载、删除、加入挑选篮等操作</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要求支持内容在线预览：视频、音频、图片、图文稿、串联单等</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要求支持内容在线编辑：元数据编辑</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要求支持内容展示：内容属性、内容结构、人脸信息、字幕信息、语音信息、关键帧、审核信息、附件内容展示、操作统计、操作历史、文件列表</w:t>
            </w:r>
          </w:p>
        </w:tc>
        <w:tc>
          <w:tcPr>
            <w:tcW w:w="556" w:type="dxa"/>
            <w:vMerge w:val="continue"/>
            <w:shd w:val="clear" w:color="auto" w:fill="auto"/>
            <w:vAlign w:val="center"/>
          </w:tcPr>
          <w:p w14:paraId="6D53993E">
            <w:pPr>
              <w:widowControl/>
              <w:jc w:val="center"/>
              <w:rPr>
                <w:rFonts w:cs="Arial" w:asciiTheme="minorEastAsia" w:hAnsiTheme="minorEastAsia"/>
                <w:color w:val="auto"/>
                <w:kern w:val="0"/>
                <w:sz w:val="22"/>
                <w:szCs w:val="22"/>
                <w:highlight w:val="none"/>
              </w:rPr>
            </w:pPr>
          </w:p>
        </w:tc>
      </w:tr>
      <w:tr w14:paraId="6418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5CB25FE4">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F8C1CB9">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011C7572">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媒资编目</w:t>
            </w:r>
          </w:p>
          <w:p w14:paraId="7671A101">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支持人工快速编目审校场景：支持视频节目四层编目校正：要求支持智能识别片段层、场景层、镜头层支持移动、合并、挑选；可删除、新增结构层，修改入出点、复制片段层标题；支持标签校正：机构、人物、地点、时间等实体标签、关键词、镜头语言、同期声等增加、删除、修改；支持修改描述和设为代表帧，支持展示当前编目任务的历史操作信息；拥有编目任务管理权限的用户可以对编目任务进行管理和追踪，包括：发起编目任务、编目任务分配或认领、编目、编目审核、编目信息发布和检索；支持编目层元数据配置，配置的字段在编目任务中显示，配置是否可编辑，是否必填，字段类型，长度限制，默认值等</w:t>
            </w:r>
          </w:p>
        </w:tc>
        <w:tc>
          <w:tcPr>
            <w:tcW w:w="556" w:type="dxa"/>
            <w:vMerge w:val="continue"/>
            <w:shd w:val="clear" w:color="auto" w:fill="auto"/>
            <w:vAlign w:val="center"/>
          </w:tcPr>
          <w:p w14:paraId="21AF1677">
            <w:pPr>
              <w:widowControl/>
              <w:jc w:val="center"/>
              <w:rPr>
                <w:rFonts w:cs="Arial" w:asciiTheme="minorEastAsia" w:hAnsiTheme="minorEastAsia"/>
                <w:color w:val="auto"/>
                <w:kern w:val="0"/>
                <w:sz w:val="22"/>
                <w:szCs w:val="22"/>
                <w:highlight w:val="none"/>
              </w:rPr>
            </w:pPr>
          </w:p>
        </w:tc>
      </w:tr>
      <w:tr w14:paraId="41B3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36B112CF">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32C7D93">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78A264A0">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审核管理</w:t>
            </w:r>
          </w:p>
          <w:p w14:paraId="1BE074A6">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支持出库/入库/编目审核策略配置，符合条件的根据审核流程控制。符合策略配置角色的用户才能收到对应的审核任务，支持审核任务的通过/拒绝，审核消息通知，要求支持编目步骤自定义设置，最多三级审核，支持编目任务的分配、认领、提交、取消审核</w:t>
            </w:r>
          </w:p>
        </w:tc>
        <w:tc>
          <w:tcPr>
            <w:tcW w:w="556" w:type="dxa"/>
            <w:vMerge w:val="continue"/>
            <w:shd w:val="clear" w:color="auto" w:fill="auto"/>
            <w:vAlign w:val="center"/>
          </w:tcPr>
          <w:p w14:paraId="7052A14D">
            <w:pPr>
              <w:widowControl/>
              <w:jc w:val="center"/>
              <w:rPr>
                <w:rFonts w:cs="Arial" w:asciiTheme="minorEastAsia" w:hAnsiTheme="minorEastAsia"/>
                <w:color w:val="auto"/>
                <w:kern w:val="0"/>
                <w:sz w:val="22"/>
                <w:szCs w:val="22"/>
                <w:highlight w:val="none"/>
              </w:rPr>
            </w:pPr>
          </w:p>
        </w:tc>
      </w:tr>
      <w:tr w14:paraId="1451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077CDAD8">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1302B394">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01D7917B">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权限管理</w:t>
            </w:r>
          </w:p>
          <w:p w14:paraId="295E843F">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要求提供基于角色的权限控制，包括功能权限控制及内容权限控制</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功能权限（控制操作按钮的显示），包括但不限于下载，出库，删除，编辑，发起编目，发起归档，发起回迁等功能按钮；</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内容权限（控制对内容密级的操作权限），对某种密级具有可见/修改/删除权限，则在检索结果中可以看到/编辑/删除这种密级的内容</w:t>
            </w:r>
          </w:p>
        </w:tc>
        <w:tc>
          <w:tcPr>
            <w:tcW w:w="556" w:type="dxa"/>
            <w:vMerge w:val="continue"/>
            <w:shd w:val="clear" w:color="auto" w:fill="auto"/>
            <w:vAlign w:val="center"/>
          </w:tcPr>
          <w:p w14:paraId="37FB15E7">
            <w:pPr>
              <w:widowControl/>
              <w:jc w:val="center"/>
              <w:rPr>
                <w:rFonts w:cs="Arial" w:asciiTheme="minorEastAsia" w:hAnsiTheme="minorEastAsia"/>
                <w:color w:val="auto"/>
                <w:kern w:val="0"/>
                <w:sz w:val="22"/>
                <w:szCs w:val="22"/>
                <w:highlight w:val="none"/>
              </w:rPr>
            </w:pPr>
          </w:p>
        </w:tc>
      </w:tr>
      <w:tr w14:paraId="6D00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709" w:type="dxa"/>
            <w:vMerge w:val="continue"/>
            <w:shd w:val="clear" w:color="auto" w:fill="auto"/>
            <w:vAlign w:val="center"/>
          </w:tcPr>
          <w:p w14:paraId="799CC207">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11947E38">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13EE44DF">
            <w:pPr>
              <w:widowControl/>
              <w:jc w:val="left"/>
              <w:rPr>
                <w:rFonts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外部系统配置</w:t>
            </w:r>
          </w:p>
          <w:p w14:paraId="68A71BFE">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要求支持新建外部系统，设置外部系统名称，导入导出参数，停用或启用外部系统</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外部系统入库，可以将素材放在配置的共享文件夹中，系统会自动扫描该文件夹下的素材发起入库</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出库到外部系统，并且可以选择转码模板，转码出库，素材出库后放入配置的共享文件夹中</w:t>
            </w:r>
          </w:p>
        </w:tc>
        <w:tc>
          <w:tcPr>
            <w:tcW w:w="556" w:type="dxa"/>
            <w:vMerge w:val="continue"/>
            <w:shd w:val="clear" w:color="auto" w:fill="auto"/>
            <w:vAlign w:val="center"/>
          </w:tcPr>
          <w:p w14:paraId="1FB108DD">
            <w:pPr>
              <w:widowControl/>
              <w:jc w:val="center"/>
              <w:rPr>
                <w:rFonts w:cs="Arial" w:asciiTheme="minorEastAsia" w:hAnsiTheme="minorEastAsia"/>
                <w:color w:val="auto"/>
                <w:kern w:val="0"/>
                <w:sz w:val="22"/>
                <w:szCs w:val="22"/>
                <w:highlight w:val="none"/>
              </w:rPr>
            </w:pPr>
          </w:p>
        </w:tc>
      </w:tr>
      <w:tr w14:paraId="4671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3F02A18E">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3752C7F">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69754BBE">
            <w:pPr>
              <w:widowControl/>
              <w:jc w:val="left"/>
              <w:rPr>
                <w:rFonts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系统管理配置</w:t>
            </w:r>
          </w:p>
          <w:p w14:paraId="0A1BE69B">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要求提供媒资系统的系统设定、人员权限分配、存储空间分配、媒资基础编目数据配置、媒资工作流程配置、媒资工作数据统计和分析等功能。</w:t>
            </w:r>
          </w:p>
        </w:tc>
        <w:tc>
          <w:tcPr>
            <w:tcW w:w="556" w:type="dxa"/>
            <w:vMerge w:val="continue"/>
            <w:shd w:val="clear" w:color="auto" w:fill="auto"/>
            <w:vAlign w:val="center"/>
          </w:tcPr>
          <w:p w14:paraId="73D9B9FC">
            <w:pPr>
              <w:widowControl/>
              <w:jc w:val="center"/>
              <w:rPr>
                <w:rFonts w:cs="Arial" w:asciiTheme="minorEastAsia" w:hAnsiTheme="minorEastAsia"/>
                <w:color w:val="auto"/>
                <w:kern w:val="0"/>
                <w:sz w:val="22"/>
                <w:szCs w:val="22"/>
                <w:highlight w:val="none"/>
              </w:rPr>
            </w:pPr>
          </w:p>
        </w:tc>
      </w:tr>
      <w:tr w14:paraId="4FF6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3007841A">
            <w:pPr>
              <w:widowControl/>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FA93DD4">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07553D62">
            <w:pPr>
              <w:widowControl/>
              <w:jc w:val="left"/>
              <w:rPr>
                <w:rFonts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交换网关服务</w:t>
            </w:r>
          </w:p>
          <w:p w14:paraId="219DC7E9">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要求提供媒体流程及交换网关服务软件包：用于资源管理和业务接口，包括媒资流程的管理，支持通过文件交换协议与外部系统对接。</w:t>
            </w:r>
          </w:p>
        </w:tc>
        <w:tc>
          <w:tcPr>
            <w:tcW w:w="556" w:type="dxa"/>
            <w:vMerge w:val="continue"/>
            <w:shd w:val="clear" w:color="auto" w:fill="auto"/>
            <w:vAlign w:val="center"/>
          </w:tcPr>
          <w:p w14:paraId="262E27EF">
            <w:pPr>
              <w:widowControl/>
              <w:jc w:val="center"/>
              <w:rPr>
                <w:rFonts w:cs="Arial" w:asciiTheme="minorEastAsia" w:hAnsiTheme="minorEastAsia"/>
                <w:color w:val="auto"/>
                <w:kern w:val="0"/>
                <w:sz w:val="22"/>
                <w:szCs w:val="22"/>
                <w:highlight w:val="none"/>
              </w:rPr>
            </w:pPr>
          </w:p>
        </w:tc>
      </w:tr>
      <w:tr w14:paraId="4E95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Merge w:val="continue"/>
            <w:shd w:val="clear" w:color="auto" w:fill="auto"/>
            <w:vAlign w:val="center"/>
          </w:tcPr>
          <w:p w14:paraId="7EE41B40">
            <w:pPr>
              <w:pStyle w:val="2"/>
              <w:ind w:firstLine="0" w:firstLineChars="0"/>
              <w:rPr>
                <w:color w:val="auto"/>
                <w:sz w:val="22"/>
                <w:szCs w:val="22"/>
                <w:highlight w:val="none"/>
              </w:rPr>
            </w:pPr>
          </w:p>
        </w:tc>
        <w:tc>
          <w:tcPr>
            <w:tcW w:w="1276" w:type="dxa"/>
            <w:vMerge w:val="continue"/>
            <w:shd w:val="clear" w:color="auto" w:fill="auto"/>
            <w:vAlign w:val="center"/>
          </w:tcPr>
          <w:p w14:paraId="4FF34618">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6D95A8DA">
            <w:pPr>
              <w:widowControl/>
              <w:jc w:val="left"/>
              <w:rPr>
                <w:rFonts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个人中心</w:t>
            </w:r>
          </w:p>
          <w:p w14:paraId="6C5E418A">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要求提供个人中心：显示登录名，部门，姓名，生日，联系电话，邮箱，性别。支持可编辑</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我的消息：显示系统通知当前用户的消息，点击消息标题，打开消息详细展示界面，可以看到完整的消息内容，可以将选择的消息标记为已读/未读</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回收站：还原、彻底删除、清空、刷新</w:t>
            </w:r>
          </w:p>
        </w:tc>
        <w:tc>
          <w:tcPr>
            <w:tcW w:w="556" w:type="dxa"/>
            <w:vMerge w:val="continue"/>
            <w:shd w:val="clear" w:color="auto" w:fill="auto"/>
            <w:vAlign w:val="center"/>
          </w:tcPr>
          <w:p w14:paraId="02C8D75C">
            <w:pPr>
              <w:widowControl/>
              <w:jc w:val="center"/>
              <w:rPr>
                <w:rFonts w:cs="Arial" w:asciiTheme="minorEastAsia" w:hAnsiTheme="minorEastAsia"/>
                <w:color w:val="auto"/>
                <w:kern w:val="0"/>
                <w:sz w:val="22"/>
                <w:szCs w:val="22"/>
                <w:highlight w:val="none"/>
              </w:rPr>
            </w:pPr>
          </w:p>
        </w:tc>
      </w:tr>
      <w:tr w14:paraId="21BB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restart"/>
            <w:shd w:val="clear" w:color="auto" w:fill="auto"/>
            <w:vAlign w:val="center"/>
          </w:tcPr>
          <w:p w14:paraId="4688CF24">
            <w:pPr>
              <w:jc w:val="center"/>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5</w:t>
            </w:r>
          </w:p>
        </w:tc>
        <w:tc>
          <w:tcPr>
            <w:tcW w:w="1276" w:type="dxa"/>
            <w:vMerge w:val="restart"/>
            <w:shd w:val="clear" w:color="auto" w:fill="auto"/>
            <w:vAlign w:val="center"/>
          </w:tcPr>
          <w:p w14:paraId="7060017F">
            <w:pPr>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媒资智能工具</w:t>
            </w:r>
          </w:p>
        </w:tc>
        <w:tc>
          <w:tcPr>
            <w:tcW w:w="6968" w:type="dxa"/>
            <w:shd w:val="clear" w:color="auto" w:fill="auto"/>
            <w:vAlign w:val="center"/>
          </w:tcPr>
          <w:p w14:paraId="038B7B8D">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标签管理</w:t>
            </w:r>
          </w:p>
          <w:p w14:paraId="60FE5529">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要求支持标签管理：拥有标签管理权限的用户可以设计与管理自主的标签库模型，包括受控标签、禁用标签、屏蔽标签、活动标签池、落选标签池、标签回收站及标签分类管理。</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提供广电总局发布的《广播电视音像资料叙词表》作为标签白名单库，可结合自己需求补充的受控词，标签只有在受控标签库中，才可以在素材上呈现出来。禁用词在标签生成过程中即被禁用，不会保存于媒资内容元数据中；</w:t>
            </w:r>
          </w:p>
          <w:p w14:paraId="4BD06432">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要求提供包括中宣部、文化部、广电总局、新华社等机构所发通知中禁止使用的词语作为基础禁用词，用户可结合自己需求补充的禁用词，支持黑白灰标签的相互转化</w:t>
            </w:r>
          </w:p>
        </w:tc>
        <w:tc>
          <w:tcPr>
            <w:tcW w:w="556" w:type="dxa"/>
            <w:vMerge w:val="restart"/>
            <w:shd w:val="clear" w:color="auto" w:fill="auto"/>
            <w:vAlign w:val="center"/>
          </w:tcPr>
          <w:p w14:paraId="32683D27">
            <w:pPr>
              <w:jc w:val="center"/>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1</w:t>
            </w:r>
          </w:p>
        </w:tc>
      </w:tr>
      <w:tr w14:paraId="0ABF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4F0FF2B1">
            <w:pPr>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8EC1C53">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4B3A35DB">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多模态检索</w:t>
            </w:r>
          </w:p>
          <w:p w14:paraId="2623FE04">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多模态检索：支持多模态检索场景，包含各种类型的资料及视频片段的全文检索，聚类检索，层面汇聚及组合条件过滤，高级检索及智能检索，可对指定字段进行精确查找，多种方式的递进式组合查找；支持按节目类型、新闻人物、出镜人物、相关机构、相关地点为主要词条，包含视频、音频、图片、图文稿、文档、专辑、片段、场景、镜头等分类方式；</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要求支持智能化检索场景，支持通过人脸搜图搜视频，即支持上传一张人物图片，检索出媒资库中其关联的素材</w:t>
            </w:r>
          </w:p>
        </w:tc>
        <w:tc>
          <w:tcPr>
            <w:tcW w:w="556" w:type="dxa"/>
            <w:vMerge w:val="continue"/>
            <w:shd w:val="clear" w:color="auto" w:fill="auto"/>
            <w:vAlign w:val="center"/>
          </w:tcPr>
          <w:p w14:paraId="5B7D1E8E">
            <w:pPr>
              <w:jc w:val="center"/>
              <w:rPr>
                <w:rFonts w:cs="Arial" w:asciiTheme="minorEastAsia" w:hAnsiTheme="minorEastAsia"/>
                <w:color w:val="auto"/>
                <w:kern w:val="0"/>
                <w:sz w:val="22"/>
                <w:szCs w:val="22"/>
                <w:highlight w:val="none"/>
              </w:rPr>
            </w:pPr>
          </w:p>
        </w:tc>
      </w:tr>
      <w:tr w14:paraId="6AAC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9" w:type="dxa"/>
            <w:vMerge w:val="continue"/>
            <w:shd w:val="clear" w:color="auto" w:fill="auto"/>
            <w:vAlign w:val="center"/>
          </w:tcPr>
          <w:p w14:paraId="02AE4BDA">
            <w:pPr>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6B4269D">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10A01E09">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智能编目</w:t>
            </w:r>
          </w:p>
          <w:p w14:paraId="13E77AA1">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要求提供智能编目模块，支持对新闻节目视频进行智能结构化切分，符合广电四层编目标准，包含节目层、片段层、场景层、镜头层。且可自动识别提取片段标题、摘要、分类。</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针对新闻类型节目，支持提取智能标签，包括人物、机构、地点、时间、关键词等</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针对综艺类型节目，支持提取智能标签，包括出镜人物、人物表情、音效等</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针对影视剧，支持提取智能标签，包括影视片段、影视事件、出镜人物、地标、物体、音乐分类等</w:t>
            </w:r>
          </w:p>
        </w:tc>
        <w:tc>
          <w:tcPr>
            <w:tcW w:w="556" w:type="dxa"/>
            <w:vMerge w:val="continue"/>
            <w:shd w:val="clear" w:color="auto" w:fill="auto"/>
            <w:vAlign w:val="center"/>
          </w:tcPr>
          <w:p w14:paraId="2019A34D">
            <w:pPr>
              <w:jc w:val="center"/>
              <w:rPr>
                <w:rFonts w:cs="Arial" w:asciiTheme="minorEastAsia" w:hAnsiTheme="minorEastAsia"/>
                <w:color w:val="auto"/>
                <w:kern w:val="0"/>
                <w:sz w:val="22"/>
                <w:szCs w:val="22"/>
                <w:highlight w:val="none"/>
              </w:rPr>
            </w:pPr>
          </w:p>
        </w:tc>
      </w:tr>
      <w:tr w14:paraId="6EFA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shd w:val="clear" w:color="auto" w:fill="auto"/>
            <w:vAlign w:val="center"/>
          </w:tcPr>
          <w:p w14:paraId="70FD5B8B">
            <w:pPr>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5137857D">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43C25A6F">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智能标引</w:t>
            </w:r>
          </w:p>
          <w:p w14:paraId="2265968E">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支持智能标引：支持智能标引的快速定位场景，即将智能识别的人物、地点、机构等结果结果与视频关键片段进行关联定位，即浏览视频素材时，点击新闻人物的标签，即可一键定位出其在视频中出镜的时间线时码位置，一键定位到查找的内容。</w:t>
            </w:r>
          </w:p>
        </w:tc>
        <w:tc>
          <w:tcPr>
            <w:tcW w:w="556" w:type="dxa"/>
            <w:vMerge w:val="continue"/>
            <w:shd w:val="clear" w:color="auto" w:fill="auto"/>
            <w:vAlign w:val="center"/>
          </w:tcPr>
          <w:p w14:paraId="76298CEE">
            <w:pPr>
              <w:jc w:val="center"/>
              <w:rPr>
                <w:rFonts w:cs="Arial" w:asciiTheme="minorEastAsia" w:hAnsiTheme="minorEastAsia"/>
                <w:color w:val="auto"/>
                <w:kern w:val="0"/>
                <w:sz w:val="22"/>
                <w:szCs w:val="22"/>
                <w:highlight w:val="none"/>
              </w:rPr>
            </w:pPr>
          </w:p>
        </w:tc>
      </w:tr>
      <w:tr w14:paraId="0B3C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vMerge w:val="continue"/>
            <w:shd w:val="clear" w:color="auto" w:fill="auto"/>
            <w:vAlign w:val="center"/>
          </w:tcPr>
          <w:p w14:paraId="5B9F7B99">
            <w:pPr>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2937BE9">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760B25AF">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主题包聚类</w:t>
            </w:r>
          </w:p>
          <w:p w14:paraId="5870B796">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提供主题包聚类：支持主题包聚类场景，支持针对两会等重大事件报道或新闻主题制作时，设定相应的关键词条件，便可将符合设置条件的片段或者文件，自动汇聚形成专辑包，可直接在专辑包中找到需要的内容。</w:t>
            </w:r>
          </w:p>
        </w:tc>
        <w:tc>
          <w:tcPr>
            <w:tcW w:w="556" w:type="dxa"/>
            <w:vMerge w:val="continue"/>
            <w:shd w:val="clear" w:color="auto" w:fill="auto"/>
            <w:vAlign w:val="center"/>
          </w:tcPr>
          <w:p w14:paraId="224ABCA1">
            <w:pPr>
              <w:jc w:val="center"/>
              <w:rPr>
                <w:rFonts w:cs="Arial" w:asciiTheme="minorEastAsia" w:hAnsiTheme="minorEastAsia"/>
                <w:color w:val="auto"/>
                <w:kern w:val="0"/>
                <w:sz w:val="22"/>
                <w:szCs w:val="22"/>
                <w:highlight w:val="none"/>
              </w:rPr>
            </w:pPr>
          </w:p>
        </w:tc>
      </w:tr>
      <w:tr w14:paraId="2F11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Merge w:val="continue"/>
            <w:shd w:val="clear" w:color="auto" w:fill="auto"/>
            <w:vAlign w:val="center"/>
          </w:tcPr>
          <w:p w14:paraId="386D90E4">
            <w:pPr>
              <w:jc w:val="center"/>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2C979E99">
            <w:pPr>
              <w:jc w:val="center"/>
              <w:rPr>
                <w:rFonts w:cs="Arial" w:asciiTheme="minorEastAsia" w:hAnsiTheme="minorEastAsia"/>
                <w:color w:val="auto"/>
                <w:kern w:val="0"/>
                <w:sz w:val="22"/>
                <w:szCs w:val="22"/>
                <w:highlight w:val="none"/>
              </w:rPr>
            </w:pPr>
          </w:p>
        </w:tc>
        <w:tc>
          <w:tcPr>
            <w:tcW w:w="6968" w:type="dxa"/>
            <w:shd w:val="clear" w:color="auto" w:fill="auto"/>
            <w:vAlign w:val="center"/>
          </w:tcPr>
          <w:p w14:paraId="13924527">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知识图谱</w:t>
            </w:r>
          </w:p>
          <w:p w14:paraId="38DE570F">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要求提供知识图谱：针对知识库的相关信息变动（包含新增、删除、修改操作）进行审核，只有审核通过操作才能更新数据。具备管理员权限的用户可以进入该页面进行审核操作。</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提供人物、机构等信息库管理</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记录人物属性（行业、职位、简历、头衔等），支持添加及修改、查询过滤、删除</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记录机构属性（名称、简介等），支持添加及修改、查询过滤、删除</w:t>
            </w:r>
            <w:r>
              <w:rPr>
                <w:rFonts w:hint="eastAsia" w:cs="Arial" w:asciiTheme="minorEastAsia" w:hAnsiTheme="minorEastAsia"/>
                <w:color w:val="auto"/>
                <w:kern w:val="0"/>
                <w:sz w:val="22"/>
                <w:szCs w:val="22"/>
                <w:highlight w:val="none"/>
              </w:rPr>
              <w:br w:type="textWrapping"/>
            </w:r>
            <w:r>
              <w:rPr>
                <w:rFonts w:hint="eastAsia" w:cs="Arial" w:asciiTheme="minorEastAsia" w:hAnsiTheme="minorEastAsia"/>
                <w:color w:val="auto"/>
                <w:kern w:val="0"/>
                <w:sz w:val="22"/>
                <w:szCs w:val="22"/>
                <w:highlight w:val="none"/>
              </w:rPr>
              <w:t>记录人物、机构等相关关系</w:t>
            </w:r>
          </w:p>
        </w:tc>
        <w:tc>
          <w:tcPr>
            <w:tcW w:w="556" w:type="dxa"/>
            <w:vMerge w:val="continue"/>
            <w:shd w:val="clear" w:color="auto" w:fill="auto"/>
            <w:vAlign w:val="center"/>
          </w:tcPr>
          <w:p w14:paraId="204879DF">
            <w:pPr>
              <w:jc w:val="center"/>
              <w:rPr>
                <w:rFonts w:cs="Arial" w:asciiTheme="minorEastAsia" w:hAnsiTheme="minorEastAsia"/>
                <w:color w:val="auto"/>
                <w:kern w:val="0"/>
                <w:sz w:val="22"/>
                <w:szCs w:val="22"/>
                <w:highlight w:val="none"/>
              </w:rPr>
            </w:pPr>
          </w:p>
        </w:tc>
      </w:tr>
      <w:tr w14:paraId="6DDD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09" w:type="dxa"/>
            <w:gridSpan w:val="4"/>
            <w:shd w:val="clear" w:color="auto" w:fill="auto"/>
            <w:vAlign w:val="center"/>
          </w:tcPr>
          <w:p w14:paraId="74901C0B">
            <w:pPr>
              <w:widowControl/>
              <w:jc w:val="left"/>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二、安全防护服务</w:t>
            </w:r>
          </w:p>
        </w:tc>
      </w:tr>
      <w:tr w14:paraId="67AA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shd w:val="clear" w:color="auto" w:fill="auto"/>
            <w:vAlign w:val="center"/>
          </w:tcPr>
          <w:p w14:paraId="64A4C744">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c>
          <w:tcPr>
            <w:tcW w:w="1276" w:type="dxa"/>
            <w:shd w:val="clear" w:color="auto" w:fill="auto"/>
            <w:vAlign w:val="center"/>
          </w:tcPr>
          <w:p w14:paraId="1E1A5E4A">
            <w:pPr>
              <w:widowControl/>
              <w:jc w:val="center"/>
              <w:rPr>
                <w:rFonts w:cs="Arial" w:asciiTheme="minorEastAsia" w:hAnsiTheme="minorEastAsia"/>
                <w:color w:val="auto"/>
                <w:kern w:val="0"/>
                <w:sz w:val="22"/>
                <w:szCs w:val="22"/>
                <w:highlight w:val="none"/>
              </w:rPr>
            </w:pPr>
            <w:r>
              <w:rPr>
                <w:rFonts w:hint="eastAsia" w:ascii="宋体" w:hAnsi="宋体" w:eastAsia="宋体" w:cs="Arial"/>
                <w:color w:val="auto"/>
                <w:kern w:val="0"/>
                <w:sz w:val="22"/>
                <w:szCs w:val="22"/>
                <w:highlight w:val="none"/>
              </w:rPr>
              <w:t>防病毒功能</w:t>
            </w:r>
          </w:p>
        </w:tc>
        <w:tc>
          <w:tcPr>
            <w:tcW w:w="6968" w:type="dxa"/>
            <w:shd w:val="clear" w:color="auto" w:fill="auto"/>
            <w:vAlign w:val="center"/>
          </w:tcPr>
          <w:p w14:paraId="5AEC7FD8">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要求Saa</w:t>
            </w:r>
            <w:r>
              <w:rPr>
                <w:rFonts w:cs="Arial" w:asciiTheme="minorEastAsia" w:hAnsiTheme="minorEastAsia"/>
                <w:color w:val="auto"/>
                <w:kern w:val="0"/>
                <w:sz w:val="22"/>
                <w:szCs w:val="22"/>
                <w:highlight w:val="none"/>
              </w:rPr>
              <w:t>S</w:t>
            </w:r>
            <w:r>
              <w:rPr>
                <w:rFonts w:hint="eastAsia" w:cs="Arial" w:asciiTheme="minorEastAsia" w:hAnsiTheme="minorEastAsia"/>
                <w:color w:val="auto"/>
                <w:kern w:val="0"/>
                <w:sz w:val="22"/>
                <w:szCs w:val="22"/>
                <w:highlight w:val="none"/>
              </w:rPr>
              <w:t>化部署，无需更改网络架构，本地无需部署硬件设备</w:t>
            </w:r>
          </w:p>
          <w:p w14:paraId="72C53CAC">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要求支持设置多种扫描模式包括极速模式、低资源占用模式，且低资源占用模式可自定义CPU使用率。</w:t>
            </w:r>
          </w:p>
          <w:p w14:paraId="1B25362A">
            <w:pPr>
              <w:pStyle w:val="2"/>
              <w:ind w:firstLine="0" w:firstLineChars="0"/>
              <w:rPr>
                <w:color w:val="auto"/>
                <w:sz w:val="22"/>
                <w:szCs w:val="22"/>
                <w:highlight w:val="none"/>
              </w:rPr>
            </w:pPr>
            <w:r>
              <w:rPr>
                <w:rFonts w:hint="eastAsia" w:cs="Arial" w:asciiTheme="minorEastAsia" w:hAnsiTheme="minorEastAsia"/>
                <w:color w:val="auto"/>
                <w:kern w:val="0"/>
                <w:sz w:val="22"/>
                <w:szCs w:val="22"/>
                <w:highlight w:val="none"/>
              </w:rPr>
              <w:t>要求</w:t>
            </w:r>
            <w:r>
              <w:rPr>
                <w:rFonts w:hint="eastAsia" w:cs="Segoe UI Symbol"/>
                <w:color w:val="auto"/>
                <w:sz w:val="22"/>
                <w:szCs w:val="22"/>
                <w:highlight w:val="none"/>
              </w:rPr>
              <w:t>支持多引擎设置，包括默认引擎、深度扫描引擎。</w:t>
            </w:r>
          </w:p>
          <w:p w14:paraId="58949A05">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要求支持自定义病毒处理方式，包括自动处理、记录、删除。优先对病毒文件进行修复，并将修复前的病毒文件进行备份。</w:t>
            </w:r>
          </w:p>
          <w:p w14:paraId="2B99CD80">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要求支持对顽固流行病毒进行智能拦截。</w:t>
            </w:r>
          </w:p>
          <w:p w14:paraId="36825A2C">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要求提供内核级的数据防护能力，保护文件不被恶意修改、加密等，可自定义配置保护的文件及目录，支持设置例外进程。</w:t>
            </w:r>
          </w:p>
          <w:p w14:paraId="290CA75C">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要求提供专门的勒索风险评估功能。</w:t>
            </w:r>
          </w:p>
          <w:p w14:paraId="60ECDEC8">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要求提供专门的针对未知勒索病毒的行为检测防御引擎，基于文件读写、进程、命令、网络、注册表修改等行为对于未知勒索病毒进行发现和阻断。</w:t>
            </w:r>
          </w:p>
          <w:p w14:paraId="4BC65B0C">
            <w:pPr>
              <w:pStyle w:val="2"/>
              <w:ind w:firstLine="0" w:firstLineChars="0"/>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要求提供专利级针对未知勒索病毒的诱饵防护引擎，通过自动生成的高仿真文件诱捕未知勒索病毒的攻击，并进行实时阻断。</w:t>
            </w:r>
          </w:p>
        </w:tc>
        <w:tc>
          <w:tcPr>
            <w:tcW w:w="556" w:type="dxa"/>
            <w:shd w:val="clear" w:color="auto" w:fill="auto"/>
            <w:vAlign w:val="center"/>
          </w:tcPr>
          <w:p w14:paraId="22F1D8CA">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5C81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09" w:type="dxa"/>
            <w:gridSpan w:val="4"/>
            <w:shd w:val="clear" w:color="auto" w:fill="auto"/>
            <w:vAlign w:val="center"/>
          </w:tcPr>
          <w:p w14:paraId="5DBA0330">
            <w:pPr>
              <w:widowControl/>
              <w:jc w:val="left"/>
              <w:rPr>
                <w:rFonts w:cs="Arial" w:asciiTheme="minorEastAsia" w:hAnsiTheme="minorEastAsia"/>
                <w:b/>
                <w:bCs/>
                <w:color w:val="auto"/>
                <w:kern w:val="0"/>
                <w:sz w:val="22"/>
                <w:szCs w:val="22"/>
                <w:highlight w:val="none"/>
              </w:rPr>
            </w:pPr>
            <w:r>
              <w:rPr>
                <w:rFonts w:hint="eastAsia" w:cs="Arial" w:asciiTheme="minorEastAsia" w:hAnsiTheme="minorEastAsia"/>
                <w:b/>
                <w:bCs/>
                <w:color w:val="auto"/>
                <w:kern w:val="0"/>
                <w:sz w:val="22"/>
                <w:szCs w:val="22"/>
                <w:highlight w:val="none"/>
              </w:rPr>
              <w:t>四、系统集成服务</w:t>
            </w:r>
          </w:p>
        </w:tc>
      </w:tr>
      <w:tr w14:paraId="657E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shd w:val="clear" w:color="auto" w:fill="auto"/>
            <w:vAlign w:val="center"/>
          </w:tcPr>
          <w:p w14:paraId="2FC39059">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c>
          <w:tcPr>
            <w:tcW w:w="1276" w:type="dxa"/>
            <w:shd w:val="clear" w:color="auto" w:fill="auto"/>
            <w:vAlign w:val="center"/>
          </w:tcPr>
          <w:p w14:paraId="182A5AE1">
            <w:pPr>
              <w:widowControl/>
              <w:jc w:val="center"/>
              <w:rPr>
                <w:rFonts w:cs="Arial" w:asciiTheme="minorEastAsia" w:hAnsiTheme="minorEastAsia"/>
                <w:color w:val="auto"/>
                <w:kern w:val="0"/>
                <w:sz w:val="22"/>
                <w:szCs w:val="22"/>
                <w:highlight w:val="none"/>
              </w:rPr>
            </w:pPr>
            <w:r>
              <w:rPr>
                <w:rFonts w:hint="eastAsia" w:ascii="宋体" w:hAnsi="宋体" w:eastAsia="宋体" w:cs="Arial"/>
                <w:color w:val="auto"/>
                <w:kern w:val="0"/>
                <w:sz w:val="22"/>
                <w:szCs w:val="22"/>
                <w:highlight w:val="none"/>
              </w:rPr>
              <w:t>定制开发</w:t>
            </w:r>
          </w:p>
        </w:tc>
        <w:tc>
          <w:tcPr>
            <w:tcW w:w="6968" w:type="dxa"/>
            <w:shd w:val="clear" w:color="auto" w:fill="auto"/>
            <w:vAlign w:val="center"/>
          </w:tcPr>
          <w:p w14:paraId="1E38A6ED">
            <w:pPr>
              <w:widowControl/>
              <w:jc w:val="left"/>
              <w:rPr>
                <w:rFonts w:cs="Arial" w:asciiTheme="minorEastAsia" w:hAnsiTheme="minorEastAsia"/>
                <w:color w:val="auto"/>
                <w:kern w:val="0"/>
                <w:sz w:val="22"/>
                <w:szCs w:val="22"/>
                <w:highlight w:val="none"/>
              </w:rPr>
            </w:pPr>
            <w:r>
              <w:rPr>
                <w:rFonts w:hint="eastAsia" w:ascii="宋体" w:hAnsi="宋体" w:eastAsia="宋体" w:cs="Arial"/>
                <w:color w:val="auto"/>
                <w:kern w:val="0"/>
                <w:sz w:val="22"/>
                <w:szCs w:val="22"/>
                <w:highlight w:val="none"/>
              </w:rPr>
              <w:t>与现有生产系统对接，实现内容的归档及回迁功能</w:t>
            </w:r>
          </w:p>
        </w:tc>
        <w:tc>
          <w:tcPr>
            <w:tcW w:w="556" w:type="dxa"/>
            <w:shd w:val="clear" w:color="auto" w:fill="auto"/>
            <w:vAlign w:val="center"/>
          </w:tcPr>
          <w:p w14:paraId="4A673350">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301D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vMerge w:val="restart"/>
            <w:shd w:val="clear" w:color="auto" w:fill="auto"/>
            <w:vAlign w:val="center"/>
          </w:tcPr>
          <w:p w14:paraId="4E598FC2">
            <w:pPr>
              <w:jc w:val="center"/>
              <w:rPr>
                <w:rFonts w:cs="Arial" w:asciiTheme="minorEastAsia" w:hAnsiTheme="minorEastAsia"/>
                <w:color w:val="auto"/>
                <w:kern w:val="0"/>
                <w:sz w:val="22"/>
                <w:szCs w:val="22"/>
                <w:highlight w:val="none"/>
              </w:rPr>
            </w:pPr>
            <w:r>
              <w:rPr>
                <w:rFonts w:cs="Arial" w:asciiTheme="minorEastAsia" w:hAnsiTheme="minorEastAsia"/>
                <w:color w:val="auto"/>
                <w:kern w:val="0"/>
                <w:sz w:val="22"/>
                <w:szCs w:val="22"/>
                <w:highlight w:val="none"/>
              </w:rPr>
              <w:t>2</w:t>
            </w:r>
          </w:p>
        </w:tc>
        <w:tc>
          <w:tcPr>
            <w:tcW w:w="1276" w:type="dxa"/>
            <w:vMerge w:val="restart"/>
            <w:shd w:val="clear" w:color="auto" w:fill="auto"/>
            <w:vAlign w:val="center"/>
          </w:tcPr>
          <w:p w14:paraId="004F05D4">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集成服务</w:t>
            </w:r>
          </w:p>
        </w:tc>
        <w:tc>
          <w:tcPr>
            <w:tcW w:w="6968" w:type="dxa"/>
            <w:shd w:val="clear" w:color="auto" w:fill="auto"/>
            <w:vAlign w:val="center"/>
          </w:tcPr>
          <w:p w14:paraId="274902CD">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实施计划交流服务</w:t>
            </w:r>
          </w:p>
        </w:tc>
        <w:tc>
          <w:tcPr>
            <w:tcW w:w="556" w:type="dxa"/>
            <w:vMerge w:val="restart"/>
            <w:shd w:val="clear" w:color="auto" w:fill="auto"/>
            <w:vAlign w:val="center"/>
          </w:tcPr>
          <w:p w14:paraId="0F58DC7A">
            <w:pPr>
              <w:widowControl/>
              <w:jc w:val="center"/>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1</w:t>
            </w:r>
          </w:p>
        </w:tc>
      </w:tr>
      <w:tr w14:paraId="6A6E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709" w:type="dxa"/>
            <w:vMerge w:val="continue"/>
            <w:shd w:val="clear" w:color="auto" w:fill="auto"/>
            <w:vAlign w:val="center"/>
          </w:tcPr>
          <w:p w14:paraId="046E29A2">
            <w:pPr>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17DAB40E">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1A823DC6">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进场前准备工作服务</w:t>
            </w:r>
          </w:p>
        </w:tc>
        <w:tc>
          <w:tcPr>
            <w:tcW w:w="556" w:type="dxa"/>
            <w:vMerge w:val="continue"/>
            <w:shd w:val="clear" w:color="auto" w:fill="auto"/>
            <w:vAlign w:val="center"/>
          </w:tcPr>
          <w:p w14:paraId="0CCF6D62">
            <w:pPr>
              <w:widowControl/>
              <w:jc w:val="left"/>
              <w:rPr>
                <w:rFonts w:cs="Arial" w:asciiTheme="minorEastAsia" w:hAnsiTheme="minorEastAsia"/>
                <w:color w:val="auto"/>
                <w:kern w:val="0"/>
                <w:sz w:val="22"/>
                <w:szCs w:val="22"/>
                <w:highlight w:val="none"/>
              </w:rPr>
            </w:pPr>
          </w:p>
        </w:tc>
      </w:tr>
      <w:tr w14:paraId="5A7F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709" w:type="dxa"/>
            <w:vMerge w:val="continue"/>
            <w:shd w:val="clear" w:color="auto" w:fill="auto"/>
            <w:vAlign w:val="center"/>
          </w:tcPr>
          <w:p w14:paraId="6EE5058C">
            <w:pPr>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70B20ABC">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300DF36B">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现场系统搭建服务</w:t>
            </w:r>
          </w:p>
        </w:tc>
        <w:tc>
          <w:tcPr>
            <w:tcW w:w="556" w:type="dxa"/>
            <w:vMerge w:val="continue"/>
            <w:shd w:val="clear" w:color="auto" w:fill="auto"/>
            <w:vAlign w:val="center"/>
          </w:tcPr>
          <w:p w14:paraId="2A368085">
            <w:pPr>
              <w:widowControl/>
              <w:jc w:val="left"/>
              <w:rPr>
                <w:rFonts w:cs="Arial" w:asciiTheme="minorEastAsia" w:hAnsiTheme="minorEastAsia"/>
                <w:color w:val="auto"/>
                <w:kern w:val="0"/>
                <w:sz w:val="22"/>
                <w:szCs w:val="22"/>
                <w:highlight w:val="none"/>
              </w:rPr>
            </w:pPr>
          </w:p>
        </w:tc>
      </w:tr>
      <w:tr w14:paraId="3E16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vMerge w:val="continue"/>
            <w:shd w:val="clear" w:color="auto" w:fill="auto"/>
            <w:vAlign w:val="center"/>
          </w:tcPr>
          <w:p w14:paraId="6981411F">
            <w:pPr>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5E3CC6C5">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2C2726AA">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现场软件部署服务</w:t>
            </w:r>
          </w:p>
        </w:tc>
        <w:tc>
          <w:tcPr>
            <w:tcW w:w="556" w:type="dxa"/>
            <w:vMerge w:val="continue"/>
            <w:shd w:val="clear" w:color="auto" w:fill="auto"/>
            <w:vAlign w:val="center"/>
          </w:tcPr>
          <w:p w14:paraId="429B9945">
            <w:pPr>
              <w:widowControl/>
              <w:jc w:val="left"/>
              <w:rPr>
                <w:rFonts w:cs="Arial" w:asciiTheme="minorEastAsia" w:hAnsiTheme="minorEastAsia"/>
                <w:color w:val="auto"/>
                <w:kern w:val="0"/>
                <w:sz w:val="22"/>
                <w:szCs w:val="22"/>
                <w:highlight w:val="none"/>
              </w:rPr>
            </w:pPr>
          </w:p>
        </w:tc>
      </w:tr>
      <w:tr w14:paraId="6B9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vMerge w:val="continue"/>
            <w:shd w:val="clear" w:color="auto" w:fill="auto"/>
            <w:vAlign w:val="center"/>
          </w:tcPr>
          <w:p w14:paraId="19DA54A9">
            <w:pPr>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4A34563">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3AE1F80B">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现场培训服务</w:t>
            </w:r>
          </w:p>
        </w:tc>
        <w:tc>
          <w:tcPr>
            <w:tcW w:w="556" w:type="dxa"/>
            <w:vMerge w:val="continue"/>
            <w:shd w:val="clear" w:color="auto" w:fill="auto"/>
            <w:vAlign w:val="center"/>
          </w:tcPr>
          <w:p w14:paraId="712D79EF">
            <w:pPr>
              <w:widowControl/>
              <w:jc w:val="left"/>
              <w:rPr>
                <w:rFonts w:cs="Arial" w:asciiTheme="minorEastAsia" w:hAnsiTheme="minorEastAsia"/>
                <w:color w:val="auto"/>
                <w:kern w:val="0"/>
                <w:sz w:val="22"/>
                <w:szCs w:val="22"/>
                <w:highlight w:val="none"/>
              </w:rPr>
            </w:pPr>
          </w:p>
        </w:tc>
      </w:tr>
      <w:tr w14:paraId="0A6B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709" w:type="dxa"/>
            <w:vMerge w:val="continue"/>
            <w:shd w:val="clear" w:color="auto" w:fill="auto"/>
            <w:vAlign w:val="center"/>
          </w:tcPr>
          <w:p w14:paraId="79BA7331">
            <w:pPr>
              <w:widowControl/>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66E9023">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7353EB10">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现场试运行驻场服务</w:t>
            </w:r>
          </w:p>
        </w:tc>
        <w:tc>
          <w:tcPr>
            <w:tcW w:w="556" w:type="dxa"/>
            <w:vMerge w:val="continue"/>
            <w:shd w:val="clear" w:color="auto" w:fill="auto"/>
            <w:vAlign w:val="center"/>
          </w:tcPr>
          <w:p w14:paraId="756DD299">
            <w:pPr>
              <w:widowControl/>
              <w:jc w:val="left"/>
              <w:rPr>
                <w:rFonts w:cs="Arial" w:asciiTheme="minorEastAsia" w:hAnsiTheme="minorEastAsia"/>
                <w:color w:val="auto"/>
                <w:kern w:val="0"/>
                <w:sz w:val="22"/>
                <w:szCs w:val="22"/>
                <w:highlight w:val="none"/>
              </w:rPr>
            </w:pPr>
          </w:p>
        </w:tc>
      </w:tr>
      <w:tr w14:paraId="1A5F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vMerge w:val="continue"/>
            <w:shd w:val="clear" w:color="auto" w:fill="auto"/>
            <w:vAlign w:val="center"/>
          </w:tcPr>
          <w:p w14:paraId="530A0E85">
            <w:pPr>
              <w:widowControl/>
              <w:jc w:val="left"/>
              <w:rPr>
                <w:rFonts w:cs="Arial" w:asciiTheme="minorEastAsia" w:hAnsiTheme="minorEastAsia"/>
                <w:color w:val="auto"/>
                <w:kern w:val="0"/>
                <w:sz w:val="22"/>
                <w:szCs w:val="22"/>
                <w:highlight w:val="none"/>
              </w:rPr>
            </w:pPr>
          </w:p>
        </w:tc>
        <w:tc>
          <w:tcPr>
            <w:tcW w:w="1276" w:type="dxa"/>
            <w:vMerge w:val="continue"/>
            <w:shd w:val="clear" w:color="auto" w:fill="auto"/>
            <w:vAlign w:val="center"/>
          </w:tcPr>
          <w:p w14:paraId="6509693D">
            <w:pPr>
              <w:widowControl/>
              <w:jc w:val="left"/>
              <w:rPr>
                <w:rFonts w:cs="Arial" w:asciiTheme="minorEastAsia" w:hAnsiTheme="minorEastAsia"/>
                <w:color w:val="auto"/>
                <w:kern w:val="0"/>
                <w:sz w:val="22"/>
                <w:szCs w:val="22"/>
                <w:highlight w:val="none"/>
              </w:rPr>
            </w:pPr>
          </w:p>
        </w:tc>
        <w:tc>
          <w:tcPr>
            <w:tcW w:w="6968" w:type="dxa"/>
            <w:shd w:val="clear" w:color="auto" w:fill="auto"/>
            <w:vAlign w:val="center"/>
          </w:tcPr>
          <w:p w14:paraId="106A19F5">
            <w:pPr>
              <w:widowControl/>
              <w:jc w:val="left"/>
              <w:rPr>
                <w:rFonts w:cs="Arial" w:asciiTheme="minorEastAsia" w:hAnsiTheme="minorEastAsia"/>
                <w:color w:val="auto"/>
                <w:kern w:val="0"/>
                <w:sz w:val="22"/>
                <w:szCs w:val="22"/>
                <w:highlight w:val="none"/>
              </w:rPr>
            </w:pPr>
            <w:r>
              <w:rPr>
                <w:rFonts w:hint="eastAsia" w:cs="Arial" w:asciiTheme="minorEastAsia" w:hAnsiTheme="minorEastAsia"/>
                <w:color w:val="auto"/>
                <w:kern w:val="0"/>
                <w:sz w:val="22"/>
                <w:szCs w:val="22"/>
                <w:highlight w:val="none"/>
              </w:rPr>
              <w:t>现场验收服务</w:t>
            </w:r>
          </w:p>
        </w:tc>
        <w:tc>
          <w:tcPr>
            <w:tcW w:w="556" w:type="dxa"/>
            <w:vMerge w:val="continue"/>
            <w:shd w:val="clear" w:color="auto" w:fill="auto"/>
            <w:vAlign w:val="center"/>
          </w:tcPr>
          <w:p w14:paraId="0792389D">
            <w:pPr>
              <w:widowControl/>
              <w:jc w:val="left"/>
              <w:rPr>
                <w:rFonts w:cs="Arial" w:asciiTheme="minorEastAsia" w:hAnsiTheme="minorEastAsia"/>
                <w:color w:val="auto"/>
                <w:kern w:val="0"/>
                <w:sz w:val="22"/>
                <w:szCs w:val="22"/>
                <w:highlight w:val="none"/>
              </w:rPr>
            </w:pPr>
          </w:p>
        </w:tc>
      </w:tr>
    </w:tbl>
    <w:p w14:paraId="72A42DCC">
      <w:pPr>
        <w:pStyle w:val="4"/>
        <w:pageBreakBefore w:val="0"/>
        <w:numPr>
          <w:ilvl w:val="1"/>
          <w:numId w:val="0"/>
        </w:numPr>
        <w:kinsoku/>
        <w:wordWrap/>
        <w:overflowPunct/>
        <w:topLinePunct w:val="0"/>
        <w:autoSpaceDE/>
        <w:autoSpaceDN/>
        <w:bidi w:val="0"/>
        <w:adjustRightInd/>
        <w:snapToGrid/>
        <w:spacing w:before="0" w:after="0" w:line="48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七、其他</w:t>
      </w:r>
    </w:p>
    <w:p w14:paraId="17BB7FDD">
      <w:pPr>
        <w:numPr>
          <w:ilvl w:val="0"/>
          <w:numId w:val="0"/>
        </w:numPr>
        <w:rPr>
          <w:rFonts w:hint="eastAsia" w:asciiTheme="minorEastAsia" w:hAnsiTheme="minorEastAsia" w:eastAsiaTheme="minorEastAsia"/>
          <w:b/>
          <w:bCs/>
          <w:color w:val="auto"/>
          <w:sz w:val="36"/>
          <w:szCs w:val="36"/>
          <w:highlight w:val="none"/>
          <w:lang w:val="zh-CN"/>
        </w:rPr>
      </w:pPr>
      <w:r>
        <w:rPr>
          <w:rFonts w:hint="eastAsia" w:eastAsia="宋体" w:cs="Times New Roman" w:asciiTheme="minorEastAsia" w:hAnsiTheme="minorEastAsia"/>
          <w:color w:val="auto"/>
          <w:kern w:val="2"/>
          <w:sz w:val="22"/>
          <w:szCs w:val="22"/>
          <w:highlight w:val="none"/>
          <w:lang w:val="zh-CN" w:eastAsia="zh-CN" w:bidi="ar-SA"/>
        </w:rPr>
        <w:t>本项目无核心产品，</w:t>
      </w:r>
      <w:r>
        <w:rPr>
          <w:rFonts w:hint="eastAsia" w:cs="Times New Roman" w:asciiTheme="minorEastAsia" w:hAnsiTheme="minorEastAsia"/>
          <w:color w:val="auto"/>
          <w:kern w:val="2"/>
          <w:sz w:val="22"/>
          <w:szCs w:val="22"/>
          <w:highlight w:val="none"/>
          <w:lang w:val="en-US" w:eastAsia="zh-CN" w:bidi="ar-SA"/>
        </w:rPr>
        <w:t>同一产品，</w:t>
      </w:r>
      <w:r>
        <w:rPr>
          <w:rFonts w:hint="eastAsia" w:eastAsia="宋体" w:cs="Times New Roman" w:asciiTheme="minorEastAsia" w:hAnsiTheme="minorEastAsia"/>
          <w:color w:val="auto"/>
          <w:kern w:val="2"/>
          <w:sz w:val="22"/>
          <w:szCs w:val="22"/>
          <w:highlight w:val="none"/>
          <w:lang w:val="zh-CN" w:eastAsia="zh-CN" w:bidi="ar-SA"/>
        </w:rPr>
        <w:t>不同供应商提供相同品牌</w:t>
      </w:r>
      <w:r>
        <w:rPr>
          <w:rFonts w:hint="eastAsia" w:cs="Times New Roman" w:asciiTheme="minorEastAsia" w:hAnsiTheme="minorEastAsia"/>
          <w:color w:val="auto"/>
          <w:kern w:val="2"/>
          <w:sz w:val="22"/>
          <w:szCs w:val="22"/>
          <w:highlight w:val="none"/>
          <w:lang w:val="zh-CN" w:eastAsia="zh-CN" w:bidi="ar-SA"/>
        </w:rPr>
        <w:t>、</w:t>
      </w:r>
      <w:r>
        <w:rPr>
          <w:rFonts w:hint="eastAsia" w:cs="Times New Roman" w:asciiTheme="minorEastAsia" w:hAnsiTheme="minorEastAsia"/>
          <w:color w:val="auto"/>
          <w:kern w:val="2"/>
          <w:sz w:val="22"/>
          <w:szCs w:val="22"/>
          <w:highlight w:val="none"/>
          <w:lang w:val="en-US" w:eastAsia="zh-CN" w:bidi="ar-SA"/>
        </w:rPr>
        <w:t>相同型号</w:t>
      </w:r>
      <w:r>
        <w:rPr>
          <w:rFonts w:hint="eastAsia" w:eastAsia="宋体" w:cs="Times New Roman" w:asciiTheme="minorEastAsia" w:hAnsiTheme="minorEastAsia"/>
          <w:color w:val="auto"/>
          <w:kern w:val="2"/>
          <w:sz w:val="22"/>
          <w:szCs w:val="22"/>
          <w:highlight w:val="none"/>
          <w:lang w:val="zh-CN" w:eastAsia="zh-CN" w:bidi="ar-SA"/>
        </w:rPr>
        <w:t>的产品均予以认可。</w:t>
      </w:r>
      <w:r>
        <w:rPr>
          <w:rFonts w:hint="eastAsia" w:asciiTheme="minorEastAsia" w:hAnsiTheme="minorEastAsia" w:eastAsiaTheme="minorEastAsia"/>
          <w:b/>
          <w:bCs/>
          <w:color w:val="auto"/>
          <w:sz w:val="36"/>
          <w:szCs w:val="36"/>
          <w:highlight w:val="none"/>
          <w:lang w:val="zh-CN"/>
        </w:rPr>
        <w:br w:type="page"/>
      </w:r>
    </w:p>
    <w:p w14:paraId="048A08DB">
      <w:pPr>
        <w:numPr>
          <w:ilvl w:val="0"/>
          <w:numId w:val="0"/>
        </w:numPr>
        <w:autoSpaceDE w:val="0"/>
        <w:autoSpaceDN w:val="0"/>
        <w:adjustRightInd w:val="0"/>
        <w:snapToGrid w:val="0"/>
        <w:spacing w:line="300" w:lineRule="auto"/>
        <w:ind w:left="142" w:leftChars="0"/>
        <w:jc w:val="center"/>
        <w:outlineLvl w:val="0"/>
        <w:rPr>
          <w:rFonts w:asciiTheme="minorEastAsia" w:hAnsiTheme="minorEastAsia" w:eastAsiaTheme="minorEastAsia"/>
          <w:b/>
          <w:bCs/>
          <w:color w:val="auto"/>
          <w:sz w:val="36"/>
          <w:szCs w:val="36"/>
          <w:highlight w:val="none"/>
          <w:lang w:val="zh-CN"/>
        </w:rPr>
      </w:pPr>
      <w:r>
        <w:rPr>
          <w:rFonts w:hint="eastAsia" w:asciiTheme="minorEastAsia" w:hAnsiTheme="minorEastAsia" w:eastAsiaTheme="minorEastAsia"/>
          <w:b/>
          <w:bCs/>
          <w:color w:val="auto"/>
          <w:sz w:val="36"/>
          <w:szCs w:val="36"/>
          <w:highlight w:val="none"/>
          <w:lang w:val="zh-CN"/>
        </w:rPr>
        <w:t>第四部分  评审程序和内容</w:t>
      </w:r>
    </w:p>
    <w:p w14:paraId="2D25BE04">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14:paraId="21E323B0">
      <w:pPr>
        <w:keepNext w:val="0"/>
        <w:keepLines w:val="0"/>
        <w:pageBreakBefore w:val="0"/>
        <w:widowControl w:val="0"/>
        <w:kinsoku/>
        <w:wordWrap/>
        <w:overflowPunct/>
        <w:topLinePunct w:val="0"/>
        <w:bidi w:val="0"/>
        <w:snapToGrid w:val="0"/>
        <w:spacing w:line="480" w:lineRule="exact"/>
        <w:ind w:firstLine="442" w:firstLineChars="200"/>
        <w:textAlignment w:val="auto"/>
        <w:rPr>
          <w:color w:val="auto"/>
          <w:kern w:val="0"/>
          <w:sz w:val="22"/>
          <w:szCs w:val="22"/>
          <w:highlight w:val="none"/>
          <w:lang w:val="zh-CN"/>
        </w:rPr>
      </w:pPr>
      <w:r>
        <w:rPr>
          <w:b/>
          <w:color w:val="auto"/>
          <w:kern w:val="0"/>
          <w:sz w:val="22"/>
          <w:szCs w:val="22"/>
          <w:highlight w:val="none"/>
          <w:lang w:val="zh-CN"/>
        </w:rPr>
        <w:t>1、成立竞争性磋商小组。</w:t>
      </w:r>
      <w:r>
        <w:rPr>
          <w:color w:val="auto"/>
          <w:kern w:val="0"/>
          <w:sz w:val="22"/>
          <w:szCs w:val="22"/>
          <w:highlight w:val="none"/>
          <w:lang w:val="zh-CN"/>
        </w:rPr>
        <w:t>竞争性磋商小组由</w:t>
      </w:r>
      <w:r>
        <w:rPr>
          <w:rFonts w:hint="eastAsia"/>
          <w:color w:val="auto"/>
          <w:kern w:val="0"/>
          <w:sz w:val="22"/>
          <w:szCs w:val="22"/>
          <w:highlight w:val="none"/>
          <w:lang w:val="zh-CN"/>
        </w:rPr>
        <w:t>采购人代表和评审专家共计</w:t>
      </w:r>
      <w:r>
        <w:rPr>
          <w:rFonts w:hint="eastAsia"/>
          <w:color w:val="auto"/>
          <w:kern w:val="0"/>
          <w:sz w:val="22"/>
          <w:szCs w:val="22"/>
          <w:highlight w:val="none"/>
        </w:rPr>
        <w:t>3</w:t>
      </w:r>
      <w:r>
        <w:rPr>
          <w:rFonts w:hint="eastAsia"/>
          <w:color w:val="auto"/>
          <w:kern w:val="0"/>
          <w:sz w:val="22"/>
          <w:szCs w:val="22"/>
          <w:highlight w:val="none"/>
          <w:lang w:val="zh-CN"/>
        </w:rPr>
        <w:t>人组成，其中评审专家</w:t>
      </w:r>
      <w:r>
        <w:rPr>
          <w:rFonts w:hint="eastAsia"/>
          <w:color w:val="auto"/>
          <w:kern w:val="0"/>
          <w:sz w:val="22"/>
          <w:szCs w:val="22"/>
          <w:highlight w:val="none"/>
        </w:rPr>
        <w:t>2</w:t>
      </w:r>
      <w:r>
        <w:rPr>
          <w:rFonts w:hint="eastAsia"/>
          <w:color w:val="auto"/>
          <w:kern w:val="0"/>
          <w:sz w:val="22"/>
          <w:szCs w:val="22"/>
          <w:highlight w:val="none"/>
          <w:lang w:val="zh-CN"/>
        </w:rPr>
        <w:t>人，采购人代表1人</w:t>
      </w:r>
      <w:r>
        <w:rPr>
          <w:color w:val="auto"/>
          <w:kern w:val="0"/>
          <w:sz w:val="22"/>
          <w:szCs w:val="22"/>
          <w:highlight w:val="none"/>
          <w:lang w:val="zh-CN"/>
        </w:rPr>
        <w:t>。</w:t>
      </w:r>
    </w:p>
    <w:p w14:paraId="7F992F6C">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超过公开限额标准的项目，竞争性磋商小组应当由5人以上单数组成。</w:t>
      </w:r>
    </w:p>
    <w:p w14:paraId="16529B53">
      <w:pPr>
        <w:keepNext w:val="0"/>
        <w:keepLines w:val="0"/>
        <w:pageBreakBefore w:val="0"/>
        <w:widowControl w:val="0"/>
        <w:kinsoku/>
        <w:wordWrap/>
        <w:overflowPunct/>
        <w:topLinePunct w:val="0"/>
        <w:bidi w:val="0"/>
        <w:spacing w:line="480" w:lineRule="exact"/>
        <w:ind w:firstLine="442" w:firstLineChars="200"/>
        <w:textAlignment w:val="auto"/>
        <w:rPr>
          <w:b/>
          <w:color w:val="auto"/>
          <w:kern w:val="0"/>
          <w:sz w:val="22"/>
          <w:szCs w:val="22"/>
          <w:highlight w:val="none"/>
          <w:lang w:val="zh-CN"/>
        </w:rPr>
      </w:pPr>
      <w:r>
        <w:rPr>
          <w:b/>
          <w:color w:val="auto"/>
          <w:kern w:val="0"/>
          <w:sz w:val="22"/>
          <w:szCs w:val="22"/>
          <w:highlight w:val="none"/>
          <w:lang w:val="zh-CN"/>
        </w:rPr>
        <w:t>2、竞争性磋商小组的职责：</w:t>
      </w:r>
    </w:p>
    <w:p w14:paraId="0BA1FE3D">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评审专家应当遵守评审工作纪律，不得泄露评审情况和评审中获悉的商业秘密。</w:t>
      </w:r>
    </w:p>
    <w:p w14:paraId="55507A66">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2"/>
          <w:szCs w:val="22"/>
          <w:highlight w:val="none"/>
          <w:lang w:val="zh-CN"/>
        </w:rPr>
        <w:t>有关</w:t>
      </w:r>
      <w:r>
        <w:rPr>
          <w:rFonts w:ascii="Times New Roman" w:hAnsi="Times New Roman" w:eastAsia="宋体"/>
          <w:color w:val="auto"/>
          <w:kern w:val="0"/>
          <w:sz w:val="22"/>
          <w:szCs w:val="22"/>
          <w:highlight w:val="none"/>
          <w:lang w:val="zh-CN"/>
        </w:rPr>
        <w:t>部门报告。</w:t>
      </w:r>
    </w:p>
    <w:p w14:paraId="1B35AB13">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rPr>
      </w:pPr>
      <w:r>
        <w:rPr>
          <w:rFonts w:ascii="Times New Roman" w:hAnsi="Times New Roman" w:eastAsia="宋体"/>
          <w:color w:val="auto"/>
          <w:kern w:val="0"/>
          <w:sz w:val="22"/>
          <w:szCs w:val="22"/>
          <w:highlight w:val="none"/>
          <w:lang w:val="zh-CN"/>
        </w:rPr>
        <w:t>评审专家在评审过程中受到非法干涉的，应当及时向监察等部门举报。</w:t>
      </w:r>
    </w:p>
    <w:p w14:paraId="74F83661">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C2C6422">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磋商文件内容违反国家有关强制性规定的，磋商小组应当停止评审并向采购人或者采购代理机构说明情况。</w:t>
      </w:r>
    </w:p>
    <w:p w14:paraId="340DAF6C">
      <w:pPr>
        <w:pStyle w:val="17"/>
        <w:keepNext w:val="0"/>
        <w:keepLines w:val="0"/>
        <w:pageBreakBefore w:val="0"/>
        <w:widowControl w:val="0"/>
        <w:kinsoku/>
        <w:wordWrap/>
        <w:overflowPunct/>
        <w:topLinePunct w:val="0"/>
        <w:bidi w:val="0"/>
        <w:snapToGrid w:val="0"/>
        <w:spacing w:line="480" w:lineRule="exact"/>
        <w:ind w:firstLine="442" w:firstLineChars="200"/>
        <w:contextualSpacing/>
        <w:textAlignment w:val="auto"/>
        <w:rPr>
          <w:rFonts w:ascii="Times New Roman" w:hAnsi="Times New Roman" w:eastAsia="宋体"/>
          <w:b/>
          <w:color w:val="auto"/>
          <w:kern w:val="0"/>
          <w:sz w:val="22"/>
          <w:szCs w:val="22"/>
          <w:highlight w:val="none"/>
          <w:lang w:val="zh-CN"/>
        </w:rPr>
      </w:pPr>
      <w:r>
        <w:rPr>
          <w:rFonts w:ascii="Times New Roman" w:hAnsi="Times New Roman" w:eastAsia="宋体"/>
          <w:b/>
          <w:color w:val="auto"/>
          <w:kern w:val="0"/>
          <w:sz w:val="22"/>
          <w:szCs w:val="22"/>
          <w:highlight w:val="none"/>
          <w:lang w:val="zh-CN"/>
        </w:rPr>
        <w:t>3、竞争性磋商小组成员的义务：</w:t>
      </w:r>
    </w:p>
    <w:p w14:paraId="67AB65A7">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2"/>
          <w:szCs w:val="22"/>
          <w:highlight w:val="none"/>
          <w:lang w:val="zh-CN"/>
        </w:rPr>
        <w:t>完成</w:t>
      </w:r>
      <w:r>
        <w:rPr>
          <w:rFonts w:ascii="Times New Roman" w:hAnsi="Times New Roman" w:eastAsia="宋体"/>
          <w:color w:val="auto"/>
          <w:kern w:val="0"/>
          <w:sz w:val="22"/>
          <w:szCs w:val="22"/>
          <w:highlight w:val="none"/>
          <w:lang w:val="zh-CN"/>
        </w:rPr>
        <w:t>评审报告；配合采购人、</w:t>
      </w:r>
      <w:r>
        <w:rPr>
          <w:rFonts w:hint="eastAsia" w:ascii="Times New Roman" w:hAnsi="Times New Roman" w:eastAsia="宋体"/>
          <w:color w:val="auto"/>
          <w:kern w:val="0"/>
          <w:sz w:val="22"/>
          <w:szCs w:val="22"/>
          <w:highlight w:val="none"/>
          <w:lang w:val="zh-CN"/>
        </w:rPr>
        <w:t>采购代理机构</w:t>
      </w:r>
      <w:r>
        <w:rPr>
          <w:rFonts w:ascii="Times New Roman" w:hAnsi="Times New Roman" w:eastAsia="宋体"/>
          <w:color w:val="auto"/>
          <w:kern w:val="0"/>
          <w:sz w:val="22"/>
          <w:szCs w:val="22"/>
          <w:highlight w:val="none"/>
          <w:lang w:val="zh-CN"/>
        </w:rPr>
        <w:t>答复供应商提出的质疑；配合</w:t>
      </w:r>
      <w:r>
        <w:rPr>
          <w:rFonts w:hint="eastAsia" w:ascii="Times New Roman" w:hAnsi="Times New Roman" w:eastAsia="宋体"/>
          <w:color w:val="auto"/>
          <w:kern w:val="0"/>
          <w:sz w:val="22"/>
          <w:szCs w:val="22"/>
          <w:highlight w:val="none"/>
          <w:lang w:val="zh-CN"/>
        </w:rPr>
        <w:t>有</w:t>
      </w:r>
      <w:r>
        <w:rPr>
          <w:rFonts w:ascii="Times New Roman" w:hAnsi="Times New Roman" w:eastAsia="宋体"/>
          <w:color w:val="auto"/>
          <w:kern w:val="0"/>
          <w:sz w:val="22"/>
          <w:szCs w:val="22"/>
          <w:highlight w:val="none"/>
          <w:lang w:val="zh-CN"/>
        </w:rPr>
        <w:t>关部门的投诉处理和监督检查工作。</w:t>
      </w:r>
    </w:p>
    <w:p w14:paraId="749D73B0">
      <w:pPr>
        <w:pStyle w:val="17"/>
        <w:keepNext w:val="0"/>
        <w:keepLines w:val="0"/>
        <w:pageBreakBefore w:val="0"/>
        <w:widowControl w:val="0"/>
        <w:kinsoku/>
        <w:wordWrap/>
        <w:overflowPunct/>
        <w:topLinePunct w:val="0"/>
        <w:bidi w:val="0"/>
        <w:snapToGrid w:val="0"/>
        <w:spacing w:line="480" w:lineRule="exact"/>
        <w:ind w:firstLine="482" w:firstLineChars="200"/>
        <w:contextualSpacing/>
        <w:textAlignment w:val="auto"/>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14:paraId="15D7EBDE">
      <w:pPr>
        <w:keepNext w:val="0"/>
        <w:keepLines w:val="0"/>
        <w:pageBreakBefore w:val="0"/>
        <w:widowControl w:val="0"/>
        <w:tabs>
          <w:tab w:val="left" w:pos="3585"/>
        </w:tabs>
        <w:kinsoku/>
        <w:wordWrap/>
        <w:overflowPunct/>
        <w:topLinePunct w:val="0"/>
        <w:bidi w:val="0"/>
        <w:snapToGrid w:val="0"/>
        <w:spacing w:line="480" w:lineRule="exact"/>
        <w:ind w:firstLine="422" w:firstLineChars="192"/>
        <w:textAlignment w:val="auto"/>
        <w:rPr>
          <w:color w:val="auto"/>
          <w:kern w:val="0"/>
          <w:sz w:val="22"/>
          <w:szCs w:val="22"/>
          <w:highlight w:val="none"/>
          <w:lang w:val="zh-CN"/>
        </w:rPr>
      </w:pPr>
      <w:r>
        <w:rPr>
          <w:color w:val="auto"/>
          <w:kern w:val="0"/>
          <w:sz w:val="22"/>
          <w:szCs w:val="22"/>
          <w:highlight w:val="none"/>
          <w:lang w:val="zh-CN"/>
        </w:rPr>
        <w:t>响应供应商在采购文件指定地点参加磋商会。</w:t>
      </w:r>
    </w:p>
    <w:p w14:paraId="674976B3">
      <w:pPr>
        <w:keepNext w:val="0"/>
        <w:keepLines w:val="0"/>
        <w:pageBreakBefore w:val="0"/>
        <w:widowControl w:val="0"/>
        <w:kinsoku/>
        <w:wordWrap/>
        <w:overflowPunct/>
        <w:topLinePunct w:val="0"/>
        <w:autoSpaceDE w:val="0"/>
        <w:autoSpaceDN w:val="0"/>
        <w:bidi w:val="0"/>
        <w:adjustRightInd w:val="0"/>
        <w:snapToGrid w:val="0"/>
        <w:spacing w:line="480" w:lineRule="exact"/>
        <w:ind w:right="210" w:firstLine="482" w:firstLineChars="200"/>
        <w:textAlignment w:val="auto"/>
        <w:rPr>
          <w:b/>
          <w:color w:val="auto"/>
          <w:sz w:val="24"/>
          <w:szCs w:val="24"/>
          <w:highlight w:val="none"/>
        </w:rPr>
      </w:pPr>
      <w:r>
        <w:rPr>
          <w:b/>
          <w:color w:val="auto"/>
          <w:sz w:val="24"/>
          <w:szCs w:val="24"/>
          <w:highlight w:val="none"/>
        </w:rPr>
        <w:t>三、评审程序、内容</w:t>
      </w:r>
    </w:p>
    <w:p w14:paraId="09FD5A1D">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21C22811">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747A1A">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磋商小组要求供应商澄清、说明或者更正响应文件应当以书面形式作出。供应商的澄清、说明或者更正应当由法定代表人或其授权代表签字或者加盖</w:t>
      </w:r>
      <w:r>
        <w:rPr>
          <w:rFonts w:hint="eastAsia" w:ascii="宋体" w:eastAsia="宋体" w:cs="宋体"/>
          <w:b w:val="0"/>
          <w:bCs/>
          <w:color w:val="auto"/>
          <w:sz w:val="22"/>
          <w:szCs w:val="21"/>
          <w:highlight w:val="none"/>
          <w:lang w:val="en-US" w:eastAsia="zh-CN"/>
        </w:rPr>
        <w:t>供应商</w:t>
      </w:r>
      <w:r>
        <w:rPr>
          <w:rFonts w:ascii="Times New Roman" w:hAnsi="Times New Roman" w:eastAsia="宋体"/>
          <w:color w:val="auto"/>
          <w:kern w:val="0"/>
          <w:sz w:val="22"/>
          <w:szCs w:val="22"/>
          <w:highlight w:val="none"/>
          <w:lang w:val="zh-CN"/>
        </w:rPr>
        <w:t>公章。由授权代表签字的，应当附法定代表人授权书。供应商为自然人的，应当由本人签字并附身份证明。</w:t>
      </w:r>
    </w:p>
    <w:p w14:paraId="40DBC5A7">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2、磋商小组所有成员应当集中与单一供应商分别进行磋商，并给予所有参加磋商的供应商平等的磋商机会。</w:t>
      </w:r>
    </w:p>
    <w:p w14:paraId="4676DD70">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3346A439">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对磋商文件作出的实质性变动是磋商文件的有效组成部分，磋商小组应当及时以书面形式同时通知所有参加磋商的供应商。</w:t>
      </w:r>
    </w:p>
    <w:p w14:paraId="7450DAA2">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2"/>
          <w:szCs w:val="22"/>
          <w:highlight w:val="none"/>
          <w:lang w:val="zh-CN"/>
        </w:rPr>
        <w:t>其</w:t>
      </w:r>
      <w:r>
        <w:rPr>
          <w:rFonts w:ascii="Times New Roman" w:hAnsi="Times New Roman" w:eastAsia="宋体"/>
          <w:color w:val="auto"/>
          <w:kern w:val="0"/>
          <w:sz w:val="22"/>
          <w:szCs w:val="22"/>
          <w:highlight w:val="none"/>
          <w:lang w:val="zh-CN"/>
        </w:rPr>
        <w:t>授权代表签字或者加盖</w:t>
      </w:r>
      <w:r>
        <w:rPr>
          <w:rFonts w:hint="eastAsia" w:ascii="宋体" w:eastAsia="宋体" w:cs="宋体"/>
          <w:b w:val="0"/>
          <w:bCs/>
          <w:color w:val="auto"/>
          <w:sz w:val="22"/>
          <w:szCs w:val="21"/>
          <w:highlight w:val="none"/>
          <w:lang w:val="en-US" w:eastAsia="zh-CN"/>
        </w:rPr>
        <w:t>供应商</w:t>
      </w:r>
      <w:r>
        <w:rPr>
          <w:rFonts w:ascii="Times New Roman" w:hAnsi="Times New Roman" w:eastAsia="宋体"/>
          <w:color w:val="auto"/>
          <w:kern w:val="0"/>
          <w:sz w:val="22"/>
          <w:szCs w:val="22"/>
          <w:highlight w:val="none"/>
          <w:lang w:val="zh-CN"/>
        </w:rPr>
        <w:t>公章。由授权代表签字的，应当附法定代表人授权书。供应商为自然人的，应当由本人签字并附身份证明。</w:t>
      </w:r>
    </w:p>
    <w:p w14:paraId="5F8925ED">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07D2ABE0">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95075AE">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市场竞争不充分的科研项目，以及需要扶持的科技成果转化项目，提交最后报价的供应商可以是2家。</w:t>
      </w:r>
    </w:p>
    <w:p w14:paraId="208F4E66">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5、最后报价是供应商响应文件的有效组成部分。</w:t>
      </w:r>
    </w:p>
    <w:p w14:paraId="0C4E6576">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6、已提交响应文件的供应商，在提交最后报价之前，可以根据磋商情况退出磋商。</w:t>
      </w:r>
    </w:p>
    <w:p w14:paraId="488F45C6">
      <w:pPr>
        <w:pStyle w:val="17"/>
        <w:keepNext w:val="0"/>
        <w:keepLines w:val="0"/>
        <w:pageBreakBefore w:val="0"/>
        <w:widowControl w:val="0"/>
        <w:kinsoku/>
        <w:wordWrap/>
        <w:overflowPunct/>
        <w:topLinePunct w:val="0"/>
        <w:bidi w:val="0"/>
        <w:snapToGrid w:val="0"/>
        <w:spacing w:line="480" w:lineRule="exact"/>
        <w:ind w:firstLine="440" w:firstLineChars="200"/>
        <w:contextualSpacing/>
        <w:textAlignment w:val="auto"/>
        <w:rPr>
          <w:rFonts w:ascii="Times New Roman" w:hAnsi="Times New Roman" w:eastAsia="宋体"/>
          <w:color w:val="auto"/>
          <w:kern w:val="0"/>
          <w:sz w:val="22"/>
          <w:szCs w:val="22"/>
          <w:highlight w:val="none"/>
          <w:lang w:val="zh-CN"/>
        </w:rPr>
      </w:pPr>
      <w:r>
        <w:rPr>
          <w:rFonts w:ascii="Times New Roman" w:hAnsi="Times New Roman" w:eastAsia="宋体"/>
          <w:color w:val="auto"/>
          <w:kern w:val="0"/>
          <w:sz w:val="22"/>
          <w:szCs w:val="22"/>
          <w:highlight w:val="none"/>
          <w:lang w:val="zh-CN"/>
        </w:rPr>
        <w:t>磋商时间由磋商小组掌握。</w:t>
      </w:r>
    </w:p>
    <w:p w14:paraId="2301AF2F">
      <w:pPr>
        <w:pStyle w:val="17"/>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四、评审方法-综合评分法</w:t>
      </w:r>
    </w:p>
    <w:p w14:paraId="740DDA54">
      <w:pPr>
        <w:pStyle w:val="17"/>
        <w:snapToGrid w:val="0"/>
        <w:spacing w:line="480" w:lineRule="exact"/>
        <w:ind w:firstLine="494"/>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经磋商确定最终采购需求和提交最后报价的供应商后，由磋商小组采用综合评分法对提交最后报价的供应商的响应文件和最后报价进行综合评分。</w:t>
      </w:r>
    </w:p>
    <w:p w14:paraId="06E9F823">
      <w:pPr>
        <w:pStyle w:val="17"/>
        <w:snapToGrid w:val="0"/>
        <w:spacing w:line="480" w:lineRule="exact"/>
        <w:ind w:firstLine="494"/>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综合评分法，是指响应文件满足磋商文件全部实质性要求且按评审因素的量化指标评审得分最高的供应商为成交候选供应商的评审方法。</w:t>
      </w:r>
    </w:p>
    <w:p w14:paraId="162B0A7D">
      <w:pPr>
        <w:pStyle w:val="17"/>
        <w:snapToGrid w:val="0"/>
        <w:spacing w:line="480" w:lineRule="exact"/>
        <w:ind w:firstLine="494"/>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评审时，磋商小组各成员应当独立对每个有效响应的文件进行评价、打分，然后汇总每个供应商每项评分因素的得分。</w:t>
      </w:r>
    </w:p>
    <w:p w14:paraId="27E9A5D4">
      <w:pPr>
        <w:snapToGrid w:val="0"/>
        <w:spacing w:line="48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（一）审查响应文件的有效性、完整性、响应程度</w:t>
      </w:r>
    </w:p>
    <w:p w14:paraId="00281C58">
      <w:pPr>
        <w:snapToGrid w:val="0"/>
        <w:spacing w:line="48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1、供应商资格是否符合</w:t>
      </w:r>
      <w:r>
        <w:rPr>
          <w:rFonts w:hint="eastAsia" w:ascii="宋体" w:hAnsi="宋体" w:eastAsia="宋体" w:cs="宋体"/>
          <w:b/>
          <w:color w:val="auto"/>
          <w:sz w:val="22"/>
          <w:szCs w:val="22"/>
          <w:highlight w:val="none"/>
          <w:lang w:eastAsia="zh-CN"/>
        </w:rPr>
        <w:t>；</w:t>
      </w:r>
    </w:p>
    <w:p w14:paraId="2830C933">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2、响应文件是否完整；</w:t>
      </w:r>
    </w:p>
    <w:p w14:paraId="59EF3100">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3、响应文件是否恰当地签署；</w:t>
      </w:r>
    </w:p>
    <w:p w14:paraId="53B8CC96">
      <w:pPr>
        <w:snapToGrid w:val="0"/>
        <w:spacing w:line="480" w:lineRule="exact"/>
        <w:ind w:firstLine="54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4、是否作出实质性响应（</w:t>
      </w:r>
      <w:r>
        <w:rPr>
          <w:rFonts w:hint="eastAsia" w:ascii="宋体" w:hAnsi="宋体" w:eastAsia="宋体" w:cs="宋体"/>
          <w:b/>
          <w:color w:val="auto"/>
          <w:sz w:val="22"/>
          <w:szCs w:val="22"/>
          <w:highlight w:val="none"/>
        </w:rPr>
        <w:t>是否有实质性响应，只根据响应文件本身，而不寻求外部证据）；</w:t>
      </w:r>
    </w:p>
    <w:p w14:paraId="3E6EECC7">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5、是否有计算错误。</w:t>
      </w:r>
    </w:p>
    <w:p w14:paraId="08B53257">
      <w:pPr>
        <w:snapToGrid w:val="0"/>
        <w:spacing w:line="48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（二）误差纠正</w:t>
      </w:r>
    </w:p>
    <w:p w14:paraId="589C5D13">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1、响应文件中报价表内容与响应文件中相应内容不一致的，以报价表为准；</w:t>
      </w:r>
    </w:p>
    <w:p w14:paraId="39FD9D71">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53DF5270">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3、单价金额小数点或者百分比有明显错位的，以总价为准，并修改单价；</w:t>
      </w:r>
    </w:p>
    <w:p w14:paraId="2E8568D8">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1546C269">
      <w:pPr>
        <w:snapToGrid w:val="0"/>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同时出现两种以上不一致的，按照前款规定的顺序修正。修正后的报价经供应商确认后产生约束力，供应商不确认的，其响应无效。</w:t>
      </w:r>
    </w:p>
    <w:p w14:paraId="0865EF2A">
      <w:pPr>
        <w:tabs>
          <w:tab w:val="left" w:pos="6555"/>
          <w:tab w:val="right" w:pos="8306"/>
        </w:tabs>
        <w:snapToGrid w:val="0"/>
        <w:spacing w:line="48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（三）出现下列情形之一的，作无效响应处理</w:t>
      </w:r>
      <w:r>
        <w:rPr>
          <w:rFonts w:hint="eastAsia" w:ascii="宋体" w:hAnsi="宋体" w:eastAsia="宋体" w:cs="宋体"/>
          <w:b/>
          <w:color w:val="auto"/>
          <w:sz w:val="22"/>
          <w:szCs w:val="22"/>
          <w:highlight w:val="none"/>
          <w:lang w:eastAsia="zh-CN"/>
        </w:rPr>
        <w:t>；</w:t>
      </w:r>
    </w:p>
    <w:p w14:paraId="2697465E">
      <w:pPr>
        <w:snapToGrid w:val="0"/>
        <w:spacing w:line="480" w:lineRule="exact"/>
        <w:ind w:firstLine="5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1、未按照磋商文件规定要求密封、签署、盖章及主要资料不齐全的；</w:t>
      </w:r>
    </w:p>
    <w:p w14:paraId="18AA31CA">
      <w:pPr>
        <w:snapToGrid w:val="0"/>
        <w:spacing w:line="480" w:lineRule="exact"/>
        <w:ind w:firstLine="5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2、不具备磋商文件中规定的资格要求的；</w:t>
      </w:r>
    </w:p>
    <w:p w14:paraId="3E941E84">
      <w:pPr>
        <w:snapToGrid w:val="0"/>
        <w:spacing w:line="480" w:lineRule="exact"/>
        <w:ind w:firstLine="5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3、响应报价超出预算的；</w:t>
      </w:r>
    </w:p>
    <w:p w14:paraId="3200CED1">
      <w:pPr>
        <w:snapToGrid w:val="0"/>
        <w:spacing w:line="480" w:lineRule="exact"/>
        <w:ind w:firstLine="5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4、响应文件含有采购人不能接受的附加条件的；</w:t>
      </w:r>
    </w:p>
    <w:p w14:paraId="3626488F">
      <w:pPr>
        <w:snapToGrid w:val="0"/>
        <w:spacing w:line="480" w:lineRule="exact"/>
        <w:ind w:firstLine="57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5、不符合</w:t>
      </w:r>
      <w:r>
        <w:rPr>
          <w:rFonts w:hint="eastAsia" w:ascii="宋体" w:hAnsi="宋体" w:eastAsia="宋体" w:cs="宋体"/>
          <w:b/>
          <w:bCs/>
          <w:color w:val="auto"/>
          <w:sz w:val="22"/>
          <w:szCs w:val="22"/>
          <w:highlight w:val="none"/>
          <w:lang w:eastAsia="zh-CN"/>
        </w:rPr>
        <w:t>法律法规</w:t>
      </w:r>
      <w:r>
        <w:rPr>
          <w:rFonts w:hint="eastAsia" w:ascii="宋体" w:hAnsi="宋体" w:eastAsia="宋体" w:cs="宋体"/>
          <w:b/>
          <w:bCs/>
          <w:color w:val="auto"/>
          <w:sz w:val="22"/>
          <w:szCs w:val="22"/>
          <w:highlight w:val="none"/>
        </w:rPr>
        <w:t>和磋商文件中规定的其他实质性要求的</w:t>
      </w:r>
      <w:r>
        <w:rPr>
          <w:rFonts w:hint="eastAsia" w:ascii="宋体" w:hAnsi="宋体" w:eastAsia="宋体" w:cs="宋体"/>
          <w:b/>
          <w:bCs/>
          <w:color w:val="auto"/>
          <w:sz w:val="22"/>
          <w:szCs w:val="22"/>
          <w:highlight w:val="none"/>
          <w:lang w:eastAsia="zh-CN"/>
        </w:rPr>
        <w:t>；</w:t>
      </w:r>
    </w:p>
    <w:p w14:paraId="241C5088">
      <w:pPr>
        <w:snapToGrid w:val="0"/>
        <w:spacing w:line="480" w:lineRule="exact"/>
        <w:ind w:firstLine="5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、同一供应商的不同</w:t>
      </w:r>
      <w:r>
        <w:rPr>
          <w:rFonts w:hint="eastAsia" w:ascii="宋体" w:hAnsi="宋体" w:eastAsia="宋体" w:cs="宋体"/>
          <w:b/>
          <w:bCs/>
          <w:color w:val="auto"/>
          <w:sz w:val="22"/>
          <w:szCs w:val="22"/>
          <w:highlight w:val="none"/>
          <w:lang w:val="en-US" w:eastAsia="zh-CN"/>
        </w:rPr>
        <w:t>响应</w:t>
      </w:r>
      <w:r>
        <w:rPr>
          <w:rFonts w:hint="eastAsia" w:ascii="宋体" w:hAnsi="宋体" w:eastAsia="宋体" w:cs="宋体"/>
          <w:b/>
          <w:bCs/>
          <w:color w:val="auto"/>
          <w:sz w:val="22"/>
          <w:szCs w:val="22"/>
          <w:highlight w:val="none"/>
        </w:rPr>
        <w:t>文件（资格审查文件、商务技术文件、报价文件）相互混装的。</w:t>
      </w:r>
    </w:p>
    <w:p w14:paraId="4D7F581A">
      <w:pPr>
        <w:snapToGrid w:val="0"/>
        <w:spacing w:line="480" w:lineRule="exact"/>
        <w:ind w:firstLine="57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7、响应报价超过采购文件中规定的预算金额或者最高限价的；</w:t>
      </w:r>
    </w:p>
    <w:p w14:paraId="74CFAEA9">
      <w:pPr>
        <w:snapToGrid w:val="0"/>
        <w:spacing w:line="480" w:lineRule="exact"/>
        <w:ind w:firstLine="570"/>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8</w:t>
      </w:r>
      <w:r>
        <w:rPr>
          <w:rFonts w:hint="eastAsia" w:ascii="宋体" w:hAnsi="宋体" w:eastAsia="宋体" w:cs="宋体"/>
          <w:b/>
          <w:bCs/>
          <w:color w:val="auto"/>
          <w:sz w:val="22"/>
          <w:szCs w:val="22"/>
          <w:highlight w:val="none"/>
          <w:lang w:val="en-US" w:eastAsia="zh-CN"/>
        </w:rPr>
        <w:t>、最</w:t>
      </w:r>
      <w:r>
        <w:rPr>
          <w:rFonts w:hint="eastAsia" w:ascii="宋体" w:hAnsi="宋体" w:cs="宋体"/>
          <w:b/>
          <w:bCs/>
          <w:color w:val="auto"/>
          <w:sz w:val="22"/>
          <w:szCs w:val="22"/>
          <w:highlight w:val="none"/>
          <w:lang w:val="en-US" w:eastAsia="zh-CN"/>
        </w:rPr>
        <w:t>后</w:t>
      </w:r>
      <w:r>
        <w:rPr>
          <w:rFonts w:hint="eastAsia" w:ascii="宋体" w:hAnsi="宋体" w:eastAsia="宋体" w:cs="宋体"/>
          <w:b/>
          <w:bCs/>
          <w:color w:val="auto"/>
          <w:sz w:val="22"/>
          <w:szCs w:val="22"/>
          <w:highlight w:val="none"/>
          <w:lang w:val="en-US" w:eastAsia="zh-CN"/>
        </w:rPr>
        <w:t>报价高于自身单位首次报价的。</w:t>
      </w:r>
    </w:p>
    <w:p w14:paraId="435EA264">
      <w:pPr>
        <w:snapToGrid w:val="0"/>
        <w:spacing w:line="480" w:lineRule="exact"/>
        <w:ind w:firstLine="57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（四）出现下列情形之一的，作磋商失败处理；</w:t>
      </w:r>
    </w:p>
    <w:p w14:paraId="68124603">
      <w:pPr>
        <w:snapToGrid w:val="0"/>
        <w:spacing w:line="48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1、符合条件的供应商或者对磋商文件作实质响应的供应商不足3家的（市场竞争不充分的科研项目，以及需要扶持的科技成果转化项目可以是2家）；</w:t>
      </w:r>
    </w:p>
    <w:p w14:paraId="5EC3080A">
      <w:pPr>
        <w:snapToGrid w:val="0"/>
        <w:spacing w:line="480" w:lineRule="exact"/>
        <w:ind w:firstLine="5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14:paraId="2AA2500B">
      <w:pPr>
        <w:snapToGrid w:val="0"/>
        <w:spacing w:line="480" w:lineRule="exact"/>
        <w:ind w:firstLine="5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3、供应商的最后报价均超过了采购预算，采购人不能支付的；</w:t>
      </w:r>
    </w:p>
    <w:p w14:paraId="630AC65E">
      <w:pPr>
        <w:snapToGrid w:val="0"/>
        <w:spacing w:line="480" w:lineRule="exact"/>
        <w:ind w:firstLine="5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7E3597E7">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有关部门。</w:t>
      </w:r>
    </w:p>
    <w:p w14:paraId="7F8231C2">
      <w:pPr>
        <w:pStyle w:val="17"/>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五、评审标准</w:t>
      </w:r>
    </w:p>
    <w:p w14:paraId="53D3C44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商务技术部分评审结束后，再开启最后报价计算分值。总分值为100分，加分和减分因素除外。两部分评审因素比重如下（计算结果均四舍五入保留两位小数）：</w:t>
      </w:r>
    </w:p>
    <w:p w14:paraId="74BF6CDB">
      <w:pPr>
        <w:keepNext w:val="0"/>
        <w:keepLines w:val="0"/>
        <w:pageBreakBefore w:val="0"/>
        <w:widowControl w:val="0"/>
        <w:kinsoku/>
        <w:wordWrap/>
        <w:overflowPunct/>
        <w:topLinePunct w:val="0"/>
        <w:autoSpaceDE/>
        <w:autoSpaceDN/>
        <w:bidi w:val="0"/>
        <w:adjustRightInd/>
        <w:snapToGrid/>
        <w:spacing w:line="480" w:lineRule="exact"/>
        <w:ind w:firstLine="444" w:firstLineChars="202"/>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商务技术</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分值占总分值的比重为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70</w:t>
      </w:r>
      <w:r>
        <w:rPr>
          <w:rFonts w:hint="eastAsia" w:ascii="宋体" w:hAnsi="宋体" w:eastAsia="宋体" w:cs="宋体"/>
          <w:color w:val="auto"/>
          <w:sz w:val="22"/>
          <w:szCs w:val="22"/>
          <w:highlight w:val="none"/>
          <w:u w:val="single"/>
        </w:rPr>
        <w:t>%（权重）</w:t>
      </w:r>
      <w:r>
        <w:rPr>
          <w:rFonts w:hint="eastAsia" w:ascii="宋体" w:hAnsi="宋体" w:eastAsia="宋体" w:cs="宋体"/>
          <w:color w:val="auto"/>
          <w:sz w:val="22"/>
          <w:szCs w:val="22"/>
          <w:highlight w:val="none"/>
        </w:rPr>
        <w:t>；</w:t>
      </w:r>
    </w:p>
    <w:p w14:paraId="61C3A21F">
      <w:pPr>
        <w:keepNext w:val="0"/>
        <w:keepLines w:val="0"/>
        <w:pageBreakBefore w:val="0"/>
        <w:widowControl w:val="0"/>
        <w:kinsoku/>
        <w:wordWrap/>
        <w:overflowPunct/>
        <w:topLinePunct w:val="0"/>
        <w:autoSpaceDE/>
        <w:autoSpaceDN/>
        <w:bidi w:val="0"/>
        <w:adjustRightInd/>
        <w:snapToGrid/>
        <w:spacing w:line="480" w:lineRule="exact"/>
        <w:ind w:firstLine="444" w:firstLineChars="20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报价分</w:t>
      </w:r>
      <w:r>
        <w:rPr>
          <w:rFonts w:hint="eastAsia" w:ascii="宋体" w:hAnsi="宋体" w:eastAsia="宋体" w:cs="宋体"/>
          <w:color w:val="auto"/>
          <w:sz w:val="22"/>
          <w:szCs w:val="22"/>
          <w:highlight w:val="none"/>
        </w:rPr>
        <w:t>分值占总分值的比重为</w:t>
      </w:r>
      <w:r>
        <w:rPr>
          <w:rFonts w:hint="eastAsia" w:ascii="宋体" w:hAnsi="宋体" w:eastAsia="宋体" w:cs="宋体"/>
          <w:color w:val="auto"/>
          <w:sz w:val="22"/>
          <w:szCs w:val="22"/>
          <w:highlight w:val="none"/>
          <w:u w:val="single"/>
          <w:lang w:val="en-US" w:eastAsia="zh-CN"/>
        </w:rPr>
        <w:t>30</w:t>
      </w:r>
      <w:r>
        <w:rPr>
          <w:rFonts w:hint="eastAsia" w:ascii="宋体" w:hAnsi="宋体" w:eastAsia="宋体" w:cs="宋体"/>
          <w:color w:val="auto"/>
          <w:sz w:val="22"/>
          <w:szCs w:val="22"/>
          <w:highlight w:val="none"/>
          <w:u w:val="single"/>
        </w:rPr>
        <w:t>%（权重）</w:t>
      </w:r>
      <w:r>
        <w:rPr>
          <w:rFonts w:hint="eastAsia" w:ascii="宋体" w:hAnsi="宋体" w:eastAsia="宋体" w:cs="宋体"/>
          <w:color w:val="auto"/>
          <w:sz w:val="22"/>
          <w:szCs w:val="22"/>
          <w:highlight w:val="none"/>
        </w:rPr>
        <w:t>。</w:t>
      </w:r>
    </w:p>
    <w:p w14:paraId="6AEB0C85">
      <w:pPr>
        <w:snapToGrid w:val="0"/>
        <w:spacing w:line="480" w:lineRule="exact"/>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b/>
          <w:color w:val="auto"/>
          <w:sz w:val="22"/>
          <w:szCs w:val="22"/>
          <w:highlight w:val="none"/>
          <w:lang w:val="zh-CN"/>
        </w:rPr>
        <w:t>商务技术分</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val="en-US" w:eastAsia="zh-CN"/>
        </w:rPr>
        <w:t>70</w:t>
      </w:r>
      <w:r>
        <w:rPr>
          <w:rFonts w:hint="eastAsia" w:ascii="宋体" w:hAnsi="宋体" w:eastAsia="宋体" w:cs="宋体"/>
          <w:color w:val="auto"/>
          <w:sz w:val="22"/>
          <w:szCs w:val="22"/>
          <w:highlight w:val="none"/>
          <w:u w:val="single"/>
          <w:lang w:val="zh-CN"/>
        </w:rPr>
        <w:t>分</w:t>
      </w:r>
    </w:p>
    <w:p w14:paraId="110C94CF">
      <w:pPr>
        <w:autoSpaceDE w:val="0"/>
        <w:autoSpaceDN w:val="0"/>
        <w:adjustRightInd w:val="0"/>
        <w:snapToGrid w:val="0"/>
        <w:spacing w:line="480" w:lineRule="exact"/>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供应商得分为磋商小组成员评分的算术平均分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分值第三位四舍五入后保留小数点两位。</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778"/>
        <w:gridCol w:w="1186"/>
        <w:gridCol w:w="6495"/>
      </w:tblGrid>
      <w:tr w14:paraId="4FD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70" w:type="pct"/>
            <w:noWrap w:val="0"/>
            <w:vAlign w:val="center"/>
          </w:tcPr>
          <w:p w14:paraId="15266B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序号 </w:t>
            </w:r>
          </w:p>
        </w:tc>
        <w:tc>
          <w:tcPr>
            <w:tcW w:w="435" w:type="pct"/>
            <w:noWrap w:val="0"/>
            <w:vAlign w:val="center"/>
          </w:tcPr>
          <w:p w14:paraId="64251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评审因素</w:t>
            </w:r>
          </w:p>
        </w:tc>
        <w:tc>
          <w:tcPr>
            <w:tcW w:w="663" w:type="pct"/>
            <w:noWrap w:val="0"/>
            <w:vAlign w:val="center"/>
          </w:tcPr>
          <w:p w14:paraId="3D904B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评审项目</w:t>
            </w:r>
          </w:p>
        </w:tc>
        <w:tc>
          <w:tcPr>
            <w:tcW w:w="3631" w:type="pct"/>
            <w:noWrap w:val="0"/>
            <w:vAlign w:val="center"/>
          </w:tcPr>
          <w:p w14:paraId="46773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14:paraId="350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70" w:type="pct"/>
            <w:noWrap w:val="0"/>
            <w:vAlign w:val="center"/>
          </w:tcPr>
          <w:p w14:paraId="67A3AA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35" w:type="pct"/>
            <w:vMerge w:val="restart"/>
            <w:noWrap w:val="0"/>
            <w:vAlign w:val="center"/>
          </w:tcPr>
          <w:p w14:paraId="5DF886B0">
            <w:pPr>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商务部分</w:t>
            </w:r>
          </w:p>
        </w:tc>
        <w:tc>
          <w:tcPr>
            <w:tcW w:w="663" w:type="pct"/>
            <w:noWrap w:val="0"/>
            <w:vAlign w:val="center"/>
          </w:tcPr>
          <w:p w14:paraId="255BFB76">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cs="宋体"/>
                <w:b w:val="0"/>
                <w:bCs w:val="0"/>
                <w:color w:val="auto"/>
                <w:spacing w:val="6"/>
                <w:kern w:val="0"/>
                <w:sz w:val="21"/>
                <w:szCs w:val="21"/>
                <w:highlight w:val="none"/>
                <w:lang w:val="en-US" w:eastAsia="zh-CN"/>
              </w:rPr>
            </w:pPr>
            <w:r>
              <w:rPr>
                <w:rFonts w:hint="eastAsia" w:ascii="宋体" w:hAnsi="宋体" w:cs="宋体"/>
                <w:b w:val="0"/>
                <w:bCs w:val="0"/>
                <w:color w:val="auto"/>
                <w:spacing w:val="6"/>
                <w:kern w:val="0"/>
                <w:sz w:val="21"/>
                <w:szCs w:val="21"/>
                <w:highlight w:val="none"/>
                <w:lang w:val="en-US" w:eastAsia="zh-CN"/>
              </w:rPr>
              <w:t>企业资质</w:t>
            </w:r>
          </w:p>
          <w:p w14:paraId="7017C2D8">
            <w:pPr>
              <w:pStyle w:val="3"/>
              <w:pageBreakBefore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color w:val="auto"/>
                <w:spacing w:val="6"/>
                <w:kern w:val="0"/>
                <w:sz w:val="21"/>
                <w:szCs w:val="21"/>
                <w:highlight w:val="none"/>
                <w:lang w:val="en-US" w:eastAsia="zh-CN"/>
              </w:rPr>
            </w:pPr>
            <w:r>
              <w:rPr>
                <w:rFonts w:hint="eastAsia" w:ascii="宋体" w:hAnsi="宋体" w:cs="宋体"/>
                <w:b w:val="0"/>
                <w:bCs w:val="0"/>
                <w:color w:val="auto"/>
                <w:spacing w:val="6"/>
                <w:kern w:val="0"/>
                <w:sz w:val="21"/>
                <w:szCs w:val="21"/>
                <w:highlight w:val="none"/>
                <w:lang w:val="en-US" w:eastAsia="zh-CN"/>
              </w:rPr>
              <w:t>（4分）</w:t>
            </w:r>
          </w:p>
        </w:tc>
        <w:tc>
          <w:tcPr>
            <w:tcW w:w="3631" w:type="pct"/>
            <w:noWrap w:val="0"/>
            <w:vAlign w:val="center"/>
          </w:tcPr>
          <w:p w14:paraId="21E3F60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具有</w:t>
            </w:r>
            <w:r>
              <w:rPr>
                <w:rFonts w:hint="eastAsia" w:ascii="宋体" w:hAnsi="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rPr>
              <w:t>ISO20000信息技术服务管理体系认证证书、ISO27001信息安全管理体系认证证书、信息系统建设和服务能力</w:t>
            </w:r>
            <w:r>
              <w:rPr>
                <w:rFonts w:hint="eastAsia" w:ascii="宋体" w:hAnsi="宋体" w:cs="宋体"/>
                <w:color w:val="auto"/>
                <w:kern w:val="0"/>
                <w:sz w:val="21"/>
                <w:szCs w:val="21"/>
                <w:highlight w:val="none"/>
                <w:lang w:val="en-US" w:eastAsia="zh-CN"/>
              </w:rPr>
              <w:t>等级</w:t>
            </w:r>
            <w:r>
              <w:rPr>
                <w:rFonts w:hint="eastAsia" w:ascii="宋体" w:hAnsi="宋体" w:eastAsia="宋体" w:cs="宋体"/>
                <w:color w:val="auto"/>
                <w:kern w:val="0"/>
                <w:sz w:val="21"/>
                <w:szCs w:val="21"/>
                <w:highlight w:val="none"/>
              </w:rPr>
              <w:t>证书（</w:t>
            </w:r>
            <w:r>
              <w:rPr>
                <w:rFonts w:hint="eastAsia" w:ascii="宋体" w:hAnsi="宋体" w:cs="宋体"/>
                <w:color w:val="auto"/>
                <w:kern w:val="0"/>
                <w:sz w:val="21"/>
                <w:szCs w:val="21"/>
                <w:highlight w:val="none"/>
                <w:lang w:val="en-US" w:eastAsia="zh-CN"/>
              </w:rPr>
              <w:t>能力达到</w:t>
            </w:r>
            <w:r>
              <w:rPr>
                <w:rFonts w:hint="eastAsia" w:ascii="宋体" w:hAnsi="宋体" w:eastAsia="宋体" w:cs="宋体"/>
                <w:color w:val="auto"/>
                <w:kern w:val="0"/>
                <w:sz w:val="21"/>
                <w:szCs w:val="21"/>
                <w:highlight w:val="none"/>
              </w:rPr>
              <w:t>CS4</w:t>
            </w:r>
            <w:r>
              <w:rPr>
                <w:rFonts w:hint="eastAsia" w:ascii="宋体" w:hAnsi="宋体" w:cs="宋体"/>
                <w:color w:val="auto"/>
                <w:kern w:val="0"/>
                <w:sz w:val="21"/>
                <w:szCs w:val="21"/>
                <w:highlight w:val="none"/>
                <w:lang w:val="en-US" w:eastAsia="zh-CN"/>
              </w:rPr>
              <w:t>及以上</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、CCRC信息安全服务资质认证证书(信息系统安全运维</w:t>
            </w:r>
            <w:r>
              <w:rPr>
                <w:rFonts w:hint="eastAsia" w:ascii="宋体" w:hAnsi="宋体" w:cs="宋体"/>
                <w:color w:val="auto"/>
                <w:kern w:val="0"/>
                <w:sz w:val="21"/>
                <w:szCs w:val="21"/>
                <w:highlight w:val="none"/>
                <w:lang w:val="en-US" w:eastAsia="zh-CN"/>
              </w:rPr>
              <w:t>服务资质符合</w:t>
            </w:r>
            <w:r>
              <w:rPr>
                <w:rFonts w:hint="eastAsia" w:ascii="宋体" w:hAnsi="宋体" w:cs="宋体"/>
                <w:color w:val="auto"/>
                <w:kern w:val="0"/>
                <w:sz w:val="21"/>
                <w:szCs w:val="21"/>
                <w:highlight w:val="none"/>
                <w:lang w:eastAsia="zh-CN"/>
              </w:rPr>
              <w:t>二级</w:t>
            </w:r>
            <w:r>
              <w:rPr>
                <w:rFonts w:hint="eastAsia" w:ascii="宋体" w:hAnsi="宋体" w:cs="宋体"/>
                <w:color w:val="auto"/>
                <w:kern w:val="0"/>
                <w:sz w:val="21"/>
                <w:szCs w:val="21"/>
                <w:highlight w:val="none"/>
                <w:lang w:val="en-US" w:eastAsia="zh-CN"/>
              </w:rPr>
              <w:t>或一级服务资质要求</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39ED23B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每提供一</w:t>
            </w:r>
            <w:r>
              <w:rPr>
                <w:rFonts w:hint="eastAsia" w:ascii="宋体" w:hAnsi="宋体" w:eastAsia="宋体" w:cs="宋体"/>
                <w:color w:val="auto"/>
                <w:kern w:val="0"/>
                <w:sz w:val="21"/>
                <w:szCs w:val="21"/>
                <w:highlight w:val="none"/>
                <w:lang w:val="en-US" w:eastAsia="zh-CN"/>
              </w:rPr>
              <w:t>类证书的</w:t>
            </w:r>
            <w:r>
              <w:rPr>
                <w:rFonts w:hint="eastAsia" w:ascii="宋体" w:hAnsi="宋体" w:eastAsia="宋体" w:cs="宋体"/>
                <w:color w:val="auto"/>
                <w:kern w:val="0"/>
                <w:sz w:val="21"/>
                <w:szCs w:val="21"/>
                <w:highlight w:val="none"/>
              </w:rPr>
              <w:t>得1分，最高得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须提供有效</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证书复印件</w:t>
            </w:r>
            <w:r>
              <w:rPr>
                <w:rFonts w:hint="eastAsia" w:ascii="宋体" w:hAnsi="宋体" w:eastAsia="宋体" w:cs="宋体"/>
                <w:color w:val="auto"/>
                <w:kern w:val="0"/>
                <w:sz w:val="21"/>
                <w:szCs w:val="21"/>
                <w:highlight w:val="none"/>
                <w:lang w:val="en-US" w:eastAsia="zh-CN"/>
              </w:rPr>
              <w:t>并加盖</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w:t>
            </w:r>
            <w:r>
              <w:rPr>
                <w:rFonts w:hint="eastAsia" w:ascii="宋体" w:hAnsi="宋体" w:eastAsia="宋体" w:cs="宋体"/>
                <w:color w:val="auto"/>
                <w:kern w:val="0"/>
                <w:sz w:val="21"/>
                <w:szCs w:val="21"/>
                <w:highlight w:val="none"/>
              </w:rPr>
              <w:t>。</w:t>
            </w:r>
          </w:p>
        </w:tc>
      </w:tr>
      <w:tr w14:paraId="32B4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 w:type="pct"/>
            <w:noWrap w:val="0"/>
            <w:vAlign w:val="center"/>
          </w:tcPr>
          <w:p w14:paraId="341719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435" w:type="pct"/>
            <w:vMerge w:val="continue"/>
            <w:noWrap w:val="0"/>
            <w:vAlign w:val="center"/>
          </w:tcPr>
          <w:p w14:paraId="4B0D93D1">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p>
        </w:tc>
        <w:tc>
          <w:tcPr>
            <w:tcW w:w="663" w:type="pct"/>
            <w:noWrap w:val="0"/>
            <w:vAlign w:val="center"/>
          </w:tcPr>
          <w:p w14:paraId="0DAD9796">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人员资质</w:t>
            </w:r>
          </w:p>
          <w:p w14:paraId="4DE98CF2">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3631" w:type="pct"/>
            <w:noWrap w:val="0"/>
            <w:vAlign w:val="center"/>
          </w:tcPr>
          <w:p w14:paraId="764AC72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拟派项目负责人为供应商单位正式员工、须为计算机类专业本科及以上学历；同时具备以下所有6个证书的，得6分，以下证书提供不全的，得3分（但是以下6个证书均未提供的，不得分）：</w:t>
            </w:r>
          </w:p>
          <w:p w14:paraId="0D151A19">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①IT服务项目经理证书②信息系统项目管理师证书③系统规划与管理师证书④ITSS信息技术应用创新服务经理证书⑤高级工程师职称证书⑥注册信息安全管理人员（CISO）证书。</w:t>
            </w:r>
          </w:p>
          <w:p w14:paraId="7A9B4D33">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提供有效的相关证书复印件及社保机构出具的供应商为该员工缴纳的近三个月（2024年7月—2024年9月）中任意一个月的社保缴纳证明复印件</w:t>
            </w:r>
            <w:r>
              <w:rPr>
                <w:rFonts w:hint="eastAsia" w:ascii="宋体" w:hAnsi="宋体" w:eastAsia="宋体" w:cs="宋体"/>
                <w:color w:val="auto"/>
                <w:kern w:val="0"/>
                <w:sz w:val="21"/>
                <w:szCs w:val="21"/>
                <w:highlight w:val="none"/>
                <w:lang w:val="en-US" w:eastAsia="zh-CN"/>
              </w:rPr>
              <w:t>并加盖</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w:t>
            </w:r>
            <w:r>
              <w:rPr>
                <w:rFonts w:hint="eastAsia" w:ascii="宋体" w:hAnsi="宋体" w:cs="宋体"/>
                <w:color w:val="auto"/>
                <w:kern w:val="0"/>
                <w:sz w:val="21"/>
                <w:szCs w:val="21"/>
                <w:highlight w:val="none"/>
                <w:lang w:val="en-US" w:eastAsia="zh-CN"/>
              </w:rPr>
              <w:t>。</w:t>
            </w:r>
          </w:p>
        </w:tc>
      </w:tr>
      <w:tr w14:paraId="0B9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270" w:type="pct"/>
            <w:noWrap w:val="0"/>
            <w:vAlign w:val="center"/>
          </w:tcPr>
          <w:p w14:paraId="3023B7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435" w:type="pct"/>
            <w:vMerge w:val="restart"/>
            <w:noWrap w:val="0"/>
            <w:vAlign w:val="center"/>
          </w:tcPr>
          <w:p w14:paraId="09D24B55">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p>
          <w:p w14:paraId="1A1BAA93">
            <w:pPr>
              <w:pStyle w:val="3"/>
              <w:pageBreakBefore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val="0"/>
                <w:bCs w:val="0"/>
                <w:color w:val="auto"/>
                <w:kern w:val="44"/>
                <w:sz w:val="21"/>
                <w:szCs w:val="21"/>
                <w:highlight w:val="none"/>
                <w:lang w:val="en-US" w:eastAsia="zh-CN" w:bidi="ar-SA"/>
              </w:rPr>
            </w:pPr>
            <w:r>
              <w:rPr>
                <w:rFonts w:hint="eastAsia" w:ascii="宋体" w:hAnsi="宋体" w:cs="宋体"/>
                <w:b w:val="0"/>
                <w:bCs w:val="0"/>
                <w:color w:val="auto"/>
                <w:kern w:val="44"/>
                <w:sz w:val="21"/>
                <w:szCs w:val="21"/>
                <w:highlight w:val="none"/>
                <w:lang w:val="en-US" w:eastAsia="zh-CN" w:bidi="ar-SA"/>
              </w:rPr>
              <w:t>技术部分（60分）</w:t>
            </w:r>
          </w:p>
        </w:tc>
        <w:tc>
          <w:tcPr>
            <w:tcW w:w="663" w:type="pct"/>
            <w:noWrap w:val="0"/>
            <w:vAlign w:val="center"/>
          </w:tcPr>
          <w:p w14:paraId="60372EB3">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产品性能</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tc>
        <w:tc>
          <w:tcPr>
            <w:tcW w:w="3631" w:type="pct"/>
            <w:noWrap w:val="0"/>
            <w:vAlign w:val="center"/>
          </w:tcPr>
          <w:p w14:paraId="41FF410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供应商提供《技术部分正负偏离表》及带▲项要求提供的证明材料，完全满足（无偏离或正偏离）采购文件要求得30分。</w:t>
            </w:r>
          </w:p>
          <w:p w14:paraId="65001CA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（1）带▲项中，以相关证明材料进行评审，每有一项未提供证明材料或证明材料不满足采购文件要求的，扣2分；</w:t>
            </w:r>
          </w:p>
          <w:p w14:paraId="2DABD3F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按项目需求要求提供证明材料。</w:t>
            </w:r>
          </w:p>
          <w:p w14:paraId="54D57533">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（2）带▲项以外的技术部分内容，以《技术部分正负偏离表》进行评审，每有1项负偏离的，扣1分，扣完为止。</w:t>
            </w:r>
          </w:p>
          <w:p w14:paraId="52E6817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color w:val="auto"/>
                <w:highlight w:val="none"/>
                <w:lang w:val="en-US" w:eastAsia="zh-CN"/>
              </w:rPr>
            </w:pPr>
            <w:r>
              <w:rPr>
                <w:rFonts w:hint="eastAsia" w:ascii="宋体" w:hAnsi="宋体" w:cs="宋体"/>
                <w:color w:val="auto"/>
                <w:kern w:val="0"/>
                <w:sz w:val="21"/>
                <w:szCs w:val="21"/>
                <w:highlight w:val="none"/>
                <w:lang w:val="en-US" w:eastAsia="zh-CN"/>
              </w:rPr>
              <w:t>提供《技术部分正负偏离表》。</w:t>
            </w:r>
          </w:p>
        </w:tc>
      </w:tr>
      <w:tr w14:paraId="7B5D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0" w:type="pct"/>
            <w:noWrap w:val="0"/>
            <w:vAlign w:val="center"/>
          </w:tcPr>
          <w:p w14:paraId="33E325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435" w:type="pct"/>
            <w:vMerge w:val="continue"/>
            <w:noWrap w:val="0"/>
            <w:vAlign w:val="center"/>
          </w:tcPr>
          <w:p w14:paraId="0AC20F4C">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p>
        </w:tc>
        <w:tc>
          <w:tcPr>
            <w:tcW w:w="663" w:type="pct"/>
            <w:noWrap w:val="0"/>
            <w:vAlign w:val="center"/>
          </w:tcPr>
          <w:p w14:paraId="3AAE33CF">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产品成熟度</w:t>
            </w:r>
          </w:p>
          <w:p w14:paraId="0A5B6C26">
            <w:pPr>
              <w:pStyle w:val="3"/>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（5分）</w:t>
            </w:r>
          </w:p>
        </w:tc>
        <w:tc>
          <w:tcPr>
            <w:tcW w:w="3631" w:type="pct"/>
            <w:noWrap w:val="0"/>
            <w:vAlign w:val="center"/>
          </w:tcPr>
          <w:p w14:paraId="42D86F5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针对本系统所投的主要软件功能模块，软件生产厂商（制造商）具备以下自主知识产权（软件著作权或发明专利）的，每提供1个得0.5分，全部提供得5分：</w:t>
            </w:r>
          </w:p>
          <w:p w14:paraId="76360C6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1.云原生开发管理平台</w:t>
            </w:r>
          </w:p>
          <w:p w14:paraId="2CB5E3B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2.内容管理平台</w:t>
            </w:r>
          </w:p>
          <w:p w14:paraId="30BD359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3.智能处理平台</w:t>
            </w:r>
          </w:p>
          <w:p w14:paraId="393BF78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4.流程引擎</w:t>
            </w:r>
          </w:p>
          <w:p w14:paraId="0F2E09C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5.多模态检索</w:t>
            </w:r>
          </w:p>
          <w:p w14:paraId="6459FB9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6.画质增强</w:t>
            </w:r>
          </w:p>
          <w:p w14:paraId="09D3F17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7.自然语言处理</w:t>
            </w:r>
          </w:p>
          <w:p w14:paraId="3134731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8.个性化推荐</w:t>
            </w:r>
          </w:p>
          <w:p w14:paraId="721AC60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9.敏感词监测</w:t>
            </w:r>
          </w:p>
          <w:p w14:paraId="5C02A60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10.知识图谱</w:t>
            </w:r>
          </w:p>
          <w:p w14:paraId="21FAF53A">
            <w:pPr>
              <w:pStyle w:val="2"/>
              <w:rPr>
                <w:rFonts w:hint="eastAsia"/>
                <w:color w:val="auto"/>
                <w:highlight w:val="none"/>
                <w:lang w:val="en-US" w:eastAsia="zh-CN"/>
              </w:rPr>
            </w:pPr>
            <w:r>
              <w:rPr>
                <w:rFonts w:hint="eastAsia" w:ascii="宋体" w:hAnsi="宋体" w:cs="宋体"/>
                <w:color w:val="auto"/>
                <w:kern w:val="0"/>
                <w:sz w:val="21"/>
                <w:szCs w:val="21"/>
                <w:highlight w:val="none"/>
                <w:lang w:val="en-US" w:eastAsia="zh-CN"/>
              </w:rPr>
              <w:t>提供有效的证书复印件并加盖供应商公章。</w:t>
            </w:r>
          </w:p>
        </w:tc>
      </w:tr>
      <w:tr w14:paraId="0DFF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70" w:type="pct"/>
            <w:noWrap w:val="0"/>
            <w:vAlign w:val="center"/>
          </w:tcPr>
          <w:p w14:paraId="01B7DB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435" w:type="pct"/>
            <w:vMerge w:val="continue"/>
            <w:noWrap w:val="0"/>
            <w:vAlign w:val="center"/>
          </w:tcPr>
          <w:p w14:paraId="65946867">
            <w:pPr>
              <w:pageBreakBefore w:val="0"/>
              <w:kinsoku/>
              <w:wordWrap/>
              <w:overflowPunct/>
              <w:topLinePunct w:val="0"/>
              <w:autoSpaceDE/>
              <w:autoSpaceDN/>
              <w:bidi w:val="0"/>
              <w:adjustRightInd/>
              <w:snapToGrid/>
              <w:spacing w:line="240" w:lineRule="auto"/>
              <w:jc w:val="center"/>
              <w:textAlignment w:val="auto"/>
              <w:rPr>
                <w:rFonts w:hint="eastAsia" w:eastAsia="宋体"/>
                <w:b w:val="0"/>
                <w:bCs w:val="0"/>
                <w:color w:val="auto"/>
                <w:sz w:val="21"/>
                <w:szCs w:val="21"/>
                <w:highlight w:val="none"/>
                <w:lang w:eastAsia="zh-CN"/>
              </w:rPr>
            </w:pPr>
          </w:p>
        </w:tc>
        <w:tc>
          <w:tcPr>
            <w:tcW w:w="663" w:type="pct"/>
            <w:noWrap w:val="0"/>
            <w:vAlign w:val="center"/>
          </w:tcPr>
          <w:p w14:paraId="594F7DB5">
            <w:pPr>
              <w:widowControl/>
              <w:jc w:val="center"/>
              <w:rPr>
                <w:rFonts w:hint="eastAsia" w:asciiTheme="minorEastAsia" w:hAnsiTheme="minorEastAsia" w:cstheme="minorEastAsia"/>
                <w:color w:val="auto"/>
                <w:kern w:val="0"/>
                <w:sz w:val="22"/>
                <w:highlight w:val="none"/>
                <w:lang w:eastAsia="zh-CN"/>
              </w:rPr>
            </w:pPr>
            <w:r>
              <w:rPr>
                <w:rFonts w:hint="eastAsia" w:ascii="宋体" w:hAnsi="宋体" w:cs="宋体"/>
                <w:color w:val="auto"/>
                <w:kern w:val="0"/>
                <w:szCs w:val="21"/>
                <w:highlight w:val="none"/>
              </w:rPr>
              <w:t>技术方案（</w:t>
            </w:r>
            <w:r>
              <w:rPr>
                <w:rFonts w:ascii="宋体" w:hAnsi="宋体" w:cs="宋体"/>
                <w:color w:val="auto"/>
                <w:kern w:val="0"/>
                <w:szCs w:val="21"/>
                <w:highlight w:val="none"/>
              </w:rPr>
              <w:t>10</w:t>
            </w:r>
            <w:r>
              <w:rPr>
                <w:rFonts w:hint="eastAsia" w:ascii="宋体" w:hAnsi="宋体" w:cs="宋体"/>
                <w:color w:val="auto"/>
                <w:kern w:val="0"/>
                <w:szCs w:val="21"/>
                <w:highlight w:val="none"/>
              </w:rPr>
              <w:t>分）</w:t>
            </w:r>
          </w:p>
        </w:tc>
        <w:tc>
          <w:tcPr>
            <w:tcW w:w="3631" w:type="pct"/>
            <w:noWrap w:val="0"/>
            <w:vAlign w:val="center"/>
          </w:tcPr>
          <w:p w14:paraId="7970DD5B">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根据供应商提供的技术设计方案进行</w:t>
            </w:r>
            <w:r>
              <w:rPr>
                <w:rFonts w:hint="eastAsia" w:ascii="宋体" w:hAnsi="宋体" w:cs="宋体"/>
                <w:color w:val="auto"/>
                <w:kern w:val="0"/>
                <w:szCs w:val="21"/>
                <w:highlight w:val="none"/>
                <w:lang w:val="en-US" w:eastAsia="zh-CN"/>
              </w:rPr>
              <w:t>综合评分</w:t>
            </w:r>
            <w:r>
              <w:rPr>
                <w:rFonts w:hint="eastAsia" w:ascii="宋体" w:hAnsi="宋体" w:cs="宋体"/>
                <w:color w:val="auto"/>
                <w:kern w:val="0"/>
                <w:szCs w:val="21"/>
                <w:highlight w:val="none"/>
              </w:rPr>
              <w:t>：</w:t>
            </w:r>
          </w:p>
          <w:p w14:paraId="66BCE65E">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方案细致完整、合理可行、全部满足</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文件要求得</w:t>
            </w:r>
            <w:r>
              <w:rPr>
                <w:rFonts w:hint="eastAsia" w:ascii="宋体" w:hAnsi="宋体" w:cs="宋体"/>
                <w:color w:val="auto"/>
                <w:kern w:val="0"/>
                <w:szCs w:val="21"/>
                <w:highlight w:val="none"/>
                <w:lang w:val="en-US" w:eastAsia="zh-CN"/>
              </w:rPr>
              <w:t>7（不含）-10（含）</w:t>
            </w:r>
            <w:r>
              <w:rPr>
                <w:rFonts w:hint="eastAsia" w:ascii="宋体" w:hAnsi="宋体" w:cs="宋体"/>
                <w:color w:val="auto"/>
                <w:kern w:val="0"/>
                <w:szCs w:val="21"/>
                <w:highlight w:val="none"/>
              </w:rPr>
              <w:t>分；</w:t>
            </w:r>
          </w:p>
          <w:p w14:paraId="4749ED78">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方案较细致完整、合理可行、基本满足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4（不含）-7（含）</w:t>
            </w:r>
            <w:r>
              <w:rPr>
                <w:rFonts w:hint="eastAsia" w:ascii="宋体" w:hAnsi="宋体" w:cs="宋体"/>
                <w:color w:val="auto"/>
                <w:kern w:val="0"/>
                <w:szCs w:val="21"/>
                <w:highlight w:val="none"/>
              </w:rPr>
              <w:t>分；</w:t>
            </w:r>
          </w:p>
          <w:p w14:paraId="5A24F7A8">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方案简单，可行性一般、部分满足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0（不含）-4（含）</w:t>
            </w:r>
            <w:r>
              <w:rPr>
                <w:rFonts w:hint="eastAsia" w:ascii="宋体" w:hAnsi="宋体" w:cs="宋体"/>
                <w:color w:val="auto"/>
                <w:kern w:val="0"/>
                <w:szCs w:val="21"/>
                <w:highlight w:val="none"/>
              </w:rPr>
              <w:t>分；</w:t>
            </w:r>
          </w:p>
          <w:p w14:paraId="3B1F21F3">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rPr>
              <w:t>未提供方案的，不得分</w:t>
            </w:r>
            <w:r>
              <w:rPr>
                <w:rFonts w:hint="eastAsia" w:ascii="宋体" w:hAnsi="宋体" w:cs="宋体"/>
                <w:color w:val="auto"/>
                <w:kern w:val="0"/>
                <w:szCs w:val="21"/>
                <w:highlight w:val="none"/>
                <w:lang w:eastAsia="zh-CN"/>
              </w:rPr>
              <w:t>。</w:t>
            </w:r>
          </w:p>
        </w:tc>
      </w:tr>
      <w:tr w14:paraId="208B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70" w:type="pct"/>
            <w:noWrap w:val="0"/>
            <w:vAlign w:val="center"/>
          </w:tcPr>
          <w:p w14:paraId="2F8570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435" w:type="pct"/>
            <w:vMerge w:val="continue"/>
            <w:noWrap w:val="0"/>
            <w:vAlign w:val="center"/>
          </w:tcPr>
          <w:p w14:paraId="1422F20D">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color w:val="auto"/>
                <w:kern w:val="0"/>
                <w:sz w:val="22"/>
                <w:highlight w:val="none"/>
                <w:lang w:eastAsia="zh-CN"/>
              </w:rPr>
            </w:pPr>
          </w:p>
        </w:tc>
        <w:tc>
          <w:tcPr>
            <w:tcW w:w="663" w:type="pct"/>
            <w:noWrap w:val="0"/>
            <w:vAlign w:val="center"/>
          </w:tcPr>
          <w:p w14:paraId="2B9B3F9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实施方案（</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tc>
        <w:tc>
          <w:tcPr>
            <w:tcW w:w="3631" w:type="pct"/>
            <w:noWrap w:val="0"/>
            <w:vAlign w:val="center"/>
          </w:tcPr>
          <w:p w14:paraId="4BA5847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根据供应商提供的项目实施方案进行</w:t>
            </w:r>
            <w:r>
              <w:rPr>
                <w:rFonts w:hint="eastAsia" w:ascii="宋体" w:hAnsi="宋体" w:cs="宋体"/>
                <w:color w:val="auto"/>
                <w:kern w:val="0"/>
                <w:szCs w:val="21"/>
                <w:highlight w:val="none"/>
                <w:lang w:val="en-US" w:eastAsia="zh-CN"/>
              </w:rPr>
              <w:t>综合评分</w:t>
            </w:r>
            <w:r>
              <w:rPr>
                <w:rFonts w:hint="eastAsia" w:ascii="宋体" w:hAnsi="宋体" w:cs="宋体"/>
                <w:color w:val="auto"/>
                <w:kern w:val="0"/>
                <w:szCs w:val="21"/>
                <w:highlight w:val="none"/>
              </w:rPr>
              <w:t>：</w:t>
            </w:r>
          </w:p>
          <w:p w14:paraId="47DC6DF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方案细致完整、合理可行、全部满足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4（不含）-5（含）</w:t>
            </w:r>
            <w:r>
              <w:rPr>
                <w:rFonts w:hint="eastAsia" w:ascii="宋体" w:hAnsi="宋体" w:cs="宋体"/>
                <w:color w:val="auto"/>
                <w:kern w:val="0"/>
                <w:szCs w:val="21"/>
                <w:highlight w:val="none"/>
              </w:rPr>
              <w:t>分；</w:t>
            </w:r>
          </w:p>
          <w:p w14:paraId="5401DB1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方案较细致完整、合理可行、基本满足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2（不含）-4（含）</w:t>
            </w:r>
            <w:r>
              <w:rPr>
                <w:rFonts w:hint="eastAsia" w:ascii="宋体" w:hAnsi="宋体" w:cs="宋体"/>
                <w:color w:val="auto"/>
                <w:kern w:val="0"/>
                <w:szCs w:val="21"/>
                <w:highlight w:val="none"/>
              </w:rPr>
              <w:t>分；</w:t>
            </w:r>
          </w:p>
          <w:p w14:paraId="6F39D73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方案简单，可行性一般、部分满足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0（不含）-2（含）</w:t>
            </w:r>
            <w:r>
              <w:rPr>
                <w:rFonts w:hint="eastAsia" w:ascii="宋体" w:hAnsi="宋体" w:cs="宋体"/>
                <w:color w:val="auto"/>
                <w:kern w:val="0"/>
                <w:szCs w:val="21"/>
                <w:highlight w:val="none"/>
              </w:rPr>
              <w:t>分；</w:t>
            </w:r>
          </w:p>
          <w:p w14:paraId="40611C5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未提供方案的，不得分</w:t>
            </w:r>
            <w:r>
              <w:rPr>
                <w:rFonts w:hint="eastAsia" w:ascii="宋体" w:hAnsi="宋体" w:cs="宋体"/>
                <w:color w:val="auto"/>
                <w:kern w:val="0"/>
                <w:szCs w:val="21"/>
                <w:highlight w:val="none"/>
                <w:lang w:eastAsia="zh-CN"/>
              </w:rPr>
              <w:t>。</w:t>
            </w:r>
          </w:p>
        </w:tc>
      </w:tr>
      <w:tr w14:paraId="0AF3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70" w:type="pct"/>
            <w:noWrap w:val="0"/>
            <w:vAlign w:val="center"/>
          </w:tcPr>
          <w:p w14:paraId="7F8C3F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435" w:type="pct"/>
            <w:vMerge w:val="continue"/>
            <w:noWrap w:val="0"/>
            <w:vAlign w:val="center"/>
          </w:tcPr>
          <w:p w14:paraId="468BF2DC">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color w:val="auto"/>
                <w:kern w:val="0"/>
                <w:sz w:val="22"/>
                <w:highlight w:val="none"/>
                <w:lang w:eastAsia="zh-CN"/>
              </w:rPr>
            </w:pPr>
          </w:p>
        </w:tc>
        <w:tc>
          <w:tcPr>
            <w:tcW w:w="663" w:type="pct"/>
            <w:noWrap w:val="0"/>
            <w:vAlign w:val="center"/>
          </w:tcPr>
          <w:p w14:paraId="1D32C2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培训方案（</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tc>
        <w:tc>
          <w:tcPr>
            <w:tcW w:w="3631" w:type="pct"/>
            <w:noWrap w:val="0"/>
            <w:vAlign w:val="center"/>
          </w:tcPr>
          <w:p w14:paraId="2FC5C3E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根据供应商提供的培训方案进行</w:t>
            </w:r>
            <w:r>
              <w:rPr>
                <w:rFonts w:hint="eastAsia" w:ascii="宋体" w:hAnsi="宋体" w:cs="宋体"/>
                <w:color w:val="auto"/>
                <w:kern w:val="0"/>
                <w:szCs w:val="21"/>
                <w:highlight w:val="none"/>
                <w:lang w:val="en-US" w:eastAsia="zh-CN"/>
              </w:rPr>
              <w:t>综合评分</w:t>
            </w:r>
            <w:r>
              <w:rPr>
                <w:rFonts w:hint="eastAsia" w:ascii="宋体" w:hAnsi="宋体" w:cs="宋体"/>
                <w:color w:val="auto"/>
                <w:kern w:val="0"/>
                <w:szCs w:val="21"/>
                <w:highlight w:val="none"/>
              </w:rPr>
              <w:t>：</w:t>
            </w:r>
          </w:p>
          <w:p w14:paraId="7F43082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Cs w:val="21"/>
                <w:highlight w:val="none"/>
              </w:rPr>
              <w:t>方案细致完整、合理可行、全部满足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4（不含）-5（含）分；</w:t>
            </w:r>
          </w:p>
          <w:p w14:paraId="152D454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方案较细致完整、合理可行、基本满足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2（不含）-4（含）</w:t>
            </w:r>
            <w:r>
              <w:rPr>
                <w:rFonts w:hint="eastAsia" w:ascii="宋体" w:hAnsi="宋体" w:cs="宋体"/>
                <w:color w:val="auto"/>
                <w:kern w:val="0"/>
                <w:szCs w:val="21"/>
                <w:highlight w:val="none"/>
              </w:rPr>
              <w:t>分；</w:t>
            </w:r>
          </w:p>
          <w:p w14:paraId="2E9D643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方案简单，可行性一般、部分满足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0（不含）-2（含）</w:t>
            </w:r>
            <w:r>
              <w:rPr>
                <w:rFonts w:hint="eastAsia" w:ascii="宋体" w:hAnsi="宋体" w:cs="宋体"/>
                <w:color w:val="auto"/>
                <w:kern w:val="0"/>
                <w:szCs w:val="21"/>
                <w:highlight w:val="none"/>
              </w:rPr>
              <w:t>分；</w:t>
            </w:r>
          </w:p>
          <w:p w14:paraId="6911FB9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未提供方案的，不得分</w:t>
            </w:r>
            <w:r>
              <w:rPr>
                <w:rFonts w:hint="eastAsia" w:ascii="宋体" w:hAnsi="宋体" w:cs="宋体"/>
                <w:color w:val="auto"/>
                <w:kern w:val="0"/>
                <w:szCs w:val="21"/>
                <w:highlight w:val="none"/>
                <w:lang w:eastAsia="zh-CN"/>
              </w:rPr>
              <w:t>。</w:t>
            </w:r>
          </w:p>
        </w:tc>
      </w:tr>
      <w:tr w14:paraId="3C4F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70" w:type="pct"/>
            <w:noWrap w:val="0"/>
            <w:vAlign w:val="center"/>
          </w:tcPr>
          <w:p w14:paraId="62CDA1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435" w:type="pct"/>
            <w:vMerge w:val="continue"/>
            <w:noWrap w:val="0"/>
            <w:vAlign w:val="center"/>
          </w:tcPr>
          <w:p w14:paraId="7A69ACE4">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color w:val="auto"/>
                <w:kern w:val="0"/>
                <w:sz w:val="22"/>
                <w:highlight w:val="none"/>
                <w:lang w:eastAsia="zh-CN"/>
              </w:rPr>
            </w:pPr>
          </w:p>
        </w:tc>
        <w:tc>
          <w:tcPr>
            <w:tcW w:w="663" w:type="pct"/>
            <w:noWrap w:val="0"/>
            <w:vAlign w:val="center"/>
          </w:tcPr>
          <w:p w14:paraId="0B9F69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tc>
        <w:tc>
          <w:tcPr>
            <w:tcW w:w="3631" w:type="pct"/>
            <w:noWrap w:val="0"/>
            <w:vAlign w:val="center"/>
          </w:tcPr>
          <w:p w14:paraId="3890D97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w:t>
            </w:r>
            <w:r>
              <w:rPr>
                <w:rFonts w:hint="eastAsia" w:ascii="宋体" w:hAnsi="宋体" w:cs="宋体"/>
                <w:color w:val="auto"/>
                <w:kern w:val="0"/>
                <w:szCs w:val="21"/>
                <w:highlight w:val="none"/>
                <w:lang w:val="en-US" w:eastAsia="zh-CN"/>
              </w:rPr>
              <w:t>综合评分</w:t>
            </w:r>
            <w:r>
              <w:rPr>
                <w:rFonts w:hint="eastAsia" w:ascii="宋体" w:hAnsi="宋体" w:cs="宋体"/>
                <w:color w:val="auto"/>
                <w:kern w:val="0"/>
                <w:szCs w:val="21"/>
                <w:highlight w:val="none"/>
              </w:rPr>
              <w:t>：</w:t>
            </w:r>
          </w:p>
          <w:p w14:paraId="4D79B77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方案细致完整、合理可行、全部满足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4（不含）-5（含）</w:t>
            </w:r>
            <w:r>
              <w:rPr>
                <w:rFonts w:hint="eastAsia" w:ascii="宋体" w:hAnsi="宋体" w:cs="宋体"/>
                <w:color w:val="auto"/>
                <w:kern w:val="0"/>
                <w:szCs w:val="21"/>
                <w:highlight w:val="none"/>
              </w:rPr>
              <w:t>分；</w:t>
            </w:r>
          </w:p>
          <w:p w14:paraId="027F5C0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方案较细致完整、合理可行、基本满足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2（不含）-4（含）</w:t>
            </w:r>
            <w:r>
              <w:rPr>
                <w:rFonts w:hint="eastAsia" w:ascii="宋体" w:hAnsi="宋体" w:cs="宋体"/>
                <w:color w:val="auto"/>
                <w:kern w:val="0"/>
                <w:szCs w:val="21"/>
                <w:highlight w:val="none"/>
              </w:rPr>
              <w:t>分；</w:t>
            </w:r>
          </w:p>
          <w:p w14:paraId="0556741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方案简单，可行性一般、部分满足</w:t>
            </w:r>
            <w:r>
              <w:rPr>
                <w:rFonts w:hint="eastAsia" w:ascii="宋体" w:hAnsi="宋体" w:cs="宋体"/>
                <w:color w:val="auto"/>
                <w:kern w:val="0"/>
                <w:szCs w:val="21"/>
                <w:highlight w:val="none"/>
                <w:lang w:eastAsia="zh-CN"/>
              </w:rPr>
              <w:t>采购文件</w:t>
            </w:r>
            <w:r>
              <w:rPr>
                <w:rFonts w:hint="eastAsia" w:ascii="宋体" w:hAnsi="宋体" w:cs="宋体"/>
                <w:color w:val="auto"/>
                <w:kern w:val="0"/>
                <w:szCs w:val="21"/>
                <w:highlight w:val="none"/>
              </w:rPr>
              <w:t>要求得</w:t>
            </w:r>
            <w:r>
              <w:rPr>
                <w:rFonts w:hint="eastAsia" w:ascii="宋体" w:hAnsi="宋体" w:cs="宋体"/>
                <w:color w:val="auto"/>
                <w:kern w:val="0"/>
                <w:sz w:val="21"/>
                <w:szCs w:val="21"/>
                <w:highlight w:val="none"/>
                <w:lang w:val="en-US" w:eastAsia="zh-CN"/>
              </w:rPr>
              <w:t>0（不含）-2（含）</w:t>
            </w:r>
            <w:r>
              <w:rPr>
                <w:rFonts w:hint="eastAsia" w:ascii="宋体" w:hAnsi="宋体" w:cs="宋体"/>
                <w:color w:val="auto"/>
                <w:kern w:val="0"/>
                <w:szCs w:val="21"/>
                <w:highlight w:val="none"/>
              </w:rPr>
              <w:t>分；</w:t>
            </w:r>
          </w:p>
          <w:p w14:paraId="70B9D2C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未提供方案的，不得分</w:t>
            </w:r>
            <w:r>
              <w:rPr>
                <w:rFonts w:hint="eastAsia" w:ascii="宋体" w:hAnsi="宋体" w:cs="宋体"/>
                <w:color w:val="auto"/>
                <w:kern w:val="0"/>
                <w:szCs w:val="21"/>
                <w:highlight w:val="none"/>
                <w:lang w:eastAsia="zh-CN"/>
              </w:rPr>
              <w:t>。</w:t>
            </w:r>
          </w:p>
        </w:tc>
      </w:tr>
    </w:tbl>
    <w:p w14:paraId="7D5459D4">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2" w:firstLineChars="200"/>
        <w:textAlignment w:val="auto"/>
        <w:rPr>
          <w:rFonts w:hint="eastAsia" w:ascii="宋体" w:hAnsi="宋体" w:eastAsia="宋体" w:cs="宋体"/>
          <w:color w:val="auto"/>
          <w:sz w:val="24"/>
          <w:highlight w:val="none"/>
          <w:u w:val="single"/>
          <w:lang w:val="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二）价格分：</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lang w:val="zh-CN"/>
        </w:rPr>
        <w:t>分</w:t>
      </w:r>
    </w:p>
    <w:p w14:paraId="5CBB048E">
      <w:pPr>
        <w:keepNext w:val="0"/>
        <w:keepLines w:val="0"/>
        <w:pageBreakBefore w:val="0"/>
        <w:widowControl w:val="0"/>
        <w:kinsoku/>
        <w:wordWrap/>
        <w:overflowPunct/>
        <w:topLinePunct w:val="0"/>
        <w:autoSpaceDE/>
        <w:autoSpaceDN/>
        <w:bidi w:val="0"/>
        <w:adjustRightInd/>
        <w:snapToGrid/>
        <w:spacing w:line="480" w:lineRule="exact"/>
        <w:ind w:left="0" w:right="0" w:firstLine="440" w:firstLineChars="200"/>
        <w:textAlignment w:val="auto"/>
        <w:outlineLvl w:val="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1、确定有效报价</w:t>
      </w:r>
    </w:p>
    <w:p w14:paraId="068FED5C">
      <w:pPr>
        <w:keepNext w:val="0"/>
        <w:keepLines w:val="0"/>
        <w:pageBreakBefore w:val="0"/>
        <w:widowControl w:val="0"/>
        <w:kinsoku/>
        <w:wordWrap/>
        <w:overflowPunct/>
        <w:topLinePunct w:val="0"/>
        <w:autoSpaceDE/>
        <w:autoSpaceDN/>
        <w:bidi w:val="0"/>
        <w:adjustRightInd/>
        <w:snapToGrid/>
        <w:spacing w:line="480" w:lineRule="exact"/>
        <w:ind w:left="0" w:right="0" w:firstLine="440" w:firstLineChars="200"/>
        <w:textAlignment w:val="auto"/>
        <w:outlineLvl w:val="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供应商的投标报价不高于最高限价的为有效投标报价；投标报价高于最高限价的作无效标处理。</w:t>
      </w:r>
    </w:p>
    <w:p w14:paraId="4D108E9E">
      <w:pPr>
        <w:keepNext w:val="0"/>
        <w:keepLines w:val="0"/>
        <w:pageBreakBefore w:val="0"/>
        <w:widowControl w:val="0"/>
        <w:kinsoku/>
        <w:wordWrap/>
        <w:overflowPunct/>
        <w:topLinePunct w:val="0"/>
        <w:autoSpaceDE/>
        <w:autoSpaceDN/>
        <w:bidi w:val="0"/>
        <w:adjustRightInd/>
        <w:snapToGrid/>
        <w:spacing w:line="480" w:lineRule="exact"/>
        <w:ind w:left="0" w:right="0" w:firstLine="440" w:firstLineChars="200"/>
        <w:textAlignment w:val="auto"/>
        <w:outlineLvl w:val="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2、报价响应文件得分（30分）</w:t>
      </w:r>
    </w:p>
    <w:p w14:paraId="2F183797">
      <w:pPr>
        <w:keepNext w:val="0"/>
        <w:keepLines w:val="0"/>
        <w:pageBreakBefore w:val="0"/>
        <w:widowControl w:val="0"/>
        <w:kinsoku/>
        <w:wordWrap/>
        <w:overflowPunct/>
        <w:topLinePunct w:val="0"/>
        <w:autoSpaceDE/>
        <w:autoSpaceDN/>
        <w:bidi w:val="0"/>
        <w:adjustRightInd/>
        <w:snapToGrid/>
        <w:spacing w:line="480" w:lineRule="exact"/>
        <w:ind w:left="0" w:right="0" w:firstLine="440" w:firstLineChars="200"/>
        <w:textAlignment w:val="auto"/>
        <w:outlineLvl w:val="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价格分统一采用低价优先法计算，即满足竞争性磋商文件要求且投标价格</w:t>
      </w:r>
      <w:r>
        <w:rPr>
          <w:rFonts w:hint="eastAsia" w:ascii="宋体" w:hAnsi="宋体" w:cs="宋体"/>
          <w:b w:val="0"/>
          <w:bCs w:val="0"/>
          <w:color w:val="auto"/>
          <w:sz w:val="22"/>
          <w:szCs w:val="22"/>
          <w:highlight w:val="none"/>
          <w:lang w:val="en-US" w:eastAsia="zh-CN"/>
        </w:rPr>
        <w:t>（总价，最后报价）</w:t>
      </w:r>
      <w:r>
        <w:rPr>
          <w:rFonts w:hint="eastAsia" w:ascii="宋体" w:hAnsi="宋体" w:eastAsia="宋体" w:cs="宋体"/>
          <w:b w:val="0"/>
          <w:bCs w:val="0"/>
          <w:color w:val="auto"/>
          <w:sz w:val="22"/>
          <w:szCs w:val="22"/>
          <w:highlight w:val="none"/>
          <w:lang w:val="en-US" w:eastAsia="zh-CN"/>
        </w:rPr>
        <w:t>最低的投标报价为评标基准价，其价格分为满分。其他供应商的价格分统一按照下列公式计算：</w:t>
      </w:r>
    </w:p>
    <w:p w14:paraId="35C0A06C">
      <w:pPr>
        <w:keepNext w:val="0"/>
        <w:keepLines w:val="0"/>
        <w:pageBreakBefore w:val="0"/>
        <w:widowControl w:val="0"/>
        <w:kinsoku/>
        <w:wordWrap/>
        <w:overflowPunct/>
        <w:topLinePunct w:val="0"/>
        <w:autoSpaceDE/>
        <w:autoSpaceDN/>
        <w:bidi w:val="0"/>
        <w:adjustRightInd/>
        <w:snapToGrid/>
        <w:spacing w:line="480" w:lineRule="exact"/>
        <w:ind w:left="0" w:right="0" w:firstLine="440" w:firstLineChars="200"/>
        <w:textAlignment w:val="auto"/>
        <w:outlineLvl w:val="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报价得分=（评标基准价/最后磋商报价）×30</w:t>
      </w:r>
    </w:p>
    <w:p w14:paraId="47093A53">
      <w:pPr>
        <w:keepNext w:val="0"/>
        <w:keepLines w:val="0"/>
        <w:pageBreakBefore w:val="0"/>
        <w:widowControl w:val="0"/>
        <w:kinsoku/>
        <w:wordWrap/>
        <w:overflowPunct/>
        <w:topLinePunct w:val="0"/>
        <w:bidi w:val="0"/>
        <w:snapToGrid w:val="0"/>
        <w:spacing w:line="480" w:lineRule="exact"/>
        <w:ind w:left="0" w:right="0" w:firstLine="482" w:firstLineChars="200"/>
        <w:textAlignment w:val="auto"/>
        <w:rPr>
          <w:b/>
          <w:color w:val="auto"/>
          <w:sz w:val="24"/>
          <w:highlight w:val="none"/>
        </w:rPr>
      </w:pPr>
      <w:r>
        <w:rPr>
          <w:rFonts w:hint="eastAsia"/>
          <w:b/>
          <w:color w:val="auto"/>
          <w:sz w:val="24"/>
          <w:highlight w:val="none"/>
        </w:rPr>
        <w:t>六</w:t>
      </w:r>
      <w:r>
        <w:rPr>
          <w:b/>
          <w:color w:val="auto"/>
          <w:sz w:val="24"/>
          <w:highlight w:val="none"/>
        </w:rPr>
        <w:t>、变更为其他方式采购的情形</w:t>
      </w:r>
    </w:p>
    <w:p w14:paraId="643ED260">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40" w:firstLineChars="200"/>
        <w:textAlignment w:val="auto"/>
        <w:rPr>
          <w:color w:val="auto"/>
          <w:sz w:val="22"/>
          <w:szCs w:val="22"/>
          <w:highlight w:val="none"/>
          <w:lang w:val="zh-CN"/>
        </w:rPr>
      </w:pPr>
      <w:r>
        <w:rPr>
          <w:color w:val="auto"/>
          <w:sz w:val="22"/>
          <w:szCs w:val="22"/>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2"/>
          <w:szCs w:val="22"/>
          <w:highlight w:val="none"/>
        </w:rPr>
        <w:t>上级</w:t>
      </w:r>
      <w:r>
        <w:rPr>
          <w:color w:val="auto"/>
          <w:sz w:val="22"/>
          <w:szCs w:val="22"/>
          <w:highlight w:val="none"/>
        </w:rPr>
        <w:t>部门，视情采取其他方式采购。</w:t>
      </w:r>
      <w:r>
        <w:rPr>
          <w:color w:val="auto"/>
          <w:sz w:val="22"/>
          <w:szCs w:val="22"/>
          <w:highlight w:val="none"/>
          <w:lang w:val="zh-CN"/>
        </w:rPr>
        <w:t>磋商文件中对供应商资质、技术等要求，将作为</w:t>
      </w:r>
      <w:r>
        <w:rPr>
          <w:color w:val="auto"/>
          <w:sz w:val="22"/>
          <w:szCs w:val="22"/>
          <w:highlight w:val="none"/>
        </w:rPr>
        <w:t>其他</w:t>
      </w:r>
      <w:r>
        <w:rPr>
          <w:color w:val="auto"/>
          <w:sz w:val="22"/>
          <w:szCs w:val="22"/>
          <w:highlight w:val="none"/>
          <w:lang w:val="zh-CN"/>
        </w:rPr>
        <w:t>方式采购的基本要求和依据。原已经参加磋商并符合要求的供应商，根据自愿原则，参加</w:t>
      </w:r>
      <w:r>
        <w:rPr>
          <w:color w:val="auto"/>
          <w:sz w:val="22"/>
          <w:szCs w:val="22"/>
          <w:highlight w:val="none"/>
        </w:rPr>
        <w:t>其他</w:t>
      </w:r>
      <w:r>
        <w:rPr>
          <w:color w:val="auto"/>
          <w:sz w:val="22"/>
          <w:szCs w:val="22"/>
          <w:highlight w:val="none"/>
          <w:lang w:val="zh-CN"/>
        </w:rPr>
        <w:t>方式采购。</w:t>
      </w:r>
    </w:p>
    <w:p w14:paraId="0F590907">
      <w:pPr>
        <w:pStyle w:val="17"/>
        <w:keepNext w:val="0"/>
        <w:keepLines w:val="0"/>
        <w:pageBreakBefore w:val="0"/>
        <w:widowControl w:val="0"/>
        <w:kinsoku/>
        <w:wordWrap/>
        <w:overflowPunct/>
        <w:topLinePunct w:val="0"/>
        <w:bidi w:val="0"/>
        <w:snapToGrid w:val="0"/>
        <w:spacing w:line="480" w:lineRule="exact"/>
        <w:ind w:left="0" w:right="0" w:firstLine="482" w:firstLineChars="200"/>
        <w:contextualSpacing/>
        <w:textAlignment w:val="auto"/>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14:paraId="36C87076">
      <w:pPr>
        <w:pStyle w:val="17"/>
        <w:keepNext w:val="0"/>
        <w:keepLines w:val="0"/>
        <w:pageBreakBefore w:val="0"/>
        <w:widowControl w:val="0"/>
        <w:kinsoku/>
        <w:wordWrap/>
        <w:overflowPunct/>
        <w:topLinePunct w:val="0"/>
        <w:bidi w:val="0"/>
        <w:snapToGrid w:val="0"/>
        <w:spacing w:line="480" w:lineRule="exact"/>
        <w:ind w:left="0" w:right="0" w:firstLine="440" w:firstLineChars="200"/>
        <w:contextualSpacing/>
        <w:textAlignment w:val="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（一）因情况变化，不再符合规定的竞争性磋商采购方式适用情形的；</w:t>
      </w:r>
    </w:p>
    <w:p w14:paraId="69106C75">
      <w:pPr>
        <w:pStyle w:val="17"/>
        <w:keepNext w:val="0"/>
        <w:keepLines w:val="0"/>
        <w:pageBreakBefore w:val="0"/>
        <w:widowControl w:val="0"/>
        <w:kinsoku/>
        <w:wordWrap/>
        <w:overflowPunct/>
        <w:topLinePunct w:val="0"/>
        <w:bidi w:val="0"/>
        <w:snapToGrid w:val="0"/>
        <w:spacing w:line="480" w:lineRule="exact"/>
        <w:ind w:left="0" w:right="0" w:firstLine="440" w:firstLineChars="200"/>
        <w:contextualSpacing/>
        <w:textAlignment w:val="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（二）出现影响采购公正的违法、违规行为的；</w:t>
      </w:r>
    </w:p>
    <w:p w14:paraId="182C3D94">
      <w:pPr>
        <w:pStyle w:val="17"/>
        <w:keepNext w:val="0"/>
        <w:keepLines w:val="0"/>
        <w:pageBreakBefore w:val="0"/>
        <w:widowControl w:val="0"/>
        <w:kinsoku/>
        <w:wordWrap/>
        <w:overflowPunct/>
        <w:topLinePunct w:val="0"/>
        <w:bidi w:val="0"/>
        <w:snapToGrid w:val="0"/>
        <w:spacing w:line="480" w:lineRule="exact"/>
        <w:ind w:left="0" w:right="0" w:firstLine="440" w:firstLineChars="200"/>
        <w:contextualSpacing/>
        <w:textAlignment w:val="auto"/>
        <w:rPr>
          <w:rFonts w:ascii="Times New Roman" w:hAnsi="Times New Roman" w:eastAsia="宋体"/>
          <w:color w:val="auto"/>
          <w:sz w:val="22"/>
          <w:szCs w:val="22"/>
          <w:highlight w:val="none"/>
        </w:rPr>
      </w:pPr>
      <w:r>
        <w:rPr>
          <w:rFonts w:ascii="Times New Roman" w:hAnsi="Times New Roman" w:eastAsia="宋体"/>
          <w:color w:val="auto"/>
          <w:sz w:val="22"/>
          <w:szCs w:val="22"/>
          <w:highlight w:val="none"/>
        </w:rPr>
        <w:t>（三）在采购过程中符合要求的供应商或者报价未超过采购预算的供应商不足3家的（市场竞争不充分的科研项目，以及需要扶持的科技成果转化项目除外）。</w:t>
      </w:r>
    </w:p>
    <w:p w14:paraId="581D30D9">
      <w:pPr>
        <w:keepNext w:val="0"/>
        <w:keepLines w:val="0"/>
        <w:pageBreakBefore w:val="0"/>
        <w:widowControl w:val="0"/>
        <w:kinsoku/>
        <w:wordWrap/>
        <w:overflowPunct/>
        <w:topLinePunct w:val="0"/>
        <w:bidi w:val="0"/>
        <w:snapToGrid w:val="0"/>
        <w:spacing w:line="480" w:lineRule="exact"/>
        <w:ind w:left="0" w:right="0" w:firstLine="482" w:firstLineChars="200"/>
        <w:textAlignment w:val="auto"/>
        <w:rPr>
          <w:b/>
          <w:color w:val="auto"/>
          <w:kern w:val="0"/>
          <w:sz w:val="24"/>
          <w:highlight w:val="none"/>
        </w:rPr>
      </w:pPr>
      <w:r>
        <w:rPr>
          <w:rFonts w:hint="eastAsia"/>
          <w:b/>
          <w:color w:val="auto"/>
          <w:sz w:val="24"/>
          <w:highlight w:val="none"/>
          <w:lang w:val="zh-CN"/>
        </w:rPr>
        <w:t>八</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14:paraId="6AC298BB">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bCs/>
          <w:color w:val="auto"/>
          <w:sz w:val="22"/>
          <w:szCs w:val="22"/>
          <w:highlight w:val="none"/>
        </w:rPr>
      </w:pPr>
      <w:r>
        <w:rPr>
          <w:rFonts w:hint="eastAsia"/>
          <w:bCs/>
          <w:color w:val="auto"/>
          <w:sz w:val="22"/>
          <w:szCs w:val="22"/>
          <w:highlight w:val="none"/>
        </w:rPr>
        <w:t>磋商小组</w:t>
      </w:r>
      <w:r>
        <w:rPr>
          <w:rFonts w:hint="eastAsia"/>
          <w:bCs/>
          <w:color w:val="auto"/>
          <w:sz w:val="22"/>
          <w:szCs w:val="22"/>
          <w:highlight w:val="none"/>
          <w:lang w:eastAsia="zh-CN"/>
        </w:rPr>
        <w:t>认为</w:t>
      </w:r>
      <w:r>
        <w:rPr>
          <w:rFonts w:hint="eastAsia"/>
          <w:bCs/>
          <w:color w:val="auto"/>
          <w:sz w:val="22"/>
          <w:szCs w:val="22"/>
          <w:highlight w:val="none"/>
          <w:lang w:val="en-US" w:eastAsia="zh-CN"/>
        </w:rPr>
        <w:t>供应商</w:t>
      </w:r>
      <w:r>
        <w:rPr>
          <w:bCs/>
          <w:color w:val="auto"/>
          <w:sz w:val="22"/>
          <w:szCs w:val="22"/>
          <w:highlight w:val="none"/>
        </w:rPr>
        <w:t>的报价明显低于其他通过符合性审查</w:t>
      </w:r>
      <w:r>
        <w:rPr>
          <w:rFonts w:hint="eastAsia"/>
          <w:bCs/>
          <w:color w:val="auto"/>
          <w:sz w:val="22"/>
          <w:szCs w:val="22"/>
          <w:highlight w:val="none"/>
          <w:lang w:val="en-US" w:eastAsia="zh-CN"/>
        </w:rPr>
        <w:t>供应商</w:t>
      </w:r>
      <w:r>
        <w:rPr>
          <w:bCs/>
          <w:color w:val="auto"/>
          <w:sz w:val="22"/>
          <w:szCs w:val="22"/>
          <w:highlight w:val="none"/>
        </w:rPr>
        <w:t>的报价，有可能影响产品质量或者不能诚信履约的，应当要求其在合理的时间内提供书面说明，必要时提交相关证明材料；</w:t>
      </w:r>
      <w:r>
        <w:rPr>
          <w:rFonts w:hint="eastAsia"/>
          <w:bCs/>
          <w:color w:val="auto"/>
          <w:sz w:val="22"/>
          <w:szCs w:val="22"/>
          <w:highlight w:val="none"/>
          <w:lang w:val="en-US" w:eastAsia="zh-CN"/>
        </w:rPr>
        <w:t>供应商</w:t>
      </w:r>
      <w:r>
        <w:rPr>
          <w:bCs/>
          <w:color w:val="auto"/>
          <w:sz w:val="22"/>
          <w:szCs w:val="22"/>
          <w:highlight w:val="none"/>
        </w:rPr>
        <w:t>不能证明其报价合理性的，</w:t>
      </w:r>
      <w:r>
        <w:rPr>
          <w:rFonts w:hint="eastAsia"/>
          <w:bCs/>
          <w:color w:val="auto"/>
          <w:sz w:val="22"/>
          <w:szCs w:val="22"/>
          <w:highlight w:val="none"/>
        </w:rPr>
        <w:t>磋商小组</w:t>
      </w:r>
      <w:r>
        <w:rPr>
          <w:bCs/>
          <w:color w:val="auto"/>
          <w:sz w:val="22"/>
          <w:szCs w:val="22"/>
          <w:highlight w:val="none"/>
        </w:rPr>
        <w:t>应当将其作为无效</w:t>
      </w:r>
      <w:r>
        <w:rPr>
          <w:rFonts w:hint="eastAsia"/>
          <w:bCs/>
          <w:color w:val="auto"/>
          <w:sz w:val="22"/>
          <w:szCs w:val="22"/>
          <w:highlight w:val="none"/>
          <w:lang w:val="en-US" w:eastAsia="zh-CN"/>
        </w:rPr>
        <w:t>响应</w:t>
      </w:r>
      <w:r>
        <w:rPr>
          <w:bCs/>
          <w:color w:val="auto"/>
          <w:sz w:val="22"/>
          <w:szCs w:val="22"/>
          <w:highlight w:val="none"/>
        </w:rPr>
        <w:t>处理。</w:t>
      </w:r>
    </w:p>
    <w:p w14:paraId="5C23BBF1">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bCs/>
          <w:color w:val="auto"/>
          <w:sz w:val="22"/>
          <w:szCs w:val="22"/>
          <w:highlight w:val="none"/>
        </w:rPr>
      </w:pPr>
      <w:r>
        <w:rPr>
          <w:rFonts w:hint="eastAsia"/>
          <w:bCs/>
          <w:color w:val="auto"/>
          <w:sz w:val="22"/>
          <w:szCs w:val="22"/>
          <w:highlight w:val="none"/>
        </w:rPr>
        <w:t>磋商小组</w:t>
      </w:r>
      <w:r>
        <w:rPr>
          <w:bCs/>
          <w:color w:val="auto"/>
          <w:sz w:val="22"/>
          <w:szCs w:val="22"/>
          <w:highlight w:val="none"/>
        </w:rPr>
        <w:t>对</w:t>
      </w:r>
      <w:r>
        <w:rPr>
          <w:rFonts w:hint="eastAsia" w:cs="Times New Roman"/>
          <w:color w:val="auto"/>
          <w:sz w:val="22"/>
          <w:szCs w:val="22"/>
          <w:highlight w:val="none"/>
          <w:lang w:val="en-US" w:eastAsia="zh-CN"/>
        </w:rPr>
        <w:t>成交</w:t>
      </w:r>
      <w:r>
        <w:rPr>
          <w:bCs/>
          <w:color w:val="auto"/>
          <w:sz w:val="22"/>
          <w:szCs w:val="22"/>
          <w:highlight w:val="none"/>
        </w:rPr>
        <w:t>候选人报价总表和明细表进行审核，应审核供应商</w:t>
      </w:r>
      <w:r>
        <w:rPr>
          <w:rFonts w:hint="eastAsia"/>
          <w:bCs/>
          <w:color w:val="auto"/>
          <w:sz w:val="22"/>
          <w:szCs w:val="22"/>
          <w:highlight w:val="none"/>
          <w:lang w:val="en-US" w:eastAsia="zh-CN"/>
        </w:rPr>
        <w:t>响应</w:t>
      </w:r>
      <w:r>
        <w:rPr>
          <w:bCs/>
          <w:color w:val="auto"/>
          <w:sz w:val="22"/>
          <w:szCs w:val="22"/>
          <w:highlight w:val="none"/>
        </w:rPr>
        <w:t>报价是否前后一致、大小写金额是否一致、总价金额与单价汇总金额是否一致。对过高过低报价的并作为</w:t>
      </w:r>
      <w:r>
        <w:rPr>
          <w:rFonts w:hint="eastAsia" w:cs="Times New Roman"/>
          <w:color w:val="auto"/>
          <w:sz w:val="22"/>
          <w:szCs w:val="22"/>
          <w:highlight w:val="none"/>
          <w:lang w:val="en-US" w:eastAsia="zh-CN"/>
        </w:rPr>
        <w:t>成交</w:t>
      </w:r>
      <w:r>
        <w:rPr>
          <w:bCs/>
          <w:color w:val="auto"/>
          <w:sz w:val="22"/>
          <w:szCs w:val="22"/>
          <w:highlight w:val="none"/>
        </w:rPr>
        <w:t>候选人的，应重点审核报价明细表</w:t>
      </w:r>
      <w:r>
        <w:rPr>
          <w:rFonts w:hint="eastAsia"/>
          <w:bCs/>
          <w:color w:val="auto"/>
          <w:sz w:val="22"/>
          <w:szCs w:val="22"/>
          <w:highlight w:val="none"/>
        </w:rPr>
        <w:t>是</w:t>
      </w:r>
      <w:r>
        <w:rPr>
          <w:bCs/>
          <w:color w:val="auto"/>
          <w:sz w:val="22"/>
          <w:szCs w:val="22"/>
          <w:highlight w:val="none"/>
        </w:rPr>
        <w:t>否</w:t>
      </w:r>
      <w:r>
        <w:rPr>
          <w:rFonts w:hint="eastAsia"/>
          <w:bCs/>
          <w:color w:val="auto"/>
          <w:sz w:val="22"/>
          <w:szCs w:val="22"/>
          <w:highlight w:val="none"/>
        </w:rPr>
        <w:t>有</w:t>
      </w:r>
      <w:r>
        <w:rPr>
          <w:bCs/>
          <w:color w:val="auto"/>
          <w:sz w:val="22"/>
          <w:szCs w:val="22"/>
          <w:highlight w:val="none"/>
        </w:rPr>
        <w:t>重大重复报价或漏项报价等情况，一经发现，现场请</w:t>
      </w:r>
      <w:r>
        <w:rPr>
          <w:rFonts w:hint="eastAsia" w:cs="Times New Roman"/>
          <w:color w:val="auto"/>
          <w:sz w:val="22"/>
          <w:szCs w:val="22"/>
          <w:highlight w:val="none"/>
          <w:lang w:val="en-US" w:eastAsia="zh-CN"/>
        </w:rPr>
        <w:t>成交</w:t>
      </w:r>
      <w:r>
        <w:rPr>
          <w:bCs/>
          <w:color w:val="auto"/>
          <w:sz w:val="22"/>
          <w:szCs w:val="22"/>
          <w:highlight w:val="none"/>
        </w:rPr>
        <w:t>候选人予以澄清，明显过错或不能澄清的，经超半数以上评委认定，有权取消供应商</w:t>
      </w:r>
      <w:r>
        <w:rPr>
          <w:rFonts w:hint="eastAsia" w:cs="Times New Roman"/>
          <w:color w:val="auto"/>
          <w:sz w:val="22"/>
          <w:szCs w:val="22"/>
          <w:highlight w:val="none"/>
          <w:lang w:val="en-US" w:eastAsia="zh-CN"/>
        </w:rPr>
        <w:t>成交</w:t>
      </w:r>
      <w:r>
        <w:rPr>
          <w:bCs/>
          <w:color w:val="auto"/>
          <w:sz w:val="22"/>
          <w:szCs w:val="22"/>
          <w:highlight w:val="none"/>
        </w:rPr>
        <w:t>候选人资格。</w:t>
      </w:r>
    </w:p>
    <w:p w14:paraId="79248EEA">
      <w:pPr>
        <w:keepNext w:val="0"/>
        <w:keepLines w:val="0"/>
        <w:pageBreakBefore w:val="0"/>
        <w:widowControl w:val="0"/>
        <w:kinsoku/>
        <w:wordWrap/>
        <w:overflowPunct/>
        <w:topLinePunct w:val="0"/>
        <w:bidi w:val="0"/>
        <w:adjustRightInd w:val="0"/>
        <w:snapToGrid w:val="0"/>
        <w:spacing w:line="480" w:lineRule="exact"/>
        <w:ind w:left="0" w:right="0" w:firstLine="440" w:firstLineChars="200"/>
        <w:textAlignment w:val="auto"/>
        <w:rPr>
          <w:color w:val="auto"/>
          <w:sz w:val="22"/>
          <w:szCs w:val="22"/>
          <w:highlight w:val="none"/>
        </w:rPr>
      </w:pPr>
      <w:r>
        <w:rPr>
          <w:rFonts w:hint="eastAsia"/>
          <w:bCs/>
          <w:color w:val="auto"/>
          <w:sz w:val="22"/>
          <w:szCs w:val="22"/>
          <w:highlight w:val="none"/>
        </w:rPr>
        <w:t>磋商小组</w:t>
      </w:r>
      <w:r>
        <w:rPr>
          <w:color w:val="auto"/>
          <w:sz w:val="22"/>
          <w:szCs w:val="22"/>
          <w:highlight w:val="none"/>
        </w:rPr>
        <w:t>会汇总各评委评分后，按照得分从高到低的顺序推荐三名</w:t>
      </w:r>
      <w:r>
        <w:rPr>
          <w:rFonts w:hint="eastAsia" w:cs="Times New Roman"/>
          <w:color w:val="auto"/>
          <w:sz w:val="22"/>
          <w:szCs w:val="22"/>
          <w:highlight w:val="none"/>
          <w:lang w:val="en-US" w:eastAsia="zh-CN"/>
        </w:rPr>
        <w:t>成交</w:t>
      </w:r>
      <w:r>
        <w:rPr>
          <w:color w:val="auto"/>
          <w:sz w:val="22"/>
          <w:szCs w:val="22"/>
          <w:highlight w:val="none"/>
        </w:rPr>
        <w:t>候选人，并编写评标报告。</w:t>
      </w:r>
    </w:p>
    <w:p w14:paraId="5EEEE37B">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40" w:firstLineChars="200"/>
        <w:textAlignment w:val="auto"/>
        <w:rPr>
          <w:b w:val="0"/>
          <w:bCs/>
          <w:color w:val="auto"/>
          <w:sz w:val="22"/>
          <w:szCs w:val="22"/>
          <w:highlight w:val="none"/>
          <w:lang w:val="zh-CN"/>
        </w:rPr>
      </w:pPr>
      <w:r>
        <w:rPr>
          <w:b w:val="0"/>
          <w:bCs/>
          <w:color w:val="auto"/>
          <w:sz w:val="22"/>
          <w:szCs w:val="22"/>
          <w:highlight w:val="none"/>
        </w:rPr>
        <w:t>采购人在评标报告确定的</w:t>
      </w:r>
      <w:r>
        <w:rPr>
          <w:rFonts w:hint="eastAsia"/>
          <w:b w:val="0"/>
          <w:bCs/>
          <w:color w:val="auto"/>
          <w:sz w:val="22"/>
          <w:szCs w:val="22"/>
          <w:highlight w:val="none"/>
        </w:rPr>
        <w:t>成交</w:t>
      </w:r>
      <w:r>
        <w:rPr>
          <w:b w:val="0"/>
          <w:bCs/>
          <w:color w:val="auto"/>
          <w:sz w:val="22"/>
          <w:szCs w:val="22"/>
          <w:highlight w:val="none"/>
        </w:rPr>
        <w:t>候选人名单中按顺序确定</w:t>
      </w:r>
      <w:r>
        <w:rPr>
          <w:rFonts w:hint="eastAsia" w:cs="Times New Roman"/>
          <w:b w:val="0"/>
          <w:bCs/>
          <w:color w:val="auto"/>
          <w:sz w:val="22"/>
          <w:szCs w:val="22"/>
          <w:highlight w:val="none"/>
          <w:lang w:val="en-US" w:eastAsia="zh-CN"/>
        </w:rPr>
        <w:t>成交</w:t>
      </w:r>
      <w:r>
        <w:rPr>
          <w:b w:val="0"/>
          <w:bCs/>
          <w:color w:val="auto"/>
          <w:sz w:val="22"/>
          <w:szCs w:val="22"/>
          <w:highlight w:val="none"/>
        </w:rPr>
        <w:t>人。</w:t>
      </w:r>
      <w:r>
        <w:rPr>
          <w:rFonts w:hint="eastAsia" w:cs="Times New Roman"/>
          <w:b w:val="0"/>
          <w:bCs/>
          <w:color w:val="auto"/>
          <w:sz w:val="22"/>
          <w:szCs w:val="22"/>
          <w:highlight w:val="none"/>
          <w:lang w:val="en-US" w:eastAsia="zh-CN"/>
        </w:rPr>
        <w:t>成交</w:t>
      </w:r>
      <w:r>
        <w:rPr>
          <w:b w:val="0"/>
          <w:bCs/>
          <w:color w:val="auto"/>
          <w:sz w:val="22"/>
          <w:szCs w:val="22"/>
          <w:highlight w:val="none"/>
        </w:rPr>
        <w:t>候选人并列的，由采购人或者采购人委托</w:t>
      </w:r>
      <w:r>
        <w:rPr>
          <w:rFonts w:hint="eastAsia"/>
          <w:b w:val="0"/>
          <w:bCs/>
          <w:color w:val="auto"/>
          <w:sz w:val="22"/>
          <w:szCs w:val="22"/>
          <w:highlight w:val="none"/>
          <w:lang w:val="en-US" w:eastAsia="zh-CN"/>
        </w:rPr>
        <w:t>磋商小组</w:t>
      </w:r>
      <w:r>
        <w:rPr>
          <w:b w:val="0"/>
          <w:bCs/>
          <w:color w:val="auto"/>
          <w:sz w:val="22"/>
          <w:szCs w:val="22"/>
          <w:highlight w:val="none"/>
        </w:rPr>
        <w:t>按照现场抽签方式确定</w:t>
      </w:r>
      <w:r>
        <w:rPr>
          <w:rFonts w:hint="eastAsia" w:cs="Times New Roman"/>
          <w:b w:val="0"/>
          <w:bCs/>
          <w:color w:val="auto"/>
          <w:sz w:val="22"/>
          <w:szCs w:val="22"/>
          <w:highlight w:val="none"/>
          <w:lang w:val="en-US" w:eastAsia="zh-CN"/>
        </w:rPr>
        <w:t>成交</w:t>
      </w:r>
      <w:r>
        <w:rPr>
          <w:b w:val="0"/>
          <w:bCs/>
          <w:color w:val="auto"/>
          <w:sz w:val="22"/>
          <w:szCs w:val="22"/>
          <w:highlight w:val="none"/>
        </w:rPr>
        <w:t>人。</w:t>
      </w:r>
    </w:p>
    <w:p w14:paraId="41939014">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2" w:firstLineChars="200"/>
        <w:textAlignment w:val="auto"/>
        <w:rPr>
          <w:b/>
          <w:color w:val="auto"/>
          <w:sz w:val="24"/>
          <w:highlight w:val="none"/>
          <w:lang w:val="zh-CN"/>
        </w:rPr>
      </w:pPr>
      <w:r>
        <w:rPr>
          <w:rFonts w:hint="eastAsia"/>
          <w:b/>
          <w:color w:val="auto"/>
          <w:sz w:val="24"/>
          <w:highlight w:val="none"/>
          <w:lang w:val="en-US" w:eastAsia="zh-CN"/>
        </w:rPr>
        <w:t>九、</w:t>
      </w:r>
      <w:r>
        <w:rPr>
          <w:b/>
          <w:color w:val="auto"/>
          <w:sz w:val="24"/>
          <w:highlight w:val="none"/>
          <w:lang w:val="zh-CN"/>
        </w:rPr>
        <w:t>成交通知</w:t>
      </w:r>
    </w:p>
    <w:p w14:paraId="3B8C373C">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color w:val="auto"/>
          <w:sz w:val="22"/>
          <w:szCs w:val="22"/>
          <w:highlight w:val="none"/>
        </w:rPr>
      </w:pPr>
      <w:r>
        <w:rPr>
          <w:color w:val="auto"/>
          <w:sz w:val="22"/>
          <w:szCs w:val="22"/>
          <w:highlight w:val="none"/>
        </w:rPr>
        <w:t>成交结果在</w:t>
      </w:r>
      <w:r>
        <w:rPr>
          <w:rFonts w:hint="eastAsia"/>
          <w:color w:val="auto"/>
          <w:sz w:val="22"/>
          <w:szCs w:val="22"/>
          <w:highlight w:val="none"/>
        </w:rPr>
        <w:t>南通市公共资源交易网、</w:t>
      </w:r>
      <w:r>
        <w:rPr>
          <w:rFonts w:hint="eastAsia"/>
          <w:color w:val="auto"/>
          <w:sz w:val="22"/>
          <w:szCs w:val="22"/>
          <w:highlight w:val="none"/>
          <w:lang w:val="en-US" w:eastAsia="zh-CN"/>
        </w:rPr>
        <w:t>南通网</w:t>
      </w:r>
      <w:r>
        <w:rPr>
          <w:color w:val="auto"/>
          <w:sz w:val="22"/>
          <w:szCs w:val="22"/>
          <w:highlight w:val="none"/>
        </w:rPr>
        <w:t>公告，公告期限为1个工作日。《成交通知书》一经发出，采购人改变成交结果，或者成交供应商放弃成交的，各自承担相应的法律责任。《成交通知书》是采购合同的组成部分。</w:t>
      </w:r>
    </w:p>
    <w:p w14:paraId="52A53F1D">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82" w:firstLineChars="20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十、</w:t>
      </w:r>
      <w:r>
        <w:rPr>
          <w:rFonts w:ascii="Times New Roman" w:hAnsi="Times New Roman" w:eastAsia="宋体" w:cs="Times New Roman"/>
          <w:b/>
          <w:color w:val="auto"/>
          <w:sz w:val="24"/>
          <w:highlight w:val="none"/>
          <w:lang w:val="zh-CN"/>
        </w:rPr>
        <w:t>发放</w:t>
      </w:r>
      <w:r>
        <w:rPr>
          <w:rFonts w:hint="eastAsia" w:ascii="Times New Roman" w:hAnsi="Times New Roman" w:eastAsia="宋体" w:cs="Times New Roman"/>
          <w:b/>
          <w:color w:val="auto"/>
          <w:sz w:val="24"/>
          <w:highlight w:val="none"/>
          <w:lang w:val="zh-CN"/>
        </w:rPr>
        <w:t>成交</w:t>
      </w:r>
      <w:r>
        <w:rPr>
          <w:rFonts w:ascii="Times New Roman" w:hAnsi="Times New Roman" w:eastAsia="宋体" w:cs="Times New Roman"/>
          <w:b/>
          <w:color w:val="auto"/>
          <w:sz w:val="24"/>
          <w:highlight w:val="none"/>
          <w:lang w:val="zh-CN"/>
        </w:rPr>
        <w:t>通知书</w:t>
      </w:r>
    </w:p>
    <w:p w14:paraId="0D267BD3">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40" w:firstLineChars="200"/>
        <w:textAlignment w:val="auto"/>
        <w:rPr>
          <w:rFonts w:hint="eastAsia" w:ascii="Times New Roman" w:hAnsi="Times New Roman" w:eastAsia="宋体" w:cs="Times New Roman"/>
          <w:b w:val="0"/>
          <w:bCs/>
          <w:color w:val="auto"/>
          <w:sz w:val="22"/>
          <w:szCs w:val="22"/>
          <w:highlight w:val="none"/>
          <w:lang w:val="en-US" w:eastAsia="zh-CN"/>
        </w:rPr>
      </w:pPr>
      <w:r>
        <w:rPr>
          <w:rFonts w:hint="eastAsia" w:ascii="Times New Roman" w:hAnsi="Times New Roman" w:eastAsia="宋体" w:cs="Times New Roman"/>
          <w:b w:val="0"/>
          <w:bCs/>
          <w:color w:val="auto"/>
          <w:sz w:val="22"/>
          <w:szCs w:val="22"/>
          <w:highlight w:val="none"/>
          <w:lang w:val="en-US" w:eastAsia="zh-CN"/>
        </w:rPr>
        <w:t>成交通知书发放条件和途径：发布</w:t>
      </w: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结果公告的同时，采购人或者采购代理机构应当向</w:t>
      </w: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人发放</w:t>
      </w: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通知书。领取地址：</w:t>
      </w:r>
      <w:r>
        <w:rPr>
          <w:rFonts w:hint="eastAsia" w:ascii="Times New Roman" w:hAnsi="Times New Roman" w:eastAsia="宋体" w:cs="Times New Roman"/>
          <w:b w:val="0"/>
          <w:bCs/>
          <w:color w:val="auto"/>
          <w:sz w:val="22"/>
          <w:szCs w:val="22"/>
          <w:highlight w:val="none"/>
          <w:u w:val="single"/>
          <w:lang w:val="en-US" w:eastAsia="zh-CN"/>
        </w:rPr>
        <w:t>南通市星城路299号创源科技园3号楼5楼501室</w:t>
      </w:r>
      <w:r>
        <w:rPr>
          <w:rFonts w:hint="eastAsia" w:ascii="Times New Roman" w:hAnsi="Times New Roman" w:eastAsia="宋体" w:cs="Times New Roman"/>
          <w:b w:val="0"/>
          <w:bCs/>
          <w:color w:val="auto"/>
          <w:sz w:val="22"/>
          <w:szCs w:val="22"/>
          <w:highlight w:val="none"/>
          <w:lang w:val="en-US" w:eastAsia="zh-CN"/>
        </w:rPr>
        <w:t xml:space="preserve"> ，电话：</w:t>
      </w:r>
      <w:r>
        <w:rPr>
          <w:rFonts w:hint="eastAsia" w:cs="Times New Roman"/>
          <w:b w:val="0"/>
          <w:bCs/>
          <w:color w:val="auto"/>
          <w:sz w:val="22"/>
          <w:szCs w:val="22"/>
          <w:highlight w:val="none"/>
          <w:u w:val="single"/>
          <w:lang w:val="en-US" w:eastAsia="zh-CN"/>
        </w:rPr>
        <w:t>18752932069</w:t>
      </w:r>
      <w:r>
        <w:rPr>
          <w:rFonts w:hint="eastAsia" w:ascii="Times New Roman" w:hAnsi="Times New Roman" w:eastAsia="宋体" w:cs="Times New Roman"/>
          <w:b w:val="0"/>
          <w:bCs/>
          <w:color w:val="auto"/>
          <w:sz w:val="22"/>
          <w:szCs w:val="22"/>
          <w:highlight w:val="none"/>
          <w:lang w:val="en-US" w:eastAsia="zh-CN"/>
        </w:rPr>
        <w:t>。</w:t>
      </w:r>
    </w:p>
    <w:p w14:paraId="1894D172">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40" w:firstLineChars="200"/>
        <w:textAlignment w:val="auto"/>
        <w:rPr>
          <w:rFonts w:hint="eastAsia" w:ascii="Times New Roman" w:hAnsi="Times New Roman" w:eastAsia="宋体" w:cs="Times New Roman"/>
          <w:b w:val="0"/>
          <w:bCs/>
          <w:color w:val="auto"/>
          <w:sz w:val="22"/>
          <w:szCs w:val="22"/>
          <w:highlight w:val="none"/>
          <w:lang w:val="en-US" w:eastAsia="zh-CN"/>
        </w:rPr>
      </w:pP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通知书发出后，采购人不得违法改变成交结果，</w:t>
      </w: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供应商无正当理由不得放弃</w:t>
      </w:r>
      <w:r>
        <w:rPr>
          <w:rFonts w:hint="eastAsia" w:cs="Times New Roman"/>
          <w:color w:val="auto"/>
          <w:sz w:val="22"/>
          <w:szCs w:val="22"/>
          <w:highlight w:val="none"/>
          <w:lang w:val="en-US" w:eastAsia="zh-CN"/>
        </w:rPr>
        <w:t>成交</w:t>
      </w:r>
      <w:r>
        <w:rPr>
          <w:rFonts w:hint="eastAsia" w:ascii="Times New Roman" w:hAnsi="Times New Roman" w:eastAsia="宋体" w:cs="Times New Roman"/>
          <w:b w:val="0"/>
          <w:bCs/>
          <w:color w:val="auto"/>
          <w:sz w:val="22"/>
          <w:szCs w:val="22"/>
          <w:highlight w:val="none"/>
          <w:lang w:val="en-US" w:eastAsia="zh-CN"/>
        </w:rPr>
        <w:t>。</w:t>
      </w:r>
    </w:p>
    <w:p w14:paraId="47C4C7A3">
      <w:pPr>
        <w:keepNext w:val="0"/>
        <w:keepLines w:val="0"/>
        <w:pageBreakBefore w:val="0"/>
        <w:widowControl w:val="0"/>
        <w:kinsoku/>
        <w:wordWrap/>
        <w:overflowPunct/>
        <w:topLinePunct w:val="0"/>
        <w:bidi w:val="0"/>
        <w:snapToGrid w:val="0"/>
        <w:spacing w:line="480" w:lineRule="exact"/>
        <w:ind w:left="0" w:right="0" w:firstLine="482" w:firstLineChars="200"/>
        <w:textAlignment w:val="auto"/>
        <w:rPr>
          <w:b/>
          <w:color w:val="auto"/>
          <w:sz w:val="24"/>
          <w:highlight w:val="none"/>
        </w:rPr>
      </w:pPr>
      <w:r>
        <w:rPr>
          <w:rFonts w:hint="eastAsia"/>
          <w:b/>
          <w:color w:val="auto"/>
          <w:sz w:val="24"/>
          <w:highlight w:val="none"/>
          <w:lang w:val="en-US" w:eastAsia="zh-CN"/>
        </w:rPr>
        <w:t>十一</w:t>
      </w:r>
      <w:r>
        <w:rPr>
          <w:b/>
          <w:color w:val="auto"/>
          <w:sz w:val="24"/>
          <w:highlight w:val="none"/>
        </w:rPr>
        <w:t>、其他注意事项</w:t>
      </w:r>
    </w:p>
    <w:p w14:paraId="388CA5F5">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color w:val="auto"/>
          <w:sz w:val="22"/>
          <w:szCs w:val="22"/>
          <w:highlight w:val="none"/>
        </w:rPr>
      </w:pPr>
      <w:r>
        <w:rPr>
          <w:color w:val="auto"/>
          <w:sz w:val="22"/>
          <w:szCs w:val="22"/>
          <w:highlight w:val="none"/>
        </w:rPr>
        <w:t>1、在</w:t>
      </w:r>
      <w:r>
        <w:rPr>
          <w:rFonts w:hint="eastAsia"/>
          <w:color w:val="auto"/>
          <w:sz w:val="22"/>
          <w:szCs w:val="22"/>
          <w:highlight w:val="none"/>
          <w:lang w:val="en-US" w:eastAsia="zh-CN"/>
        </w:rPr>
        <w:t>采购活动过程中</w:t>
      </w:r>
      <w:r>
        <w:rPr>
          <w:color w:val="auto"/>
          <w:sz w:val="22"/>
          <w:szCs w:val="22"/>
          <w:highlight w:val="none"/>
        </w:rPr>
        <w:t>，</w:t>
      </w:r>
      <w:r>
        <w:rPr>
          <w:rFonts w:hint="eastAsia"/>
          <w:color w:val="auto"/>
          <w:sz w:val="22"/>
          <w:szCs w:val="22"/>
          <w:highlight w:val="none"/>
          <w:lang w:val="en-US" w:eastAsia="zh-CN"/>
        </w:rPr>
        <w:t>供应商</w:t>
      </w:r>
      <w:r>
        <w:rPr>
          <w:color w:val="auto"/>
          <w:sz w:val="22"/>
          <w:szCs w:val="22"/>
          <w:highlight w:val="none"/>
        </w:rPr>
        <w:t>不得向</w:t>
      </w:r>
      <w:r>
        <w:rPr>
          <w:rFonts w:hint="eastAsia"/>
          <w:bCs/>
          <w:color w:val="auto"/>
          <w:sz w:val="22"/>
          <w:szCs w:val="22"/>
          <w:highlight w:val="none"/>
        </w:rPr>
        <w:t>磋商小组</w:t>
      </w:r>
      <w:r>
        <w:rPr>
          <w:color w:val="auto"/>
          <w:sz w:val="22"/>
          <w:szCs w:val="22"/>
          <w:highlight w:val="none"/>
        </w:rPr>
        <w:t>询问情况，不得进行旨在影响</w:t>
      </w:r>
      <w:r>
        <w:rPr>
          <w:rFonts w:hint="eastAsia"/>
          <w:color w:val="auto"/>
          <w:sz w:val="22"/>
          <w:szCs w:val="22"/>
          <w:highlight w:val="none"/>
          <w:lang w:val="en-US" w:eastAsia="zh-CN"/>
        </w:rPr>
        <w:t>评审</w:t>
      </w:r>
      <w:r>
        <w:rPr>
          <w:color w:val="auto"/>
          <w:sz w:val="22"/>
          <w:szCs w:val="22"/>
          <w:highlight w:val="none"/>
        </w:rPr>
        <w:t>结果的活动。</w:t>
      </w:r>
    </w:p>
    <w:p w14:paraId="08AD6E5C">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color w:val="auto"/>
          <w:sz w:val="22"/>
          <w:szCs w:val="22"/>
          <w:highlight w:val="none"/>
        </w:rPr>
      </w:pPr>
      <w:r>
        <w:rPr>
          <w:color w:val="auto"/>
          <w:sz w:val="22"/>
          <w:szCs w:val="22"/>
          <w:highlight w:val="none"/>
        </w:rPr>
        <w:t>2、</w:t>
      </w:r>
      <w:r>
        <w:rPr>
          <w:rFonts w:hint="eastAsia"/>
          <w:bCs/>
          <w:color w:val="auto"/>
          <w:sz w:val="22"/>
          <w:szCs w:val="22"/>
          <w:highlight w:val="none"/>
        </w:rPr>
        <w:t>磋商小组</w:t>
      </w:r>
      <w:r>
        <w:rPr>
          <w:color w:val="auto"/>
          <w:sz w:val="22"/>
          <w:szCs w:val="22"/>
          <w:highlight w:val="none"/>
        </w:rPr>
        <w:t>不得向</w:t>
      </w:r>
      <w:r>
        <w:rPr>
          <w:rFonts w:hint="eastAsia"/>
          <w:color w:val="auto"/>
          <w:sz w:val="22"/>
          <w:szCs w:val="22"/>
          <w:highlight w:val="none"/>
          <w:lang w:val="en-US" w:eastAsia="zh-CN"/>
        </w:rPr>
        <w:t>供应商</w:t>
      </w:r>
      <w:r>
        <w:rPr>
          <w:color w:val="auto"/>
          <w:sz w:val="22"/>
          <w:szCs w:val="22"/>
          <w:highlight w:val="none"/>
        </w:rPr>
        <w:t>解释落标原因。</w:t>
      </w:r>
    </w:p>
    <w:p w14:paraId="62E043D0">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color w:val="auto"/>
          <w:sz w:val="22"/>
          <w:szCs w:val="22"/>
          <w:highlight w:val="none"/>
        </w:rPr>
      </w:pPr>
      <w:r>
        <w:rPr>
          <w:color w:val="auto"/>
          <w:sz w:val="22"/>
          <w:szCs w:val="22"/>
          <w:highlight w:val="none"/>
        </w:rPr>
        <w:t>3、在</w:t>
      </w:r>
      <w:r>
        <w:rPr>
          <w:rFonts w:hint="eastAsia"/>
          <w:color w:val="auto"/>
          <w:sz w:val="22"/>
          <w:szCs w:val="22"/>
          <w:highlight w:val="none"/>
          <w:lang w:val="en-US" w:eastAsia="zh-CN"/>
        </w:rPr>
        <w:t>采购活动</w:t>
      </w:r>
      <w:r>
        <w:rPr>
          <w:color w:val="auto"/>
          <w:sz w:val="22"/>
          <w:szCs w:val="22"/>
          <w:highlight w:val="none"/>
        </w:rPr>
        <w:t>过程中，如果</w:t>
      </w:r>
      <w:r>
        <w:rPr>
          <w:rFonts w:hint="eastAsia"/>
          <w:color w:val="auto"/>
          <w:sz w:val="22"/>
          <w:szCs w:val="22"/>
          <w:highlight w:val="none"/>
          <w:lang w:val="en-US" w:eastAsia="zh-CN"/>
        </w:rPr>
        <w:t>供应商</w:t>
      </w:r>
      <w:r>
        <w:rPr>
          <w:color w:val="auto"/>
          <w:sz w:val="22"/>
          <w:szCs w:val="22"/>
          <w:highlight w:val="none"/>
        </w:rPr>
        <w:t>联合故意抬高报价或出现其他不正当行为，采购人有权中止</w:t>
      </w:r>
      <w:r>
        <w:rPr>
          <w:rFonts w:hint="eastAsia"/>
          <w:color w:val="auto"/>
          <w:sz w:val="22"/>
          <w:szCs w:val="22"/>
          <w:highlight w:val="none"/>
          <w:lang w:val="en-US" w:eastAsia="zh-CN"/>
        </w:rPr>
        <w:t>采购活动</w:t>
      </w:r>
      <w:r>
        <w:rPr>
          <w:color w:val="auto"/>
          <w:sz w:val="22"/>
          <w:szCs w:val="22"/>
          <w:highlight w:val="none"/>
        </w:rPr>
        <w:t>。</w:t>
      </w:r>
    </w:p>
    <w:p w14:paraId="6D16AF2C">
      <w:pPr>
        <w:keepNext w:val="0"/>
        <w:keepLines w:val="0"/>
        <w:pageBreakBefore w:val="0"/>
        <w:widowControl w:val="0"/>
        <w:kinsoku/>
        <w:wordWrap/>
        <w:overflowPunct/>
        <w:topLinePunct w:val="0"/>
        <w:bidi w:val="0"/>
        <w:snapToGrid w:val="0"/>
        <w:spacing w:line="480" w:lineRule="exact"/>
        <w:ind w:left="0" w:right="0" w:firstLine="440" w:firstLineChars="200"/>
        <w:textAlignment w:val="auto"/>
        <w:rPr>
          <w:color w:val="auto"/>
          <w:sz w:val="22"/>
          <w:szCs w:val="22"/>
          <w:highlight w:val="none"/>
        </w:rPr>
      </w:pPr>
      <w:r>
        <w:rPr>
          <w:color w:val="auto"/>
          <w:sz w:val="22"/>
          <w:szCs w:val="22"/>
          <w:highlight w:val="none"/>
        </w:rPr>
        <w:t>4、凡在</w:t>
      </w:r>
      <w:r>
        <w:rPr>
          <w:rFonts w:hint="eastAsia"/>
          <w:color w:val="auto"/>
          <w:sz w:val="22"/>
          <w:szCs w:val="22"/>
          <w:highlight w:val="none"/>
          <w:lang w:val="en-US" w:eastAsia="zh-CN"/>
        </w:rPr>
        <w:t>采购活动</w:t>
      </w:r>
      <w:r>
        <w:rPr>
          <w:color w:val="auto"/>
          <w:sz w:val="22"/>
          <w:szCs w:val="22"/>
          <w:highlight w:val="none"/>
        </w:rPr>
        <w:t>过程中，已提示是否异议的事项，</w:t>
      </w:r>
      <w:r>
        <w:rPr>
          <w:rFonts w:hint="eastAsia"/>
          <w:color w:val="auto"/>
          <w:sz w:val="22"/>
          <w:szCs w:val="22"/>
          <w:highlight w:val="none"/>
          <w:lang w:val="en-US" w:eastAsia="zh-CN"/>
        </w:rPr>
        <w:t>供应商</w:t>
      </w:r>
      <w:r>
        <w:rPr>
          <w:color w:val="auto"/>
          <w:sz w:val="22"/>
          <w:szCs w:val="22"/>
          <w:highlight w:val="none"/>
        </w:rPr>
        <w:t>当时没有提出异议的，事后不得针对上述事项</w:t>
      </w:r>
      <w:r>
        <w:rPr>
          <w:rFonts w:hint="eastAsia"/>
          <w:color w:val="auto"/>
          <w:sz w:val="22"/>
          <w:szCs w:val="22"/>
          <w:highlight w:val="none"/>
          <w:lang w:eastAsia="zh-CN"/>
        </w:rPr>
        <w:t>质疑</w:t>
      </w:r>
      <w:r>
        <w:rPr>
          <w:color w:val="auto"/>
          <w:sz w:val="22"/>
          <w:szCs w:val="22"/>
          <w:highlight w:val="none"/>
        </w:rPr>
        <w:t>。</w:t>
      </w:r>
    </w:p>
    <w:p w14:paraId="437A3C19">
      <w:pPr>
        <w:autoSpaceDE w:val="0"/>
        <w:autoSpaceDN w:val="0"/>
        <w:adjustRightInd w:val="0"/>
        <w:snapToGrid w:val="0"/>
        <w:spacing w:line="480" w:lineRule="exact"/>
        <w:ind w:left="-178" w:right="210" w:firstLine="636"/>
        <w:jc w:val="center"/>
        <w:outlineLvl w:val="0"/>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14:paraId="07ECFF82">
      <w:pPr>
        <w:keepNext w:val="0"/>
        <w:keepLines w:val="0"/>
        <w:pageBreakBefore w:val="0"/>
        <w:widowControl w:val="0"/>
        <w:wordWrap/>
        <w:overflowPunct/>
        <w:bidi w:val="0"/>
        <w:adjustRightInd/>
        <w:snapToGrid w:val="0"/>
        <w:spacing w:line="480" w:lineRule="exact"/>
        <w:ind w:right="0" w:firstLine="440" w:firstLineChars="200"/>
        <w:textAlignment w:val="auto"/>
        <w:rPr>
          <w:color w:val="auto"/>
          <w:sz w:val="22"/>
          <w:szCs w:val="22"/>
          <w:highlight w:val="none"/>
          <w:lang w:val="zh-CN"/>
        </w:rPr>
      </w:pPr>
      <w:r>
        <w:rPr>
          <w:color w:val="auto"/>
          <w:sz w:val="22"/>
          <w:szCs w:val="22"/>
          <w:highlight w:val="none"/>
          <w:lang w:val="zh-CN"/>
        </w:rPr>
        <w:t>一、成交供应商和采购单位</w:t>
      </w:r>
      <w:r>
        <w:rPr>
          <w:rFonts w:hint="eastAsia" w:ascii="宋体" w:hAnsi="宋体"/>
          <w:color w:val="auto"/>
          <w:sz w:val="22"/>
          <w:szCs w:val="22"/>
          <w:highlight w:val="none"/>
        </w:rPr>
        <w:t>需在</w:t>
      </w:r>
      <w:r>
        <w:rPr>
          <w:color w:val="auto"/>
          <w:sz w:val="22"/>
          <w:szCs w:val="22"/>
          <w:highlight w:val="none"/>
          <w:lang w:val="zh-CN"/>
        </w:rPr>
        <w:t>《成交通知书》</w:t>
      </w:r>
      <w:r>
        <w:rPr>
          <w:rFonts w:hint="eastAsia"/>
          <w:color w:val="auto"/>
          <w:sz w:val="22"/>
          <w:szCs w:val="22"/>
          <w:highlight w:val="none"/>
        </w:rPr>
        <w:t>发出之日起</w:t>
      </w:r>
      <w:r>
        <w:rPr>
          <w:rFonts w:hint="eastAsia"/>
          <w:color w:val="auto"/>
          <w:sz w:val="22"/>
          <w:szCs w:val="22"/>
          <w:highlight w:val="none"/>
          <w:lang w:val="en-US" w:eastAsia="zh-CN"/>
        </w:rPr>
        <w:t>10</w:t>
      </w:r>
      <w:r>
        <w:rPr>
          <w:rFonts w:hint="eastAsia"/>
          <w:color w:val="auto"/>
          <w:sz w:val="22"/>
          <w:szCs w:val="22"/>
          <w:highlight w:val="none"/>
        </w:rPr>
        <w:t>日内</w:t>
      </w:r>
      <w:r>
        <w:rPr>
          <w:rFonts w:hint="eastAsia" w:ascii="宋体" w:hAnsi="宋体"/>
          <w:color w:val="auto"/>
          <w:sz w:val="22"/>
          <w:szCs w:val="22"/>
          <w:highlight w:val="none"/>
        </w:rPr>
        <w:t>签订合同</w:t>
      </w:r>
      <w:r>
        <w:rPr>
          <w:color w:val="auto"/>
          <w:sz w:val="22"/>
          <w:szCs w:val="22"/>
          <w:highlight w:val="none"/>
          <w:lang w:val="zh-CN"/>
        </w:rPr>
        <w:t>。合同签订后成交供应商方可履约，否则引起的一切后果由成交人自行承</w:t>
      </w:r>
      <w:r>
        <w:rPr>
          <w:color w:val="auto"/>
          <w:sz w:val="22"/>
          <w:szCs w:val="22"/>
          <w:highlight w:val="none"/>
        </w:rPr>
        <w:t>担。纸质合同</w:t>
      </w:r>
      <w:r>
        <w:rPr>
          <w:rFonts w:hint="eastAsia"/>
          <w:color w:val="auto"/>
          <w:sz w:val="22"/>
          <w:szCs w:val="22"/>
          <w:highlight w:val="none"/>
          <w:lang w:eastAsia="zh-CN"/>
        </w:rPr>
        <w:t>一式四份</w:t>
      </w:r>
      <w:r>
        <w:rPr>
          <w:color w:val="auto"/>
          <w:sz w:val="22"/>
          <w:szCs w:val="22"/>
          <w:highlight w:val="none"/>
        </w:rPr>
        <w:t>，采购人、供应商各两份</w:t>
      </w:r>
      <w:r>
        <w:rPr>
          <w:rFonts w:hint="eastAsia"/>
          <w:color w:val="auto"/>
          <w:sz w:val="22"/>
          <w:szCs w:val="22"/>
          <w:highlight w:val="none"/>
        </w:rPr>
        <w:t>。</w:t>
      </w:r>
      <w:r>
        <w:rPr>
          <w:color w:val="auto"/>
          <w:sz w:val="22"/>
          <w:szCs w:val="22"/>
          <w:highlight w:val="none"/>
          <w:lang w:val="zh-CN"/>
        </w:rPr>
        <w:t>采购单位不得向成交供应商提出不合理的要求作为签订合同的条件，不得与成交供应商私下订立背离采购文件实质性内容的协议。</w:t>
      </w:r>
    </w:p>
    <w:p w14:paraId="784F10F6">
      <w:pPr>
        <w:keepNext w:val="0"/>
        <w:keepLines w:val="0"/>
        <w:pageBreakBefore w:val="0"/>
        <w:widowControl w:val="0"/>
        <w:wordWrap/>
        <w:overflowPunct/>
        <w:bidi w:val="0"/>
        <w:adjustRightInd/>
        <w:snapToGrid w:val="0"/>
        <w:spacing w:line="480" w:lineRule="exact"/>
        <w:ind w:right="0" w:firstLine="442" w:firstLineChars="200"/>
        <w:textAlignment w:val="auto"/>
        <w:rPr>
          <w:color w:val="auto"/>
          <w:sz w:val="22"/>
          <w:szCs w:val="22"/>
          <w:highlight w:val="none"/>
        </w:rPr>
      </w:pPr>
      <w:r>
        <w:rPr>
          <w:b/>
          <w:color w:val="auto"/>
          <w:sz w:val="22"/>
          <w:szCs w:val="22"/>
          <w:highlight w:val="none"/>
        </w:rPr>
        <w:t>二</w:t>
      </w:r>
      <w:r>
        <w:rPr>
          <w:color w:val="auto"/>
          <w:sz w:val="22"/>
          <w:szCs w:val="22"/>
          <w:highlight w:val="none"/>
        </w:rPr>
        <w:t>、采购人按合同约定积极配合成交供应商履约，成交供应商履约</w:t>
      </w:r>
      <w:r>
        <w:rPr>
          <w:rFonts w:hint="eastAsia"/>
          <w:color w:val="auto"/>
          <w:sz w:val="22"/>
          <w:szCs w:val="22"/>
          <w:highlight w:val="none"/>
          <w:lang w:eastAsia="zh-CN"/>
        </w:rPr>
        <w:t>一个月</w:t>
      </w:r>
      <w:r>
        <w:rPr>
          <w:color w:val="auto"/>
          <w:sz w:val="22"/>
          <w:szCs w:val="22"/>
          <w:highlight w:val="none"/>
        </w:rPr>
        <w:t>后，请以书面形式向采购单位提出验收申请，采购人接到申请后及时组织相关专业技术人员，必要时邀请采购人、质检等部门共同参与验收，并出具验收报告，验收合格的支付相应款项。</w:t>
      </w:r>
    </w:p>
    <w:p w14:paraId="2F6C6CDB">
      <w:pPr>
        <w:keepNext w:val="0"/>
        <w:keepLines w:val="0"/>
        <w:pageBreakBefore w:val="0"/>
        <w:widowControl w:val="0"/>
        <w:wordWrap/>
        <w:overflowPunct/>
        <w:bidi w:val="0"/>
        <w:adjustRightInd/>
        <w:snapToGrid w:val="0"/>
        <w:spacing w:line="480" w:lineRule="exact"/>
        <w:ind w:right="0" w:firstLine="440" w:firstLineChars="200"/>
        <w:contextualSpacing/>
        <w:textAlignment w:val="auto"/>
        <w:rPr>
          <w:color w:val="auto"/>
          <w:sz w:val="22"/>
          <w:szCs w:val="22"/>
          <w:highlight w:val="none"/>
        </w:rPr>
      </w:pPr>
      <w:r>
        <w:rPr>
          <w:color w:val="auto"/>
          <w:sz w:val="22"/>
          <w:szCs w:val="22"/>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DBCD2D2">
      <w:pPr>
        <w:keepNext w:val="0"/>
        <w:keepLines w:val="0"/>
        <w:pageBreakBefore w:val="0"/>
        <w:widowControl w:val="0"/>
        <w:wordWrap/>
        <w:overflowPunct/>
        <w:bidi w:val="0"/>
        <w:adjustRightInd/>
        <w:snapToGrid w:val="0"/>
        <w:spacing w:line="480" w:lineRule="exact"/>
        <w:ind w:right="0" w:firstLine="440" w:firstLineChars="200"/>
        <w:contextualSpacing/>
        <w:textAlignment w:val="auto"/>
        <w:rPr>
          <w:color w:val="auto"/>
          <w:sz w:val="22"/>
          <w:szCs w:val="22"/>
          <w:highlight w:val="none"/>
        </w:rPr>
      </w:pPr>
      <w:r>
        <w:rPr>
          <w:color w:val="auto"/>
          <w:sz w:val="22"/>
          <w:szCs w:val="22"/>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52AB10C8">
      <w:pPr>
        <w:pStyle w:val="2"/>
        <w:keepNext w:val="0"/>
        <w:keepLines w:val="0"/>
        <w:pageBreakBefore w:val="0"/>
        <w:widowControl w:val="0"/>
        <w:kinsoku w:val="0"/>
        <w:wordWrap/>
        <w:overflowPunct/>
        <w:topLinePunct/>
        <w:autoSpaceDE w:val="0"/>
        <w:autoSpaceDN w:val="0"/>
        <w:bidi w:val="0"/>
        <w:adjustRightInd/>
        <w:snapToGrid w:val="0"/>
        <w:spacing w:line="480" w:lineRule="exact"/>
        <w:ind w:right="0" w:firstLine="470" w:firstLineChars="214"/>
        <w:contextualSpacing/>
        <w:textAlignment w:val="auto"/>
        <w:rPr>
          <w:b/>
          <w:color w:val="auto"/>
          <w:sz w:val="22"/>
          <w:szCs w:val="22"/>
          <w:highlight w:val="none"/>
        </w:rPr>
      </w:pPr>
      <w:r>
        <w:rPr>
          <w:color w:val="auto"/>
          <w:sz w:val="22"/>
          <w:szCs w:val="22"/>
          <w:highlight w:val="none"/>
          <w:lang w:val="zh-CN"/>
        </w:rPr>
        <w:t>五、</w:t>
      </w:r>
      <w:r>
        <w:rPr>
          <w:b/>
          <w:color w:val="auto"/>
          <w:sz w:val="22"/>
          <w:szCs w:val="22"/>
          <w:highlight w:val="none"/>
        </w:rPr>
        <w:t>不响应付款方式的，视同响应文件无效处理。</w:t>
      </w:r>
      <w:r>
        <w:rPr>
          <w:rFonts w:hint="eastAsia"/>
          <w:b/>
          <w:color w:val="auto"/>
          <w:sz w:val="22"/>
          <w:szCs w:val="18"/>
          <w:highlight w:val="none"/>
        </w:rPr>
        <w:t>实际付款方式以最终签订采购合同为准。</w:t>
      </w:r>
    </w:p>
    <w:p w14:paraId="2F496EAC">
      <w:pPr>
        <w:pStyle w:val="2"/>
        <w:keepNext w:val="0"/>
        <w:keepLines w:val="0"/>
        <w:pageBreakBefore w:val="0"/>
        <w:widowControl w:val="0"/>
        <w:kinsoku w:val="0"/>
        <w:wordWrap/>
        <w:overflowPunct/>
        <w:topLinePunct/>
        <w:autoSpaceDE w:val="0"/>
        <w:autoSpaceDN w:val="0"/>
        <w:bidi w:val="0"/>
        <w:adjustRightInd/>
        <w:snapToGrid w:val="0"/>
        <w:spacing w:line="480" w:lineRule="exact"/>
        <w:ind w:right="0" w:firstLine="440" w:firstLineChars="200"/>
        <w:contextualSpacing/>
        <w:textAlignment w:val="auto"/>
        <w:rPr>
          <w:color w:val="auto"/>
          <w:sz w:val="22"/>
          <w:szCs w:val="22"/>
          <w:highlight w:val="none"/>
          <w:lang w:val="zh-CN"/>
        </w:rPr>
      </w:pPr>
      <w:r>
        <w:rPr>
          <w:color w:val="auto"/>
          <w:sz w:val="22"/>
          <w:szCs w:val="22"/>
          <w:highlight w:val="none"/>
        </w:rPr>
        <w:t>款项由采购人按相关财务支付规定办理支付手续。不得故意拖延支付时间。</w:t>
      </w:r>
    </w:p>
    <w:p w14:paraId="3E36FDB2">
      <w:pPr>
        <w:pStyle w:val="2"/>
        <w:keepNext w:val="0"/>
        <w:keepLines w:val="0"/>
        <w:pageBreakBefore w:val="0"/>
        <w:widowControl w:val="0"/>
        <w:kinsoku w:val="0"/>
        <w:wordWrap/>
        <w:overflowPunct/>
        <w:topLinePunct/>
        <w:autoSpaceDE w:val="0"/>
        <w:autoSpaceDN w:val="0"/>
        <w:bidi w:val="0"/>
        <w:adjustRightInd/>
        <w:snapToGrid w:val="0"/>
        <w:spacing w:line="480" w:lineRule="exact"/>
        <w:ind w:right="0" w:firstLine="470" w:firstLineChars="214"/>
        <w:contextualSpacing/>
        <w:textAlignment w:val="auto"/>
        <w:rPr>
          <w:color w:val="auto"/>
          <w:sz w:val="22"/>
          <w:szCs w:val="22"/>
          <w:highlight w:val="none"/>
        </w:rPr>
      </w:pPr>
      <w:r>
        <w:rPr>
          <w:rFonts w:hint="eastAsia"/>
          <w:color w:val="auto"/>
          <w:sz w:val="22"/>
          <w:szCs w:val="22"/>
          <w:highlight w:val="none"/>
        </w:rPr>
        <w:t>六、合同主要条款</w:t>
      </w:r>
    </w:p>
    <w:p w14:paraId="0EF31148">
      <w:pPr>
        <w:pStyle w:val="2"/>
        <w:keepNext w:val="0"/>
        <w:keepLines w:val="0"/>
        <w:pageBreakBefore w:val="0"/>
        <w:widowControl w:val="0"/>
        <w:kinsoku w:val="0"/>
        <w:wordWrap/>
        <w:overflowPunct/>
        <w:topLinePunct/>
        <w:autoSpaceDE w:val="0"/>
        <w:autoSpaceDN w:val="0"/>
        <w:bidi w:val="0"/>
        <w:adjustRightInd/>
        <w:snapToGrid w:val="0"/>
        <w:spacing w:line="480" w:lineRule="exact"/>
        <w:ind w:right="0" w:firstLine="473" w:firstLineChars="214"/>
        <w:contextualSpacing/>
        <w:textAlignment w:val="auto"/>
        <w:rPr>
          <w:rFonts w:hint="default"/>
          <w:b/>
          <w:bCs/>
          <w:color w:val="auto"/>
          <w:sz w:val="22"/>
          <w:szCs w:val="22"/>
          <w:highlight w:val="none"/>
          <w:lang w:val="en-US" w:eastAsia="zh-CN"/>
        </w:rPr>
      </w:pPr>
      <w:r>
        <w:rPr>
          <w:rFonts w:hint="eastAsia"/>
          <w:b/>
          <w:bCs/>
          <w:color w:val="auto"/>
          <w:sz w:val="22"/>
          <w:szCs w:val="22"/>
          <w:highlight w:val="none"/>
          <w:lang w:val="en-US" w:eastAsia="zh-CN"/>
        </w:rPr>
        <w:t>具体以实际签订合同为准。</w:t>
      </w:r>
    </w:p>
    <w:p w14:paraId="79F2DBA3">
      <w:pPr>
        <w:spacing w:line="400" w:lineRule="exact"/>
        <w:jc w:val="center"/>
        <w:rPr>
          <w:rFonts w:ascii="宋体" w:hAnsi="Times New Roman"/>
          <w:b/>
          <w:bCs/>
          <w:color w:val="auto"/>
          <w:sz w:val="36"/>
          <w:szCs w:val="36"/>
          <w:highlight w:val="none"/>
        </w:rPr>
      </w:pPr>
      <w:r>
        <w:rPr>
          <w:b/>
          <w:bCs/>
          <w:color w:val="auto"/>
          <w:w w:val="80"/>
          <w:sz w:val="36"/>
          <w:szCs w:val="36"/>
          <w:highlight w:val="none"/>
        </w:rPr>
        <w:br w:type="page"/>
      </w:r>
    </w:p>
    <w:p w14:paraId="363EC8F6">
      <w:pPr>
        <w:tabs>
          <w:tab w:val="left" w:pos="1050"/>
          <w:tab w:val="right" w:leader="dot" w:pos="9402"/>
        </w:tabs>
        <w:spacing w:line="360" w:lineRule="auto"/>
        <w:jc w:val="center"/>
        <w:outlineLvl w:val="0"/>
        <w:rPr>
          <w:rFonts w:ascii="宋体"/>
          <w:b/>
          <w:bCs/>
          <w:color w:val="auto"/>
          <w:w w:val="80"/>
          <w:sz w:val="44"/>
          <w:szCs w:val="44"/>
          <w:highlight w:val="none"/>
        </w:rPr>
      </w:pPr>
      <w:r>
        <w:rPr>
          <w:rFonts w:hint="eastAsia" w:ascii="宋体" w:hAnsi="宋体" w:cs="宋体"/>
          <w:b/>
          <w:bCs/>
          <w:color w:val="auto"/>
          <w:w w:val="80"/>
          <w:sz w:val="44"/>
          <w:szCs w:val="44"/>
          <w:highlight w:val="none"/>
        </w:rPr>
        <w:t>合同书</w:t>
      </w:r>
    </w:p>
    <w:p w14:paraId="569B1DF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pacing w:val="46"/>
          <w:sz w:val="22"/>
          <w:szCs w:val="22"/>
          <w:highlight w:val="none"/>
        </w:rPr>
        <w:t>采购单</w:t>
      </w:r>
      <w:r>
        <w:rPr>
          <w:rFonts w:hint="eastAsia" w:ascii="宋体" w:hAnsi="宋体" w:eastAsia="宋体" w:cs="宋体"/>
          <w:color w:val="auto"/>
          <w:spacing w:val="2"/>
          <w:sz w:val="22"/>
          <w:szCs w:val="22"/>
          <w:highlight w:val="none"/>
        </w:rPr>
        <w:t>位</w:t>
      </w:r>
      <w:r>
        <w:rPr>
          <w:rFonts w:hint="eastAsia" w:ascii="宋体" w:hAnsi="宋体" w:eastAsia="宋体" w:cs="宋体"/>
          <w:color w:val="auto"/>
          <w:sz w:val="22"/>
          <w:szCs w:val="22"/>
          <w:highlight w:val="none"/>
        </w:rPr>
        <w:t>（或称甲方）：</w:t>
      </w:r>
      <w:r>
        <w:rPr>
          <w:rFonts w:hint="eastAsia" w:ascii="宋体" w:hAnsi="宋体" w:eastAsia="宋体" w:cs="宋体"/>
          <w:color w:val="auto"/>
          <w:sz w:val="22"/>
          <w:szCs w:val="22"/>
          <w:highlight w:val="none"/>
          <w:u w:val="single"/>
        </w:rPr>
        <w:t xml:space="preserve">                             </w:t>
      </w:r>
    </w:p>
    <w:p w14:paraId="4546FF79">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成交供应商（或称乙方）：</w:t>
      </w:r>
      <w:r>
        <w:rPr>
          <w:rFonts w:hint="eastAsia" w:ascii="宋体" w:hAnsi="宋体" w:eastAsia="宋体" w:cs="宋体"/>
          <w:color w:val="auto"/>
          <w:sz w:val="22"/>
          <w:szCs w:val="22"/>
          <w:highlight w:val="none"/>
          <w:u w:val="single"/>
        </w:rPr>
        <w:t xml:space="preserve">                             </w:t>
      </w:r>
    </w:p>
    <w:p w14:paraId="4A32F67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3C91BD27">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签订地点：</w:t>
      </w:r>
      <w:r>
        <w:rPr>
          <w:rFonts w:hint="eastAsia" w:ascii="宋体" w:hAnsi="宋体" w:eastAsia="宋体" w:cs="宋体"/>
          <w:color w:val="auto"/>
          <w:sz w:val="22"/>
          <w:szCs w:val="22"/>
          <w:highlight w:val="none"/>
          <w:u w:val="single"/>
        </w:rPr>
        <w:t xml:space="preserve">                                 </w:t>
      </w:r>
    </w:p>
    <w:p w14:paraId="098DC803">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根据《政府采购法》、《民法典》及（项目名称）</w:t>
      </w:r>
      <w:r>
        <w:rPr>
          <w:rFonts w:hint="eastAsia" w:ascii="宋体" w:hAnsi="宋体" w:eastAsia="宋体" w:cs="宋体"/>
          <w:color w:val="auto"/>
          <w:sz w:val="22"/>
          <w:szCs w:val="22"/>
          <w:highlight w:val="none"/>
          <w:u w:val="single"/>
        </w:rPr>
        <w:t xml:space="preserve">                 采购</w:t>
      </w:r>
      <w:r>
        <w:rPr>
          <w:rFonts w:hint="eastAsia" w:ascii="宋体" w:hAnsi="宋体" w:eastAsia="宋体" w:cs="宋体"/>
          <w:color w:val="auto"/>
          <w:sz w:val="22"/>
          <w:szCs w:val="22"/>
          <w:highlight w:val="none"/>
        </w:rPr>
        <w:t>项目(采购编号：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)的采购结果、磋商文件、成交通知书及成交供应商的响应文件，经双方协商一致，签订本合同。</w:t>
      </w:r>
    </w:p>
    <w:p w14:paraId="0B68F07C">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一、合同的标的物</w:t>
      </w:r>
    </w:p>
    <w:p w14:paraId="6EC6FC40">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1.1甲方向乙方采购标的物，具体的品种、规格要求详见项目需求。</w:t>
      </w:r>
    </w:p>
    <w:p w14:paraId="48E869E3">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 乙方对提供的标的物应当拥有完整的物权，并且负有保证第三人不得向甲方主张任何权利（包括知识产权）的义务。</w:t>
      </w:r>
    </w:p>
    <w:p w14:paraId="17402F40">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二、合同价格与支付</w:t>
      </w:r>
    </w:p>
    <w:p w14:paraId="700DF5C3">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2.1 合同价格按此次成交价格执行，合同总金额为人民币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包含所有软件开发、设备费、材料费、运输到指定地点的装运费用（含装卸力资）、安装及调试费、地基开挖、开洞修补、拆卸及恢复、相关辅助材料费、检验费、人员施工费、培训费用、售后服务、光缆敷设、系统集成，协调费用、规费、管理费、利润等间接费用、税费等相关费用，即招标项目工程交付使用前的所有费用以及交付时和交付使用后的免保期内的费用等，同时还包含为完成本项目所必须的其他辅助工作的相关费用及响应</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文件要求的所有费用，即项目履行到项目执行结束的过程中所发生的一切费用及磋商文件要求的所有费用。</w:t>
      </w:r>
      <w:r>
        <w:rPr>
          <w:rFonts w:hint="eastAsia" w:ascii="宋体" w:hAnsi="宋体" w:eastAsia="宋体" w:cs="宋体"/>
          <w:color w:val="auto"/>
          <w:sz w:val="22"/>
          <w:szCs w:val="22"/>
          <w:highlight w:val="none"/>
          <w:lang w:val="en-US" w:eastAsia="zh-CN"/>
        </w:rPr>
        <w:t>本合同为总价合同，结算时不调整任何费用。</w:t>
      </w:r>
    </w:p>
    <w:p w14:paraId="28ABF2B0">
      <w:pPr>
        <w:keepNext w:val="0"/>
        <w:keepLines w:val="0"/>
        <w:pageBreakBefore w:val="0"/>
        <w:kinsoku/>
        <w:wordWrap/>
        <w:overflowPunct/>
        <w:topLinePunct w:val="0"/>
        <w:autoSpaceDE/>
        <w:autoSpaceDN/>
        <w:bidi w:val="0"/>
        <w:snapToGrid w:val="0"/>
        <w:spacing w:line="48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2.2付款方式：</w:t>
      </w:r>
    </w:p>
    <w:p w14:paraId="7F2C6A1B">
      <w:pPr>
        <w:keepNext w:val="0"/>
        <w:keepLines w:val="0"/>
        <w:pageBreakBefore w:val="0"/>
        <w:kinsoku/>
        <w:wordWrap/>
        <w:overflowPunct/>
        <w:topLinePunct w:val="0"/>
        <w:autoSpaceDE/>
        <w:autoSpaceDN/>
        <w:bidi w:val="0"/>
        <w:snapToGrid w:val="0"/>
        <w:spacing w:line="480" w:lineRule="exact"/>
        <w:ind w:firstLine="453" w:firstLineChars="206"/>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1、本项目合同签订后支付30%预付款，项目完工验收合格后付至合同价的</w:t>
      </w:r>
      <w:r>
        <w:rPr>
          <w:rFonts w:hint="eastAsia" w:ascii="宋体" w:hAnsi="宋体" w:eastAsia="宋体" w:cs="宋体"/>
          <w:color w:val="auto"/>
          <w:sz w:val="22"/>
          <w:szCs w:val="22"/>
          <w:highlight w:val="none"/>
          <w:lang w:val="en-US" w:eastAsia="zh-CN" w:bidi="ar"/>
        </w:rPr>
        <w:t>9</w:t>
      </w:r>
      <w:r>
        <w:rPr>
          <w:rFonts w:hint="eastAsia" w:ascii="宋体" w:hAnsi="宋体" w:eastAsia="宋体" w:cs="宋体"/>
          <w:color w:val="auto"/>
          <w:sz w:val="22"/>
          <w:szCs w:val="22"/>
          <w:highlight w:val="none"/>
          <w:lang w:bidi="ar"/>
        </w:rPr>
        <w:t>0%</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余款在完工验收合格</w:t>
      </w:r>
      <w:r>
        <w:rPr>
          <w:rFonts w:hint="eastAsia" w:ascii="宋体" w:hAnsi="宋体" w:eastAsia="宋体" w:cs="宋体"/>
          <w:color w:val="auto"/>
          <w:sz w:val="22"/>
          <w:szCs w:val="22"/>
          <w:highlight w:val="none"/>
          <w:lang w:val="en-US" w:eastAsia="zh-CN" w:bidi="ar"/>
        </w:rPr>
        <w:t>1</w:t>
      </w:r>
      <w:r>
        <w:rPr>
          <w:rFonts w:hint="eastAsia" w:ascii="宋体" w:hAnsi="宋体" w:eastAsia="宋体" w:cs="宋体"/>
          <w:color w:val="auto"/>
          <w:sz w:val="22"/>
          <w:szCs w:val="22"/>
          <w:highlight w:val="none"/>
          <w:lang w:bidi="ar"/>
        </w:rPr>
        <w:t>年</w:t>
      </w:r>
      <w:r>
        <w:rPr>
          <w:rFonts w:hint="eastAsia" w:ascii="宋体" w:hAnsi="宋体" w:eastAsia="宋体" w:cs="宋体"/>
          <w:color w:val="auto"/>
          <w:sz w:val="22"/>
          <w:szCs w:val="22"/>
          <w:highlight w:val="none"/>
          <w:lang w:val="en-US" w:eastAsia="zh-CN" w:bidi="ar"/>
        </w:rPr>
        <w:t>后</w:t>
      </w:r>
      <w:r>
        <w:rPr>
          <w:rFonts w:hint="eastAsia" w:ascii="宋体" w:hAnsi="宋体" w:eastAsia="宋体" w:cs="宋体"/>
          <w:color w:val="auto"/>
          <w:sz w:val="22"/>
          <w:szCs w:val="22"/>
          <w:highlight w:val="none"/>
          <w:lang w:bidi="ar"/>
        </w:rPr>
        <w:t>一周内付清。</w:t>
      </w:r>
    </w:p>
    <w:p w14:paraId="4841D968">
      <w:pPr>
        <w:keepNext w:val="0"/>
        <w:keepLines w:val="0"/>
        <w:pageBreakBefore w:val="0"/>
        <w:kinsoku/>
        <w:wordWrap/>
        <w:overflowPunct/>
        <w:topLinePunct w:val="0"/>
        <w:autoSpaceDE/>
        <w:autoSpaceDN/>
        <w:bidi w:val="0"/>
        <w:snapToGrid w:val="0"/>
        <w:spacing w:line="480" w:lineRule="exact"/>
        <w:ind w:firstLine="453" w:firstLineChars="206"/>
        <w:textAlignment w:val="auto"/>
        <w:outlineLvl w:val="1"/>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bidi="ar"/>
        </w:rPr>
        <w:t>2、最终的结算付款方式，以双方签订的采购合同为准</w:t>
      </w:r>
      <w:r>
        <w:rPr>
          <w:rFonts w:hint="eastAsia" w:ascii="宋体" w:hAnsi="宋体" w:cs="宋体"/>
          <w:color w:val="auto"/>
          <w:sz w:val="22"/>
          <w:szCs w:val="22"/>
          <w:highlight w:val="none"/>
          <w:lang w:eastAsia="zh-CN" w:bidi="ar"/>
        </w:rPr>
        <w:t>。</w:t>
      </w:r>
    </w:p>
    <w:p w14:paraId="5A1BEEB6">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2.3根据现行税法对甲方征收的与本合同有关的一切税费均由甲方承担；根据现行税法对乙方征收的与本合同有关的一切税费均由乙方承担。</w:t>
      </w:r>
    </w:p>
    <w:p w14:paraId="3BF48865">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 支付（结算）方式：由甲方通知乙方提交相关发票并至支付（结算）中心办理支付手续，支付（结算）中心在各项手续、票据齐全的情况下完成对外支付。</w:t>
      </w:r>
    </w:p>
    <w:p w14:paraId="6B79BD7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三、质量保证</w:t>
      </w:r>
    </w:p>
    <w:p w14:paraId="1712931E">
      <w:pPr>
        <w:keepNext w:val="0"/>
        <w:keepLines w:val="0"/>
        <w:pageBreakBefore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3.1供应商应保证货物是全新、未使用过的原厂合格产品，并完全符合磋商文件规定的质量、规格和参数的要求。验收过程中发现产品不符合上述要求的，将视作不合格产品，使用方有权终止合同，造成的一切损失由供应商承担。 </w:t>
      </w:r>
    </w:p>
    <w:p w14:paraId="31FE1FD4">
      <w:pPr>
        <w:keepNext w:val="0"/>
        <w:keepLines w:val="0"/>
        <w:pageBreakBefore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3.2投标产品的技术标准按国家标准执行，无国家标准的，按行业标准执行，无国家和行业标准的，按企业标准执行；但在磋商文件中有特别要求的，按磋商文件中规定的要求执行，并且符合相关法律、法规规定的要求。 </w:t>
      </w:r>
    </w:p>
    <w:p w14:paraId="38241943">
      <w:pPr>
        <w:keepNext w:val="0"/>
        <w:keepLines w:val="0"/>
        <w:pageBreakBefore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3.3供应商应保证提供的产品不得侵犯第三方专利权、商标权和设计权、版权等。否则，供应商应负全部责任，并承担由此引起的一切后果。</w:t>
      </w:r>
    </w:p>
    <w:p w14:paraId="0D987974">
      <w:pPr>
        <w:keepNext w:val="0"/>
        <w:keepLines w:val="0"/>
        <w:pageBreakBefore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3.4供应商应保证其货物在正确安装、正常使用下，在其使用寿命期内应具有满意的性能。</w:t>
      </w:r>
    </w:p>
    <w:p w14:paraId="2F7C3B61">
      <w:pPr>
        <w:keepNext w:val="0"/>
        <w:keepLines w:val="0"/>
        <w:pageBreakBefore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color w:val="auto"/>
          <w:sz w:val="22"/>
          <w:szCs w:val="22"/>
          <w:highlight w:val="none"/>
        </w:rPr>
        <w:t>3.5供应商应采取必要的安全措施保证货物的运输及安装的安全，并承担货物的运输及安装过程中产生的风险。</w:t>
      </w:r>
    </w:p>
    <w:p w14:paraId="03BFF4E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四、包装</w:t>
      </w:r>
    </w:p>
    <w:p w14:paraId="77410BBF">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乙方提供的设备必须为原包装，在送交甲方验收前不得拆箱。</w:t>
      </w:r>
    </w:p>
    <w:p w14:paraId="73EC04A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五、标的物的交付</w:t>
      </w:r>
    </w:p>
    <w:p w14:paraId="339FE1A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5.1 标的物的所有权自标的物交付时转移。</w:t>
      </w:r>
    </w:p>
    <w:p w14:paraId="5E24C39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5.2 乙方应当按照约定的期限和约定的地点交付标的物。</w:t>
      </w:r>
    </w:p>
    <w:p w14:paraId="60B43FF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5.3 乙方应当按照约定或者交易习惯向甲方交付提取标的物单证以外的有关单证和资料，</w:t>
      </w:r>
    </w:p>
    <w:p w14:paraId="5A9F92A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5.4产品设备交货、安装调试服务</w:t>
      </w:r>
    </w:p>
    <w:p w14:paraId="1C0AE730">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5.4.1产品设备交付：</w:t>
      </w:r>
    </w:p>
    <w:p w14:paraId="59D24205">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① 交货地点：产品设备送至采购单位指定的地点并负责安装、调试。</w:t>
      </w:r>
    </w:p>
    <w:p w14:paraId="5A5CA513">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 货物装卸、运输涉及到的保险，其费用包含在合同总价中。</w:t>
      </w:r>
    </w:p>
    <w:p w14:paraId="193085F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5.4.2产品设备交付及安装调试服务日期：</w:t>
      </w:r>
      <w:r>
        <w:rPr>
          <w:rFonts w:hint="eastAsia" w:ascii="宋体" w:hAnsi="宋体" w:eastAsia="宋体" w:cs="宋体"/>
          <w:color w:val="auto"/>
          <w:sz w:val="22"/>
          <w:szCs w:val="22"/>
          <w:highlight w:val="none"/>
        </w:rPr>
        <w:t>合同签订生效后60天完成所有产品供货及安装调试。</w:t>
      </w:r>
    </w:p>
    <w:p w14:paraId="17BDCB3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5.4.3成交供应商发货到采购单位指定地点前应先告知采购单位。</w:t>
      </w:r>
    </w:p>
    <w:p w14:paraId="57B2C01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5.4.4全部货物的外包装必须采用防漏、防潮、防震、防锈、防盗和考虑到可能会发生的野蛮装卸等长途运输及多次装卸之需要。如因供方包装不当以及其它原因造成损坏或丢失，应由供方负一切责任。</w:t>
      </w:r>
    </w:p>
    <w:p w14:paraId="64C4D054">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5.5 交货及安装地点：采购方指定地点。</w:t>
      </w:r>
    </w:p>
    <w:p w14:paraId="65EEB5F3">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六、伴随服务</w:t>
      </w:r>
    </w:p>
    <w:p w14:paraId="222D4280">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6.1乙方除应履行按期按量交付合格标的物的义务外，还应当提供下列服务：</w:t>
      </w:r>
    </w:p>
    <w:p w14:paraId="74B9E37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6.1.1标的物的现场安装、启动、调试、监督（如果必须安装、调试的话）；</w:t>
      </w:r>
    </w:p>
    <w:p w14:paraId="44E6630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6.1.2提供标的物组装和一般维修所必需的工具；</w:t>
      </w:r>
    </w:p>
    <w:p w14:paraId="2EB8C7A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6.1.3在合同规定的期限内对所提供的标的物实行运行监督、维修服务的前提条件是该服务并不能免除乙方在质保期内所承担的义务；</w:t>
      </w:r>
    </w:p>
    <w:p w14:paraId="189667D9">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6.1.4对甲方技术人员的技术指导或培训。</w:t>
      </w:r>
    </w:p>
    <w:p w14:paraId="3CB7C45C">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6.2除合同另有规定之外，伴随服务的费用均已含在合同价款中，甲方不再另行支付。</w:t>
      </w:r>
    </w:p>
    <w:p w14:paraId="098C7F7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七、标的物的检验和验收</w:t>
      </w:r>
    </w:p>
    <w:p w14:paraId="4B568DE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使用方有权在产品制造过程中进行中期验收和交付后抽样检测，如验收不合格，甲方有权中止合同，验收合格，验收所发生的费用由甲方承担，验收不合格所发生的一切费用由供应商承担。   </w:t>
      </w:r>
    </w:p>
    <w:p w14:paraId="7AC0622C">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八、质保及售后服务</w:t>
      </w:r>
    </w:p>
    <w:p w14:paraId="2EC1B6E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8.1乙方应提供</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年的免费质量保证期（质保期从项目通过验收之日起计），在接采购方维护联系通知后一般问题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小时内响应，</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小时内维护人员到达现场，质保期内故障报修24小时内无法及时修复的须提供备机</w:t>
      </w:r>
      <w:r>
        <w:rPr>
          <w:rFonts w:hint="eastAsia" w:ascii="宋体" w:hAnsi="宋体" w:eastAsia="宋体" w:cs="宋体"/>
          <w:color w:val="auto"/>
          <w:kern w:val="0"/>
          <w:sz w:val="22"/>
          <w:szCs w:val="22"/>
          <w:highlight w:val="none"/>
        </w:rPr>
        <w:t>。不能兑现质保承诺的，甲方将扣除质保金，并由区相关部门酌情进行信誉度处罚。</w:t>
      </w:r>
    </w:p>
    <w:p w14:paraId="376A8352">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w:t>
      </w:r>
      <w:r>
        <w:rPr>
          <w:rFonts w:hint="eastAsia" w:ascii="宋体" w:hAnsi="宋体" w:eastAsia="宋体" w:cs="宋体"/>
          <w:color w:val="auto"/>
          <w:kern w:val="0"/>
          <w:sz w:val="22"/>
          <w:szCs w:val="22"/>
          <w:highlight w:val="none"/>
        </w:rPr>
        <w:t>乙方</w:t>
      </w:r>
      <w:r>
        <w:rPr>
          <w:rFonts w:hint="eastAsia" w:ascii="宋体" w:hAnsi="宋体" w:eastAsia="宋体" w:cs="宋体"/>
          <w:color w:val="auto"/>
          <w:sz w:val="22"/>
          <w:szCs w:val="22"/>
          <w:highlight w:val="none"/>
        </w:rPr>
        <w:t>应进行一次简单维护、维修培训，确保使用者了解维护方法和进行简单的维修操作。</w:t>
      </w:r>
    </w:p>
    <w:p w14:paraId="6672F10E">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8.3所有货品应有</w:t>
      </w:r>
      <w:r>
        <w:rPr>
          <w:rFonts w:hint="eastAsia" w:ascii="宋体" w:hAnsi="宋体" w:eastAsia="宋体" w:cs="宋体"/>
          <w:color w:val="auto"/>
          <w:kern w:val="0"/>
          <w:sz w:val="22"/>
          <w:szCs w:val="22"/>
          <w:highlight w:val="none"/>
        </w:rPr>
        <w:t>乙方</w:t>
      </w:r>
      <w:r>
        <w:rPr>
          <w:rFonts w:hint="eastAsia" w:ascii="宋体" w:hAnsi="宋体" w:eastAsia="宋体" w:cs="宋体"/>
          <w:color w:val="auto"/>
          <w:sz w:val="22"/>
          <w:szCs w:val="22"/>
          <w:highlight w:val="none"/>
        </w:rPr>
        <w:t>免费按时送达指定地点，并安装调配好，交货地点另行通知。</w:t>
      </w:r>
    </w:p>
    <w:p w14:paraId="5B9F9DE3">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8.4保修期满后维修费用按照材料成本收取。</w:t>
      </w:r>
    </w:p>
    <w:p w14:paraId="1BC561B9">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九、违约责任</w:t>
      </w:r>
    </w:p>
    <w:p w14:paraId="248548D5">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合同一方不履行合同义务或者履行合同义务不符合约定的，应当承担继续履行、采取补救措施或赔偿损失等违约责任。</w:t>
      </w:r>
    </w:p>
    <w:p w14:paraId="13DA3FA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9.1甲方违约责任</w:t>
      </w:r>
    </w:p>
    <w:p w14:paraId="05AD13F6">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9.1.1在合同生效后，非乙方原因甲方要求退货的，应向乙方偿付合同总价款的 5 %，作为违约金，违约金不足以补偿损失的，乙方有权要求甲方补足。 </w:t>
      </w:r>
    </w:p>
    <w:p w14:paraId="19ECA58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9.1.2甲方逾期支付货款的应按照逾期付款金额的每天 5%支付逾期付款违约金。</w:t>
      </w:r>
    </w:p>
    <w:p w14:paraId="5C22DB1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9.1.3甲方违反合同规定，拒绝接收乙方交付的合格标的物，应当承担乙方由此造成的损失。</w:t>
      </w:r>
    </w:p>
    <w:p w14:paraId="4C6B96B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9.2乙方违约责任</w:t>
      </w:r>
    </w:p>
    <w:p w14:paraId="7F64B587">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9.2.1 乙方不能交货，或交货不合格从而影响甲方按期正常使用的，应向甲方偿付合同总价款</w:t>
      </w:r>
      <w:r>
        <w:rPr>
          <w:rFonts w:hint="eastAsia" w:ascii="宋体" w:hAnsi="宋体" w:eastAsia="宋体" w:cs="宋体"/>
          <w:color w:val="auto"/>
          <w:sz w:val="22"/>
          <w:szCs w:val="22"/>
          <w:highlight w:val="none"/>
          <w:u w:val="single"/>
        </w:rPr>
        <w:t xml:space="preserve">  5  </w:t>
      </w:r>
      <w:r>
        <w:rPr>
          <w:rFonts w:hint="eastAsia" w:ascii="宋体" w:hAnsi="宋体" w:eastAsia="宋体" w:cs="宋体"/>
          <w:color w:val="auto"/>
          <w:sz w:val="22"/>
          <w:szCs w:val="22"/>
          <w:highlight w:val="none"/>
        </w:rPr>
        <w:t>%的违约金，违约金不足以补偿损失的，甲方有权要求乙方补足。</w:t>
      </w:r>
    </w:p>
    <w:p w14:paraId="4FCCEA48">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9.2.2 乙方逾期交货的 ，应在发货前与甲方和政府采购管理部门协商，甲方仍需求的，乙方应立即发货，按照逾期交货部分货款每天</w:t>
      </w:r>
      <w:r>
        <w:rPr>
          <w:rFonts w:hint="eastAsia" w:ascii="宋体" w:hAnsi="宋体" w:eastAsia="宋体" w:cs="宋体"/>
          <w:color w:val="auto"/>
          <w:sz w:val="22"/>
          <w:szCs w:val="22"/>
          <w:highlight w:val="none"/>
          <w:u w:val="single"/>
        </w:rPr>
        <w:t xml:space="preserve"> 1% </w:t>
      </w:r>
      <w:r>
        <w:rPr>
          <w:rFonts w:hint="eastAsia" w:ascii="宋体" w:hAnsi="宋体" w:eastAsia="宋体" w:cs="宋体"/>
          <w:color w:val="auto"/>
          <w:sz w:val="22"/>
          <w:szCs w:val="22"/>
          <w:highlight w:val="none"/>
        </w:rPr>
        <w:t>的数额，支付逾期交货违约金，同时承担甲方因此遭致的损失费用。</w:t>
      </w:r>
    </w:p>
    <w:p w14:paraId="43E5F45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十、不可抗力</w:t>
      </w:r>
    </w:p>
    <w:p w14:paraId="1A77F73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10.1因不可抗力不能履行合同的，根据不可抗力的影响，部分或者全部免除责任。但合同一方延迟履行后发生不可抗力的，不能免除责任。</w:t>
      </w:r>
    </w:p>
    <w:p w14:paraId="6D82180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10.2合同一方因不可抗力不能履行合同的，应当及时通知对方，以减轻可能给对方造成的损失，并应当在合理期限内提供证明。</w:t>
      </w:r>
    </w:p>
    <w:p w14:paraId="45011FB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十一、索赔</w:t>
      </w:r>
    </w:p>
    <w:p w14:paraId="75EF5FD3">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11.1甲方有权根据当地产品质量检验机构或其他有权部门出具的检验证书向乙方提出索赔。</w:t>
      </w:r>
    </w:p>
    <w:p w14:paraId="2B2893C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11.2在本合同规定的检验期限和质保期内，如果乙方对甲方提出的索赔或差异有责任，则乙方应按甲方同意的下列一种或多种方式解决索赔事宜：</w:t>
      </w:r>
    </w:p>
    <w:p w14:paraId="1A70AB9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11.2.1乙方同意退货，并按合同规定的货币将货款退还给甲方，并且承担由此发生的一切损失和费用，包括利息、银行手续费、运费、保险费、检验费、仓储费、装卸费以及为保护退回标的物所需的其他必要费用。</w:t>
      </w:r>
    </w:p>
    <w:p w14:paraId="2E228A0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11.2.2根据标的物的低劣程度、损坏程度以及甲方遭受损失的数额，经双方协商确定降低标的物的价格。</w:t>
      </w:r>
    </w:p>
    <w:p w14:paraId="7A5EE69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11.2.3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保期。</w:t>
      </w:r>
    </w:p>
    <w:p w14:paraId="194E037E">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11.3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6C23B43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十二、履约保证金</w:t>
      </w:r>
    </w:p>
    <w:p w14:paraId="2B2FDD8E">
      <w:pPr>
        <w:keepNext w:val="0"/>
        <w:keepLines w:val="0"/>
        <w:pageBreakBefore w:val="0"/>
        <w:kinsoku/>
        <w:wordWrap/>
        <w:overflowPunct/>
        <w:topLinePunct w:val="0"/>
        <w:autoSpaceDE/>
        <w:autoSpaceDN/>
        <w:bidi w:val="0"/>
        <w:snapToGrid w:val="0"/>
        <w:spacing w:line="480" w:lineRule="exact"/>
        <w:ind w:firstLine="440" w:firstLineChars="200"/>
        <w:textAlignment w:val="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12.1本项目</w:t>
      </w:r>
      <w:r>
        <w:rPr>
          <w:rFonts w:hint="eastAsia" w:ascii="宋体" w:hAnsi="宋体" w:eastAsia="宋体" w:cs="宋体"/>
          <w:color w:val="auto"/>
          <w:sz w:val="22"/>
          <w:szCs w:val="22"/>
          <w:highlight w:val="none"/>
          <w:lang w:val="en-US" w:eastAsia="zh-CN"/>
        </w:rPr>
        <w:t>不涉及</w:t>
      </w:r>
      <w:r>
        <w:rPr>
          <w:rFonts w:hint="eastAsia" w:ascii="宋体" w:hAnsi="宋体" w:eastAsia="宋体" w:cs="宋体"/>
          <w:color w:val="auto"/>
          <w:sz w:val="22"/>
          <w:szCs w:val="22"/>
          <w:highlight w:val="none"/>
        </w:rPr>
        <w:t>履约保证金。</w:t>
      </w:r>
    </w:p>
    <w:p w14:paraId="2FDEC689">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十三、合同的解除和转让</w:t>
      </w:r>
    </w:p>
    <w:p w14:paraId="47A8062A">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13.1甲方和乙方协商一致，可以解除合同。</w:t>
      </w:r>
    </w:p>
    <w:p w14:paraId="45D20F69">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13.2有下列情形之一，合同一方可以解除合同：</w:t>
      </w:r>
    </w:p>
    <w:p w14:paraId="42C24D3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13.2.1因不可抗力致使不能实现合同目的，未受不可抗力影响的一方有权解除合同；</w:t>
      </w:r>
    </w:p>
    <w:p w14:paraId="4DD0854C">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13.2.2因合同一方违约导致合同不能履行，另一方有权解除合同；</w:t>
      </w:r>
    </w:p>
    <w:p w14:paraId="6481280A">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13.2.3有权解除合同的一方，应当在违约事实或不可抗力发生之后三十天内书面通知对方以主张解除合同，合同在书面通知到达对方时解除。</w:t>
      </w:r>
    </w:p>
    <w:p w14:paraId="5A41451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13.3合同的部分和全部都不得转让。</w:t>
      </w:r>
    </w:p>
    <w:p w14:paraId="05952B63">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十四、合同的生效及备案</w:t>
      </w:r>
    </w:p>
    <w:p w14:paraId="322BEADD">
      <w:pPr>
        <w:keepNext w:val="0"/>
        <w:keepLines w:val="0"/>
        <w:pageBreakBefore w:val="0"/>
        <w:kinsoku/>
        <w:wordWrap/>
        <w:overflowPunct/>
        <w:topLinePunct w:val="0"/>
        <w:autoSpaceDE/>
        <w:autoSpaceDN/>
        <w:bidi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本合同在乙方按规定缴纳了履约保证金且甲乙双方签字盖章后即生效。  </w:t>
      </w:r>
    </w:p>
    <w:p w14:paraId="2D623083">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十五、争议的解决</w:t>
      </w:r>
    </w:p>
    <w:p w14:paraId="33001DCF">
      <w:pPr>
        <w:keepNext w:val="0"/>
        <w:keepLines w:val="0"/>
        <w:pageBreakBefore w:val="0"/>
        <w:widowControl/>
        <w:shd w:val="clear" w:color="auto" w:fill="FCFCFC"/>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甲乙双方因合同发生争议，应在采购单位的主持下进行调解，协商不成，任何一方可以向南通仲裁委员会申请仲裁解决。</w:t>
      </w:r>
    </w:p>
    <w:p w14:paraId="212B6A16">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十六、附则</w:t>
      </w:r>
    </w:p>
    <w:p w14:paraId="638B47F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16.1合同份数：</w:t>
      </w:r>
      <w:r>
        <w:rPr>
          <w:rFonts w:hint="eastAsia" w:ascii="宋体" w:hAnsi="宋体" w:eastAsia="宋体" w:cs="宋体"/>
          <w:color w:val="auto"/>
          <w:sz w:val="22"/>
          <w:szCs w:val="22"/>
          <w:highlight w:val="none"/>
        </w:rPr>
        <w:t>合同一式肆份，采购人、供应商各贰份。</w:t>
      </w:r>
    </w:p>
    <w:p w14:paraId="418B182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16.2本合同文件使用中文书写、解释和说明。</w:t>
      </w:r>
    </w:p>
    <w:p w14:paraId="4800712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16.3</w:t>
      </w:r>
      <w:r>
        <w:rPr>
          <w:rFonts w:hint="eastAsia" w:ascii="宋体" w:hAnsi="宋体" w:eastAsia="宋体" w:cs="宋体"/>
          <w:color w:val="auto"/>
          <w:sz w:val="22"/>
          <w:szCs w:val="22"/>
          <w:highlight w:val="none"/>
        </w:rPr>
        <w:t>本合同履行过程中产生的纪要、协议以及成交通知书、响应文件和磋商文件为本合同的附件，与合同具有同等效力。</w:t>
      </w:r>
    </w:p>
    <w:p w14:paraId="381EA20B">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16.4未尽事宜</w:t>
      </w:r>
    </w:p>
    <w:p w14:paraId="6A9DBAF0">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本合同未尽事宜应按照《中华人民共和国民法典》、《中华人民共和国产品质量法》、《中华人民共和国政府采购法》及其相关配套法律法规之规定解释。</w:t>
      </w:r>
    </w:p>
    <w:p w14:paraId="5D859EA5">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p>
    <w:p w14:paraId="09A6A241">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采购单位（或甲方）：               成交供应商（或乙方）：</w:t>
      </w:r>
    </w:p>
    <w:p w14:paraId="50730660">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                     法定代表人：</w:t>
      </w:r>
    </w:p>
    <w:p w14:paraId="7F4708F2">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委托代理人：                     委托代理人：</w:t>
      </w:r>
    </w:p>
    <w:p w14:paraId="33D6E314">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Theme="minorEastAsia" w:hAnsiTheme="minorEastAsia" w:eastAsiaTheme="minorEastAsia"/>
          <w:b/>
          <w:color w:val="auto"/>
          <w:sz w:val="36"/>
          <w:szCs w:val="36"/>
          <w:highlight w:val="none"/>
        </w:rPr>
      </w:pPr>
      <w:r>
        <w:rPr>
          <w:rFonts w:hint="eastAsia" w:ascii="宋体" w:hAnsi="宋体" w:eastAsia="宋体" w:cs="宋体"/>
          <w:color w:val="auto"/>
          <w:kern w:val="0"/>
          <w:sz w:val="22"/>
          <w:szCs w:val="22"/>
          <w:highlight w:val="none"/>
        </w:rPr>
        <w:t xml:space="preserve"> </w:t>
      </w:r>
    </w:p>
    <w:p w14:paraId="78F7321F">
      <w:pPr>
        <w:snapToGrid w:val="0"/>
        <w:spacing w:line="400" w:lineRule="atLeast"/>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14:paraId="3EDDE5DD">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一、质疑的提出</w:t>
      </w:r>
    </w:p>
    <w:p w14:paraId="34AF8A81">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（一）质疑人的身份要求</w:t>
      </w:r>
    </w:p>
    <w:p w14:paraId="142E5C4D">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1.提出质疑的供应商应当是参与所质疑项目采购活动的供应商。</w:t>
      </w:r>
    </w:p>
    <w:p w14:paraId="4781B35E">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2.潜在供应商已依法获取其可质疑的采购文件的，可以对该文件提出质疑。对采购文件提出质疑的，应当在获取采购文件或者采购文件公告期限届满之日起7个工作日内提出。</w:t>
      </w:r>
    </w:p>
    <w:p w14:paraId="3BC865B2">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 （二）质疑提出的格式要求</w:t>
      </w:r>
    </w:p>
    <w:p w14:paraId="665E2E25">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1.质疑必须按《政府采购法》《政府采购法实施条例》及《江苏省政府采购供应商监督管理暂行办法》的相关规定提交，质疑实行实名制，不得进行虚假、恶意质疑，未按上述要求提交的质疑函，</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val="zh-CN"/>
        </w:rPr>
        <w:t>有权不予受理。</w:t>
      </w:r>
    </w:p>
    <w:p w14:paraId="12B3BF59">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2.质疑函应包括：</w:t>
      </w:r>
    </w:p>
    <w:p w14:paraId="0E161C9E">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（1）质疑人的名称、地址、邮编、联系人及联系电话；</w:t>
      </w:r>
    </w:p>
    <w:p w14:paraId="7FEB65D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（2）质疑项目的名称、编号；</w:t>
      </w:r>
    </w:p>
    <w:p w14:paraId="4FEA301F">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（3）具体、明确的质疑事项和与质疑事项相关的请求；</w:t>
      </w:r>
    </w:p>
    <w:p w14:paraId="6234BCDC">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（4）事实依据；</w:t>
      </w:r>
    </w:p>
    <w:p w14:paraId="5352861A">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（5）必要的法律依据；                          </w:t>
      </w:r>
    </w:p>
    <w:p w14:paraId="29385EB3">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（6）提出质疑的日期。</w:t>
      </w:r>
    </w:p>
    <w:p w14:paraId="177C3BC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（7）质疑函应当署名：质疑人为自然人的，应当由本人签字并附有效身份证明；质疑人为法人或其他组织的，应当由法定代表人签字并加盖</w:t>
      </w:r>
      <w:r>
        <w:rPr>
          <w:rFonts w:hint="eastAsia"/>
          <w:b w:val="0"/>
          <w:bCs/>
          <w:color w:val="auto"/>
          <w:sz w:val="22"/>
          <w:szCs w:val="21"/>
          <w:highlight w:val="none"/>
          <w:lang w:val="en-US" w:eastAsia="zh-CN"/>
        </w:rPr>
        <w:t>供应商</w:t>
      </w:r>
      <w:r>
        <w:rPr>
          <w:rFonts w:hint="eastAsia" w:ascii="宋体" w:hAnsi="宋体" w:eastAsia="宋体" w:cs="宋体"/>
          <w:color w:val="auto"/>
          <w:sz w:val="22"/>
          <w:szCs w:val="22"/>
          <w:highlight w:val="none"/>
        </w:rPr>
        <w:t>公章（质疑人为联合体的，则联合体各方法定代表人均须签字并加盖</w:t>
      </w:r>
      <w:r>
        <w:rPr>
          <w:rFonts w:hint="eastAsia"/>
          <w:b w:val="0"/>
          <w:bCs/>
          <w:color w:val="auto"/>
          <w:sz w:val="22"/>
          <w:szCs w:val="21"/>
          <w:highlight w:val="none"/>
          <w:lang w:val="en-US" w:eastAsia="zh-CN"/>
        </w:rPr>
        <w:t>供应商</w:t>
      </w:r>
      <w:r>
        <w:rPr>
          <w:rFonts w:hint="eastAsia" w:ascii="宋体" w:hAnsi="宋体" w:eastAsia="宋体" w:cs="宋体"/>
          <w:color w:val="auto"/>
          <w:sz w:val="22"/>
          <w:szCs w:val="22"/>
          <w:highlight w:val="none"/>
        </w:rPr>
        <w:t>公章），未按要求签字和盖章的为无效质疑，采购代理机构将不予受理。质疑人委托代理质疑的，应当向采购代理机构提交授权委托书，并载明委托代理的具体权限和事项。</w:t>
      </w:r>
    </w:p>
    <w:p w14:paraId="5FB2A8C4">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3.质疑函需遵循的原则：</w:t>
      </w:r>
    </w:p>
    <w:p w14:paraId="2BB5EE2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7FE85FF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（三）质疑提出的时效要求</w:t>
      </w:r>
    </w:p>
    <w:p w14:paraId="403572C1">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val="zh-CN"/>
        </w:rPr>
        <w:t>或采购人提出质疑。上述应知其权益受到损害之日，是指：</w:t>
      </w:r>
    </w:p>
    <w:p w14:paraId="49E45509">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（1）对可以质疑的采购文件提出质疑的，为收到采购文件之日或者采购文件公告期限届满之日；</w:t>
      </w:r>
    </w:p>
    <w:p w14:paraId="1A59BB83">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（2）对采购过程提出质疑的，为各采购程序环节结束之日；</w:t>
      </w:r>
    </w:p>
    <w:p w14:paraId="4EF6FE9B">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（3）对成交或者成交结果提出质疑的，为成交或者成交结果公告期限届满之日。</w:t>
      </w:r>
    </w:p>
    <w:p w14:paraId="4B7DA823">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供应商认为采购文件使自己的权益受到损害的，可以按照磋商公告第七项第四点要求向采购人提出质疑；供应商认为采购过程和采购结果使自己的权益受到损害的，可以以书面形式向</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val="zh-CN"/>
        </w:rPr>
        <w:t>或采购人提出质疑。</w:t>
      </w:r>
    </w:p>
    <w:p w14:paraId="39D36059">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2.供应商应在法定质疑期一次性提出针对同一采购程序环节的质疑。        </w:t>
      </w:r>
    </w:p>
    <w:p w14:paraId="5D3CF1EA">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二、《质疑函》的受理和答复</w:t>
      </w:r>
    </w:p>
    <w:p w14:paraId="5A9ED290">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 采购代理机构或采购人收到质疑函后，将对质疑的形式和内容进行审查，如质疑函内容、格式不符合规定，采购代理机构需告知质疑人进行补正。</w:t>
      </w:r>
    </w:p>
    <w:p w14:paraId="0AC68F55">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 质疑人应当在法定质疑期限内进行补正并重新提交质疑函，拒不补正或者在法定期限内未重新提交质疑函的，为无效质疑，不予受理。</w:t>
      </w:r>
    </w:p>
    <w:p w14:paraId="3624533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3.采购人或采购代理机构答复供应商质疑应当采用书面方式并依法送达，质疑供应商或其委托代理人拒绝签收的视为已经送达。</w:t>
      </w:r>
    </w:p>
    <w:p w14:paraId="103A00F8">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三、质疑处理</w:t>
      </w:r>
    </w:p>
    <w:p w14:paraId="320E39ED">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 质疑成立的处理</w:t>
      </w:r>
    </w:p>
    <w:p w14:paraId="0C1167FF">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（1）对于内容、格式符合规定的质疑函，采购代理机构或采购人在收到供应商的书面质疑后七个工作日内作出书面答复，但答复的内容不得涉及商业秘密。                       </w:t>
      </w:r>
    </w:p>
    <w:p w14:paraId="4A76E35D">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（2）对采购文件提出的质疑，依法通过澄清或者修改可以继续开展采购活动的，澄清或者修改采购文件后继续开展采购活动；否则应当修改采购文件后重新开展采购活动。</w:t>
      </w:r>
    </w:p>
    <w:p w14:paraId="659A3524">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（3）对采购过程、成交结果提出的质疑，合格供应商符合法定数量时，可以从合格的候选人中另行确定成交供应商的，应当依法另行确定成交供应商；否则应当重新开展采购活动。</w:t>
      </w:r>
    </w:p>
    <w:p w14:paraId="47570EE5">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质疑答复导致成交结果改变的，采购人或者采购代理机构应当将有关情况书面报告上级部门。</w:t>
      </w:r>
    </w:p>
    <w:p w14:paraId="0C43CD07">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2.质疑不成立的处理</w:t>
      </w:r>
    </w:p>
    <w:p w14:paraId="7CB2B69F">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若质疑不成立，或者成立未对成交结果构成影响的，继续开展采购活动。 </w:t>
      </w:r>
    </w:p>
    <w:p w14:paraId="7AD317A0">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3.虚假质疑的处理          </w:t>
      </w:r>
    </w:p>
    <w:p w14:paraId="3BA0EB68">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14:paraId="051B80FC">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（2）在江苏省范围内一年累计三次以上质疑，均查无实据的供应商将按失信行为记入该注册供应商诚信档案中。</w:t>
      </w:r>
    </w:p>
    <w:p w14:paraId="1C2B2E90">
      <w:pPr>
        <w:pStyle w:val="10"/>
        <w:keepNext w:val="0"/>
        <w:keepLines w:val="0"/>
        <w:pageBreakBefore w:val="0"/>
        <w:widowControl w:val="0"/>
        <w:kinsoku/>
        <w:wordWrap/>
        <w:overflowPunct/>
        <w:topLinePunct w:val="0"/>
        <w:autoSpaceDE/>
        <w:autoSpaceDN/>
        <w:bidi w:val="0"/>
        <w:adjustRightInd/>
        <w:snapToGrid w:val="0"/>
        <w:spacing w:after="0" w:line="480" w:lineRule="exact"/>
        <w:ind w:left="0" w:leftChars="0" w:firstLine="440" w:firstLineChars="200"/>
        <w:contextualSpacing/>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（3）采购代理机构或采购人受理质疑和答复相关咨询，联系电话详见竞争性磋商公告。</w:t>
      </w:r>
    </w:p>
    <w:p w14:paraId="3F020FBC">
      <w:pPr>
        <w:autoSpaceDE w:val="0"/>
        <w:autoSpaceDN w:val="0"/>
        <w:adjustRightInd w:val="0"/>
        <w:snapToGrid w:val="0"/>
        <w:spacing w:line="300" w:lineRule="auto"/>
        <w:ind w:left="4513" w:right="210" w:hanging="4513"/>
        <w:jc w:val="center"/>
        <w:outlineLvl w:val="0"/>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14:paraId="343C97DF">
      <w:pPr>
        <w:keepNext w:val="0"/>
        <w:keepLines w:val="0"/>
        <w:pageBreakBefore w:val="0"/>
        <w:widowControl w:val="0"/>
        <w:kinsoku/>
        <w:wordWrap/>
        <w:overflowPunct/>
        <w:topLinePunct w:val="0"/>
        <w:bidi w:val="0"/>
        <w:snapToGrid w:val="0"/>
        <w:spacing w:line="480" w:lineRule="exact"/>
        <w:ind w:left="0" w:firstLine="442"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响应文件由资格审查文件、商务技术文件、报价文件三部分组成，相关</w:t>
      </w:r>
      <w:r>
        <w:rPr>
          <w:rFonts w:hint="eastAsia" w:ascii="宋体" w:hAnsi="宋体" w:eastAsia="宋体" w:cs="宋体"/>
          <w:b/>
          <w:color w:val="auto"/>
          <w:sz w:val="22"/>
          <w:szCs w:val="22"/>
          <w:highlight w:val="none"/>
          <w:lang w:val="zh-CN"/>
        </w:rPr>
        <w:t>格式参见附件</w:t>
      </w:r>
      <w:r>
        <w:rPr>
          <w:rFonts w:hint="eastAsia" w:ascii="宋体" w:hAnsi="宋体" w:eastAsia="宋体" w:cs="宋体"/>
          <w:b/>
          <w:color w:val="auto"/>
          <w:sz w:val="22"/>
          <w:szCs w:val="22"/>
          <w:highlight w:val="none"/>
        </w:rPr>
        <w:t>。</w:t>
      </w:r>
    </w:p>
    <w:p w14:paraId="0C11F3AA">
      <w:pPr>
        <w:keepNext w:val="0"/>
        <w:keepLines w:val="0"/>
        <w:pageBreakBefore w:val="0"/>
        <w:widowControl w:val="0"/>
        <w:kinsoku/>
        <w:wordWrap/>
        <w:overflowPunct/>
        <w:topLinePunct w:val="0"/>
        <w:bidi w:val="0"/>
        <w:snapToGrid w:val="0"/>
        <w:spacing w:line="480" w:lineRule="exact"/>
        <w:ind w:left="0" w:firstLine="433" w:firstLineChars="196"/>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一、资格审查文件（不能出现报价、商务技术</w:t>
      </w:r>
      <w:r>
        <w:rPr>
          <w:rFonts w:hint="eastAsia" w:ascii="宋体" w:hAnsi="宋体" w:eastAsia="宋体" w:cs="宋体"/>
          <w:b/>
          <w:color w:val="auto"/>
          <w:sz w:val="22"/>
          <w:szCs w:val="22"/>
          <w:highlight w:val="none"/>
          <w:lang w:val="en-US" w:eastAsia="zh-CN"/>
        </w:rPr>
        <w:t>文件</w:t>
      </w:r>
      <w:r>
        <w:rPr>
          <w:rFonts w:hint="eastAsia" w:ascii="宋体" w:hAnsi="宋体" w:eastAsia="宋体" w:cs="宋体"/>
          <w:b/>
          <w:color w:val="auto"/>
          <w:sz w:val="22"/>
          <w:szCs w:val="22"/>
          <w:highlight w:val="none"/>
        </w:rPr>
        <w:t>）</w:t>
      </w:r>
    </w:p>
    <w:p w14:paraId="2C2F2502">
      <w:pPr>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供应商符合规定条件的声明函（格式详附件1）</w:t>
      </w:r>
      <w:r>
        <w:rPr>
          <w:rFonts w:hint="eastAsia" w:ascii="宋体" w:hAnsi="宋体" w:eastAsia="宋体" w:cs="宋体"/>
          <w:color w:val="auto"/>
          <w:sz w:val="22"/>
          <w:szCs w:val="22"/>
          <w:highlight w:val="none"/>
        </w:rPr>
        <w:t>；</w:t>
      </w:r>
    </w:p>
    <w:p w14:paraId="43E47DC8">
      <w:pPr>
        <w:pStyle w:val="17"/>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2、法定代表人身份证明书</w:t>
      </w:r>
      <w:r>
        <w:rPr>
          <w:rFonts w:hint="eastAsia" w:ascii="宋体" w:hAnsi="宋体" w:eastAsia="宋体" w:cs="宋体"/>
          <w:color w:val="auto"/>
          <w:sz w:val="22"/>
          <w:szCs w:val="24"/>
          <w:highlight w:val="none"/>
          <w:lang w:val="zh-CN"/>
        </w:rPr>
        <w:t>；</w:t>
      </w:r>
    </w:p>
    <w:p w14:paraId="3F958D37">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3、法定代表人授权委托书原件，磋商代表本人身份证复印件（</w:t>
      </w:r>
      <w:r>
        <w:rPr>
          <w:rFonts w:hint="eastAsia" w:ascii="宋体" w:hAnsi="宋体" w:eastAsia="宋体" w:cs="宋体"/>
          <w:color w:val="auto"/>
          <w:sz w:val="22"/>
          <w:szCs w:val="22"/>
          <w:highlight w:val="none"/>
          <w:lang w:val="en-US" w:eastAsia="zh-CN"/>
        </w:rPr>
        <w:t>如有授权</w:t>
      </w:r>
      <w:r>
        <w:rPr>
          <w:rFonts w:hint="eastAsia" w:ascii="宋体" w:hAnsi="宋体" w:eastAsia="宋体" w:cs="宋体"/>
          <w:color w:val="auto"/>
          <w:sz w:val="22"/>
          <w:szCs w:val="22"/>
          <w:highlight w:val="none"/>
          <w:lang w:val="zh-CN"/>
        </w:rPr>
        <w:t>）；</w:t>
      </w:r>
    </w:p>
    <w:p w14:paraId="310575BF">
      <w:pPr>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信用承诺书；</w:t>
      </w:r>
    </w:p>
    <w:p w14:paraId="731BB291">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5、竞争性磋商公告资格要求提供相应的佐证材料</w:t>
      </w:r>
      <w:r>
        <w:rPr>
          <w:rFonts w:hint="eastAsia" w:ascii="宋体" w:hAnsi="宋体" w:eastAsia="宋体" w:cs="宋体"/>
          <w:color w:val="auto"/>
          <w:sz w:val="22"/>
          <w:szCs w:val="22"/>
          <w:highlight w:val="none"/>
          <w:lang w:val="zh-CN"/>
        </w:rPr>
        <w:t>；</w:t>
      </w:r>
    </w:p>
    <w:p w14:paraId="64079559">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b/>
          <w:color w:val="auto"/>
          <w:sz w:val="22"/>
          <w:szCs w:val="22"/>
          <w:highlight w:val="none"/>
        </w:rPr>
        <w:t>、</w:t>
      </w:r>
      <w:r>
        <w:rPr>
          <w:rFonts w:hint="eastAsia" w:ascii="宋体" w:hAnsi="宋体" w:eastAsia="宋体" w:cs="宋体"/>
          <w:b w:val="0"/>
          <w:bCs/>
          <w:color w:val="auto"/>
          <w:sz w:val="22"/>
          <w:szCs w:val="22"/>
          <w:highlight w:val="none"/>
          <w:lang w:eastAsia="zh-CN"/>
        </w:rPr>
        <w:t>其他需要</w:t>
      </w:r>
      <w:r>
        <w:rPr>
          <w:rFonts w:hint="eastAsia" w:ascii="宋体" w:hAnsi="宋体" w:eastAsia="宋体" w:cs="宋体"/>
          <w:color w:val="auto"/>
          <w:sz w:val="22"/>
          <w:szCs w:val="22"/>
          <w:highlight w:val="none"/>
        </w:rPr>
        <w:t>提交的资格审查证明材料。</w:t>
      </w:r>
    </w:p>
    <w:p w14:paraId="17D0D74F">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有效的营业执照复印件。</w:t>
      </w:r>
    </w:p>
    <w:p w14:paraId="2EFD3FC9">
      <w:pPr>
        <w:pStyle w:val="17"/>
        <w:keepNext w:val="0"/>
        <w:keepLines w:val="0"/>
        <w:pageBreakBefore w:val="0"/>
        <w:widowControl w:val="0"/>
        <w:kinsoku/>
        <w:wordWrap/>
        <w:overflowPunct/>
        <w:topLinePunct w:val="0"/>
        <w:bidi w:val="0"/>
        <w:snapToGrid w:val="0"/>
        <w:spacing w:line="480" w:lineRule="exact"/>
        <w:ind w:left="0" w:firstLine="442" w:firstLineChars="200"/>
        <w:textAlignment w:val="auto"/>
        <w:rPr>
          <w:rFonts w:hint="eastAsia" w:ascii="宋体" w:hAnsi="宋体" w:eastAsia="宋体" w:cs="宋体"/>
          <w:b/>
          <w:bCs/>
          <w:color w:val="auto"/>
          <w:kern w:val="0"/>
          <w:sz w:val="22"/>
          <w:szCs w:val="22"/>
          <w:highlight w:val="none"/>
          <w:lang w:val="zh-CN"/>
        </w:rPr>
      </w:pPr>
      <w:r>
        <w:rPr>
          <w:rFonts w:hint="eastAsia" w:ascii="宋体" w:hAnsi="宋体" w:eastAsia="宋体" w:cs="宋体"/>
          <w:b/>
          <w:color w:val="auto"/>
          <w:sz w:val="22"/>
          <w:szCs w:val="22"/>
          <w:highlight w:val="none"/>
        </w:rPr>
        <w:t>二、商务技术文件</w:t>
      </w:r>
      <w:r>
        <w:rPr>
          <w:rFonts w:hint="eastAsia" w:ascii="宋体" w:hAnsi="宋体" w:eastAsia="宋体" w:cs="宋体"/>
          <w:b/>
          <w:bCs/>
          <w:color w:val="auto"/>
          <w:kern w:val="0"/>
          <w:sz w:val="22"/>
          <w:szCs w:val="22"/>
          <w:highlight w:val="none"/>
          <w:lang w:val="zh-CN"/>
        </w:rPr>
        <w:t>（不能出现报价）</w:t>
      </w:r>
    </w:p>
    <w:p w14:paraId="62C45AD9">
      <w:pPr>
        <w:pStyle w:val="17"/>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4"/>
          <w:highlight w:val="none"/>
        </w:rPr>
        <w:t>竞争性磋商响应函</w:t>
      </w:r>
      <w:r>
        <w:rPr>
          <w:rFonts w:hint="eastAsia" w:ascii="宋体" w:hAnsi="宋体" w:eastAsia="宋体" w:cs="宋体"/>
          <w:b w:val="0"/>
          <w:bCs w:val="0"/>
          <w:color w:val="auto"/>
          <w:kern w:val="0"/>
          <w:sz w:val="22"/>
          <w:szCs w:val="24"/>
          <w:highlight w:val="none"/>
          <w:lang w:val="zh-CN"/>
        </w:rPr>
        <w:t>；</w:t>
      </w:r>
    </w:p>
    <w:p w14:paraId="76BEAD17">
      <w:pPr>
        <w:keepNext w:val="0"/>
        <w:keepLines w:val="0"/>
        <w:pageBreakBefore w:val="0"/>
        <w:widowControl w:val="0"/>
        <w:kinsoku/>
        <w:wordWrap/>
        <w:overflowPunct/>
        <w:topLinePunct w:val="0"/>
        <w:bidi w:val="0"/>
        <w:snapToGrid w:val="0"/>
        <w:spacing w:line="480" w:lineRule="exact"/>
        <w:ind w:left="0" w:firstLine="440" w:firstLineChars="200"/>
        <w:contextualSpacing/>
        <w:textAlignment w:val="auto"/>
        <w:rPr>
          <w:rFonts w:hint="eastAsia" w:ascii="宋体" w:hAnsi="宋体" w:eastAsia="宋体" w:cs="宋体"/>
          <w:b w:val="0"/>
          <w:bCs w:val="0"/>
          <w:color w:val="auto"/>
          <w:kern w:val="0"/>
          <w:sz w:val="22"/>
          <w:szCs w:val="22"/>
          <w:highlight w:val="none"/>
          <w:lang w:val="zh-CN"/>
        </w:rPr>
      </w:pPr>
      <w:r>
        <w:rPr>
          <w:rFonts w:hint="eastAsia" w:ascii="宋体" w:hAnsi="宋体" w:eastAsia="宋体" w:cs="宋体"/>
          <w:b w:val="0"/>
          <w:bCs w:val="0"/>
          <w:color w:val="auto"/>
          <w:kern w:val="0"/>
          <w:sz w:val="22"/>
          <w:szCs w:val="22"/>
          <w:highlight w:val="none"/>
          <w:lang w:val="zh-CN"/>
        </w:rPr>
        <w:t>2、</w:t>
      </w:r>
      <w:r>
        <w:rPr>
          <w:rFonts w:hint="eastAsia" w:ascii="宋体" w:hAnsi="宋体" w:eastAsia="宋体" w:cs="宋体"/>
          <w:b w:val="0"/>
          <w:bCs w:val="0"/>
          <w:color w:val="auto"/>
          <w:sz w:val="22"/>
          <w:szCs w:val="22"/>
          <w:highlight w:val="none"/>
        </w:rPr>
        <w:t>技术部分正负偏离表</w:t>
      </w:r>
      <w:r>
        <w:rPr>
          <w:rFonts w:hint="eastAsia" w:ascii="宋体" w:hAnsi="宋体" w:eastAsia="宋体" w:cs="宋体"/>
          <w:b w:val="0"/>
          <w:bCs w:val="0"/>
          <w:color w:val="auto"/>
          <w:kern w:val="0"/>
          <w:sz w:val="22"/>
          <w:szCs w:val="22"/>
          <w:highlight w:val="none"/>
          <w:lang w:val="zh-CN"/>
        </w:rPr>
        <w:t>；</w:t>
      </w:r>
    </w:p>
    <w:p w14:paraId="20A290CA">
      <w:pPr>
        <w:keepNext w:val="0"/>
        <w:keepLines w:val="0"/>
        <w:pageBreakBefore w:val="0"/>
        <w:widowControl w:val="0"/>
        <w:kinsoku/>
        <w:wordWrap/>
        <w:overflowPunct/>
        <w:topLinePunct w:val="0"/>
        <w:bidi w:val="0"/>
        <w:snapToGrid w:val="0"/>
        <w:spacing w:line="480" w:lineRule="exact"/>
        <w:ind w:left="0" w:firstLine="440" w:firstLineChars="200"/>
        <w:contextualSpacing/>
        <w:textAlignment w:val="auto"/>
        <w:rPr>
          <w:rFonts w:hint="eastAsia" w:ascii="宋体" w:hAnsi="宋体" w:eastAsia="宋体" w:cs="宋体"/>
          <w:b w:val="0"/>
          <w:bCs w:val="0"/>
          <w:color w:val="auto"/>
          <w:kern w:val="0"/>
          <w:sz w:val="22"/>
          <w:szCs w:val="22"/>
          <w:highlight w:val="none"/>
          <w:lang w:val="zh-CN"/>
        </w:rPr>
      </w:pPr>
      <w:r>
        <w:rPr>
          <w:rFonts w:hint="eastAsia" w:ascii="宋体" w:hAnsi="宋体" w:eastAsia="宋体" w:cs="宋体"/>
          <w:b w:val="0"/>
          <w:bCs w:val="0"/>
          <w:color w:val="auto"/>
          <w:kern w:val="0"/>
          <w:sz w:val="22"/>
          <w:szCs w:val="22"/>
          <w:highlight w:val="none"/>
          <w:lang w:val="zh-CN"/>
        </w:rPr>
        <w:t>3、</w:t>
      </w:r>
      <w:r>
        <w:rPr>
          <w:rFonts w:hint="eastAsia" w:ascii="宋体" w:hAnsi="宋体" w:eastAsia="宋体" w:cs="宋体"/>
          <w:b w:val="0"/>
          <w:bCs w:val="0"/>
          <w:color w:val="auto"/>
          <w:sz w:val="22"/>
          <w:szCs w:val="22"/>
          <w:highlight w:val="none"/>
        </w:rPr>
        <w:t>商务部分正负偏离表</w:t>
      </w:r>
      <w:r>
        <w:rPr>
          <w:rFonts w:hint="eastAsia" w:ascii="宋体" w:hAnsi="宋体" w:eastAsia="宋体" w:cs="宋体"/>
          <w:b w:val="0"/>
          <w:bCs w:val="0"/>
          <w:color w:val="auto"/>
          <w:kern w:val="0"/>
          <w:sz w:val="22"/>
          <w:szCs w:val="22"/>
          <w:highlight w:val="none"/>
          <w:lang w:val="zh-CN"/>
        </w:rPr>
        <w:t>；</w:t>
      </w:r>
    </w:p>
    <w:p w14:paraId="6414FA22">
      <w:pPr>
        <w:keepNext w:val="0"/>
        <w:keepLines w:val="0"/>
        <w:pageBreakBefore w:val="0"/>
        <w:widowControl w:val="0"/>
        <w:kinsoku/>
        <w:wordWrap/>
        <w:overflowPunct/>
        <w:topLinePunct w:val="0"/>
        <w:bidi w:val="0"/>
        <w:snapToGrid w:val="0"/>
        <w:spacing w:line="480" w:lineRule="exact"/>
        <w:ind w:left="0" w:firstLine="440" w:firstLineChars="200"/>
        <w:contextualSpacing/>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4、供应商一般情况表；</w:t>
      </w:r>
    </w:p>
    <w:p w14:paraId="0008AAA7">
      <w:pPr>
        <w:keepNext w:val="0"/>
        <w:keepLines w:val="0"/>
        <w:pageBreakBefore w:val="0"/>
        <w:widowControl w:val="0"/>
        <w:kinsoku/>
        <w:wordWrap/>
        <w:overflowPunct/>
        <w:topLinePunct w:val="0"/>
        <w:bidi w:val="0"/>
        <w:snapToGrid w:val="0"/>
        <w:spacing w:line="480" w:lineRule="exact"/>
        <w:ind w:lef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sz w:val="22"/>
          <w:szCs w:val="22"/>
          <w:highlight w:val="none"/>
        </w:rPr>
        <w:t>商务技术评分标准中须提供的相关得分佐证材料；</w:t>
      </w:r>
    </w:p>
    <w:p w14:paraId="6A0608A6">
      <w:pPr>
        <w:pStyle w:val="17"/>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、评审办法中未涉及的事项，供应商认为需要提交的其他资料。</w:t>
      </w:r>
    </w:p>
    <w:p w14:paraId="1354482B">
      <w:pPr>
        <w:pStyle w:val="17"/>
        <w:keepNext w:val="0"/>
        <w:keepLines w:val="0"/>
        <w:pageBreakBefore w:val="0"/>
        <w:widowControl w:val="0"/>
        <w:kinsoku/>
        <w:wordWrap/>
        <w:overflowPunct/>
        <w:topLinePunct w:val="0"/>
        <w:bidi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供应商应认真阅读仔细研究</w:t>
      </w:r>
      <w:r>
        <w:rPr>
          <w:rFonts w:hint="eastAsia" w:ascii="宋体" w:hAnsi="宋体" w:eastAsia="宋体" w:cs="宋体"/>
          <w:color w:val="auto"/>
          <w:sz w:val="22"/>
          <w:szCs w:val="22"/>
          <w:highlight w:val="none"/>
          <w:lang w:val="en-US" w:eastAsia="zh-CN"/>
        </w:rPr>
        <w:t>采购文件</w:t>
      </w:r>
      <w:r>
        <w:rPr>
          <w:rFonts w:hint="eastAsia" w:ascii="宋体" w:hAnsi="宋体" w:eastAsia="宋体" w:cs="宋体"/>
          <w:color w:val="auto"/>
          <w:sz w:val="22"/>
          <w:szCs w:val="22"/>
          <w:highlight w:val="none"/>
          <w:lang w:val="zh-CN"/>
        </w:rPr>
        <w:t>第三部分项目需求中的内容，在理解的基础上结合本</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文件第四部分中的商务技术分评分细则进行技术文件的编写。</w:t>
      </w:r>
    </w:p>
    <w:p w14:paraId="66885743">
      <w:pPr>
        <w:pStyle w:val="17"/>
        <w:keepNext w:val="0"/>
        <w:keepLines w:val="0"/>
        <w:pageBreakBefore w:val="0"/>
        <w:widowControl w:val="0"/>
        <w:kinsoku/>
        <w:wordWrap/>
        <w:overflowPunct/>
        <w:topLinePunct w:val="0"/>
        <w:bidi w:val="0"/>
        <w:snapToGrid w:val="0"/>
        <w:spacing w:line="480" w:lineRule="exact"/>
        <w:ind w:lef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w:t>
      </w:r>
    </w:p>
    <w:p w14:paraId="5AA02FD9">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1、磋商报价总表；</w:t>
      </w:r>
    </w:p>
    <w:p w14:paraId="0A3519AB">
      <w:pPr>
        <w:keepNext w:val="0"/>
        <w:keepLines w:val="0"/>
        <w:pageBreakBefore w:val="0"/>
        <w:widowControl w:val="0"/>
        <w:tabs>
          <w:tab w:val="left" w:pos="3375"/>
        </w:tabs>
        <w:kinsoku/>
        <w:wordWrap/>
        <w:overflowPunct/>
        <w:topLinePunct w:val="0"/>
        <w:autoSpaceDE w:val="0"/>
        <w:autoSpaceDN w:val="0"/>
        <w:bidi w:val="0"/>
        <w:adjustRightInd w:val="0"/>
        <w:snapToGrid w:val="0"/>
        <w:spacing w:line="48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2、磋商响应报价明细表（首次）；</w:t>
      </w:r>
    </w:p>
    <w:p w14:paraId="15F91B0D">
      <w:pPr>
        <w:spacing w:line="360" w:lineRule="auto"/>
        <w:ind w:firstLine="643" w:firstLineChars="200"/>
        <w:rPr>
          <w:rFonts w:hint="eastAsia" w:ascii="Calibri" w:hAnsi="Calibri" w:eastAsia="宋体"/>
          <w:b/>
          <w:bCs/>
          <w:color w:val="auto"/>
          <w:sz w:val="32"/>
          <w:szCs w:val="32"/>
          <w:highlight w:val="none"/>
          <w:lang w:eastAsia="zh-CN"/>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44007E05">
      <w:pPr>
        <w:rPr>
          <w:rFonts w:hint="eastAsia"/>
          <w:color w:val="auto"/>
          <w:highlight w:val="none"/>
          <w:lang w:eastAsia="zh-CN"/>
        </w:rPr>
      </w:pPr>
    </w:p>
    <w:p w14:paraId="3EF0947D">
      <w:pPr>
        <w:spacing w:line="360" w:lineRule="auto"/>
        <w:ind w:firstLine="480" w:firstLineChars="200"/>
        <w:rPr>
          <w:rFonts w:ascii="宋体" w:hAnsi="宋体" w:cs="宋体"/>
          <w:color w:val="auto"/>
          <w:sz w:val="24"/>
          <w:highlight w:val="none"/>
        </w:rPr>
      </w:pPr>
    </w:p>
    <w:p w14:paraId="02B3C9A0">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3D31A95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14:paraId="76C1566F">
      <w:pPr>
        <w:spacing w:line="360" w:lineRule="auto"/>
        <w:ind w:firstLine="2400" w:firstLineChars="1000"/>
        <w:rPr>
          <w:rFonts w:ascii="宋体" w:hAnsi="宋体" w:cs="宋体"/>
          <w:color w:val="auto"/>
          <w:sz w:val="24"/>
          <w:highlight w:val="none"/>
        </w:rPr>
      </w:pPr>
    </w:p>
    <w:p w14:paraId="33090FF1">
      <w:pPr>
        <w:spacing w:line="360" w:lineRule="auto"/>
        <w:rPr>
          <w:rFonts w:ascii="宋体" w:hAnsi="宋体" w:cs="宋体"/>
          <w:color w:val="auto"/>
          <w:sz w:val="24"/>
          <w:highlight w:val="none"/>
        </w:rPr>
      </w:pPr>
    </w:p>
    <w:p w14:paraId="32578B8E">
      <w:pPr>
        <w:spacing w:line="360" w:lineRule="auto"/>
        <w:rPr>
          <w:rFonts w:ascii="宋体" w:hAnsi="宋体" w:cs="宋体"/>
          <w:color w:val="auto"/>
          <w:sz w:val="24"/>
          <w:highlight w:val="none"/>
        </w:rPr>
      </w:pPr>
    </w:p>
    <w:p w14:paraId="28E7D773">
      <w:pPr>
        <w:spacing w:line="360" w:lineRule="auto"/>
        <w:rPr>
          <w:rFonts w:ascii="宋体" w:hAnsi="宋体" w:cs="宋体"/>
          <w:color w:val="auto"/>
          <w:sz w:val="24"/>
          <w:highlight w:val="none"/>
        </w:rPr>
      </w:pPr>
    </w:p>
    <w:p w14:paraId="5D38660A">
      <w:pPr>
        <w:spacing w:line="360" w:lineRule="auto"/>
        <w:rPr>
          <w:rFonts w:ascii="宋体" w:hAnsi="宋体" w:cs="宋体"/>
          <w:color w:val="auto"/>
          <w:sz w:val="24"/>
          <w:highlight w:val="none"/>
        </w:rPr>
      </w:pPr>
    </w:p>
    <w:p w14:paraId="57501C64">
      <w:pPr>
        <w:spacing w:line="360" w:lineRule="auto"/>
        <w:rPr>
          <w:rFonts w:ascii="宋体" w:hAnsi="宋体" w:cs="宋体"/>
          <w:color w:val="auto"/>
          <w:sz w:val="24"/>
          <w:highlight w:val="none"/>
        </w:rPr>
      </w:pPr>
    </w:p>
    <w:p w14:paraId="2EA0DAF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14:paraId="20464D32">
      <w:pPr>
        <w:spacing w:line="360" w:lineRule="auto"/>
        <w:rPr>
          <w:rFonts w:ascii="宋体" w:hAnsi="宋体" w:cs="宋体"/>
          <w:color w:val="auto"/>
          <w:sz w:val="24"/>
          <w:highlight w:val="none"/>
        </w:rPr>
      </w:pPr>
    </w:p>
    <w:p w14:paraId="7408ADDA">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14:paraId="7A4EFD88">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 xml:space="preserve"> 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14:paraId="3B8A120E">
      <w:pPr>
        <w:spacing w:line="360" w:lineRule="auto"/>
        <w:ind w:firstLine="2400" w:firstLineChars="1000"/>
        <w:rPr>
          <w:rFonts w:ascii="宋体" w:hAnsi="宋体" w:cs="宋体"/>
          <w:bCs/>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14:paraId="5B976C44">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7DCE1C42">
      <w:pPr>
        <w:jc w:val="center"/>
        <w:rPr>
          <w:rFonts w:ascii="宋体" w:hAnsi="宋体" w:cs="宋体"/>
          <w:b/>
          <w:color w:val="auto"/>
          <w:sz w:val="24"/>
          <w:highlight w:val="none"/>
        </w:rPr>
      </w:pPr>
    </w:p>
    <w:p w14:paraId="1345A43C">
      <w:pPr>
        <w:snapToGrid w:val="0"/>
        <w:spacing w:line="520" w:lineRule="exact"/>
        <w:jc w:val="center"/>
        <w:rPr>
          <w:rFonts w:ascii="宋体" w:hAnsi="宋体" w:cs="宋体"/>
          <w:b/>
          <w:color w:val="auto"/>
          <w:sz w:val="24"/>
          <w:highlight w:val="none"/>
        </w:rPr>
      </w:pPr>
    </w:p>
    <w:p w14:paraId="4C43374F">
      <w:pPr>
        <w:spacing w:line="360" w:lineRule="auto"/>
        <w:rPr>
          <w:rFonts w:ascii="宋体" w:hAnsi="宋体" w:cs="宋体"/>
          <w:color w:val="auto"/>
          <w:sz w:val="24"/>
          <w:highlight w:val="none"/>
        </w:rPr>
      </w:pPr>
    </w:p>
    <w:p w14:paraId="02D7D7D2">
      <w:pPr>
        <w:spacing w:line="360" w:lineRule="auto"/>
        <w:rPr>
          <w:rFonts w:ascii="宋体" w:hAnsi="宋体" w:cs="宋体"/>
          <w:color w:val="auto"/>
          <w:sz w:val="24"/>
          <w:highlight w:val="none"/>
        </w:rPr>
      </w:pPr>
    </w:p>
    <w:p w14:paraId="6F76C787">
      <w:pPr>
        <w:spacing w:line="360" w:lineRule="auto"/>
        <w:rPr>
          <w:rFonts w:ascii="宋体" w:hAnsi="宋体" w:cs="宋体"/>
          <w:color w:val="auto"/>
          <w:sz w:val="24"/>
          <w:highlight w:val="none"/>
        </w:rPr>
      </w:pPr>
    </w:p>
    <w:p w14:paraId="1B56B8F5">
      <w:pPr>
        <w:spacing w:line="360" w:lineRule="auto"/>
        <w:rPr>
          <w:rFonts w:ascii="宋体" w:hAnsi="宋体" w:cs="宋体"/>
          <w:color w:val="auto"/>
          <w:sz w:val="24"/>
          <w:highlight w:val="none"/>
        </w:rPr>
      </w:pPr>
    </w:p>
    <w:p w14:paraId="1F2099B1">
      <w:pPr>
        <w:spacing w:line="360" w:lineRule="auto"/>
        <w:rPr>
          <w:rFonts w:ascii="宋体" w:hAnsi="宋体" w:cs="宋体"/>
          <w:color w:val="auto"/>
          <w:sz w:val="24"/>
          <w:highlight w:val="none"/>
        </w:rPr>
      </w:pPr>
    </w:p>
    <w:p w14:paraId="470A682E">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w:t>
      </w:r>
      <w:r>
        <w:rPr>
          <w:rFonts w:hint="eastAsia" w:ascii="宋体" w:hAnsi="宋体" w:cs="宋体"/>
          <w:color w:val="auto"/>
          <w:sz w:val="24"/>
          <w:szCs w:val="24"/>
          <w:highlight w:val="none"/>
          <w:lang w:val="en-US" w:eastAsia="zh-CN"/>
        </w:rPr>
        <w:t>盖</w:t>
      </w:r>
      <w:r>
        <w:rPr>
          <w:rFonts w:hint="eastAsia"/>
          <w:b w:val="0"/>
          <w:bCs/>
          <w:color w:val="auto"/>
          <w:sz w:val="24"/>
          <w:szCs w:val="24"/>
          <w:highlight w:val="none"/>
          <w:lang w:val="en-US" w:eastAsia="zh-CN"/>
        </w:rPr>
        <w:t>供应商公章</w:t>
      </w:r>
      <w:r>
        <w:rPr>
          <w:rFonts w:hint="eastAsia" w:ascii="宋体" w:hAnsi="宋体" w:cs="宋体"/>
          <w:color w:val="auto"/>
          <w:sz w:val="24"/>
          <w:highlight w:val="none"/>
        </w:rPr>
        <w:t>）</w:t>
      </w:r>
    </w:p>
    <w:p w14:paraId="47AF49BA">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66C8A919">
      <w:pPr>
        <w:keepNext w:val="0"/>
        <w:keepLines w:val="0"/>
        <w:pageBreakBefore w:val="0"/>
        <w:widowControl w:val="0"/>
        <w:kinsoku/>
        <w:wordWrap/>
        <w:overflowPunct/>
        <w:topLinePunct w:val="0"/>
        <w:autoSpaceDE/>
        <w:autoSpaceDN/>
        <w:bidi w:val="0"/>
        <w:adjustRightInd/>
        <w:spacing w:line="480" w:lineRule="exact"/>
        <w:jc w:val="left"/>
        <w:textAlignment w:val="auto"/>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14:paraId="12D4C547">
      <w:pPr>
        <w:pStyle w:val="18"/>
        <w:keepNext w:val="0"/>
        <w:keepLines w:val="0"/>
        <w:pageBreakBefore w:val="0"/>
        <w:widowControl w:val="0"/>
        <w:kinsoku/>
        <w:wordWrap/>
        <w:overflowPunct/>
        <w:topLinePunct w:val="0"/>
        <w:autoSpaceDE/>
        <w:autoSpaceDN/>
        <w:bidi w:val="0"/>
        <w:adjustRightInd/>
        <w:spacing w:line="480" w:lineRule="exact"/>
        <w:ind w:firstLine="482" w:firstLineChars="200"/>
        <w:jc w:val="center"/>
        <w:textAlignment w:val="auto"/>
        <w:rPr>
          <w:b/>
          <w:bCs/>
          <w:color w:val="auto"/>
          <w:sz w:val="44"/>
          <w:szCs w:val="4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供应商符合规定条件的声明函</w:t>
      </w:r>
      <w:r>
        <w:rPr>
          <w:b/>
          <w:bCs/>
          <w:color w:val="auto"/>
          <w:sz w:val="24"/>
          <w:szCs w:val="24"/>
          <w:highlight w:val="none"/>
        </w:rPr>
        <w:t xml:space="preserve">     </w:t>
      </w:r>
      <w:r>
        <w:rPr>
          <w:b/>
          <w:bCs/>
          <w:color w:val="auto"/>
          <w:sz w:val="24"/>
          <w:szCs w:val="21"/>
          <w:highlight w:val="none"/>
        </w:rPr>
        <w:t xml:space="preserve">              </w:t>
      </w:r>
      <w:r>
        <w:rPr>
          <w:b/>
          <w:bCs/>
          <w:color w:val="auto"/>
          <w:sz w:val="44"/>
          <w:szCs w:val="44"/>
          <w:highlight w:val="none"/>
        </w:rPr>
        <w:t xml:space="preserve">   </w:t>
      </w:r>
    </w:p>
    <w:p w14:paraId="21311D5C">
      <w:pPr>
        <w:keepNext w:val="0"/>
        <w:keepLines w:val="0"/>
        <w:pageBreakBefore w:val="0"/>
        <w:widowControl w:val="0"/>
        <w:kinsoku/>
        <w:wordWrap/>
        <w:overflowPunct/>
        <w:topLinePunct w:val="0"/>
        <w:autoSpaceDE/>
        <w:autoSpaceDN/>
        <w:bidi w:val="0"/>
        <w:adjustRightInd/>
        <w:spacing w:line="480" w:lineRule="exact"/>
        <w:ind w:firstLine="440" w:firstLineChars="200"/>
        <w:textAlignment w:val="auto"/>
        <w:rPr>
          <w:b/>
          <w:bCs/>
          <w:color w:val="auto"/>
          <w:sz w:val="22"/>
          <w:szCs w:val="22"/>
          <w:highlight w:val="none"/>
        </w:rPr>
      </w:pPr>
      <w:r>
        <w:rPr>
          <w:bCs/>
          <w:color w:val="auto"/>
          <w:sz w:val="22"/>
          <w:szCs w:val="22"/>
          <w:highlight w:val="none"/>
        </w:rPr>
        <w:t>我单位参加</w:t>
      </w:r>
      <w:r>
        <w:rPr>
          <w:bCs/>
          <w:color w:val="auto"/>
          <w:sz w:val="22"/>
          <w:szCs w:val="20"/>
          <w:highlight w:val="none"/>
          <w:u w:val="single"/>
        </w:rPr>
        <w:t xml:space="preserve">            </w:t>
      </w:r>
      <w:r>
        <w:rPr>
          <w:bCs/>
          <w:color w:val="auto"/>
          <w:sz w:val="22"/>
          <w:szCs w:val="20"/>
          <w:highlight w:val="none"/>
        </w:rPr>
        <w:t>（项目名称）</w:t>
      </w:r>
      <w:r>
        <w:rPr>
          <w:rFonts w:hint="eastAsia"/>
          <w:bCs/>
          <w:color w:val="auto"/>
          <w:sz w:val="22"/>
          <w:szCs w:val="20"/>
          <w:highlight w:val="none"/>
          <w:lang w:val="en-US" w:eastAsia="zh-CN"/>
        </w:rPr>
        <w:t>采购</w:t>
      </w:r>
      <w:r>
        <w:rPr>
          <w:bCs/>
          <w:color w:val="auto"/>
          <w:sz w:val="22"/>
          <w:szCs w:val="20"/>
          <w:highlight w:val="none"/>
        </w:rPr>
        <w:t>活动。</w:t>
      </w:r>
      <w:r>
        <w:rPr>
          <w:bCs/>
          <w:color w:val="auto"/>
          <w:sz w:val="22"/>
          <w:szCs w:val="22"/>
          <w:highlight w:val="none"/>
        </w:rPr>
        <w:t>我单位</w:t>
      </w:r>
      <w:r>
        <w:rPr>
          <w:bCs/>
          <w:color w:val="auto"/>
          <w:sz w:val="22"/>
          <w:szCs w:val="20"/>
          <w:highlight w:val="none"/>
        </w:rPr>
        <w:t>声明如下：</w:t>
      </w:r>
    </w:p>
    <w:p w14:paraId="3E6B6141">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我单位具有独立承担民事责任的能力；</w:t>
      </w:r>
    </w:p>
    <w:p w14:paraId="4498BCA0">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我单位具有良好的商业信誉和健全的财务会计制度；</w:t>
      </w:r>
    </w:p>
    <w:p w14:paraId="38133202">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 xml:space="preserve">我单位具有履行合同所必需的设备和专业技术能力； </w:t>
      </w:r>
    </w:p>
    <w:p w14:paraId="38541084">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我单位有依法缴纳税收和社会保障资金的良好记录；</w:t>
      </w:r>
    </w:p>
    <w:p w14:paraId="533D1CC4">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我单位参加采购活动前三年内，在经营活动中没有重大违法记录；在</w:t>
      </w:r>
      <w:r>
        <w:rPr>
          <w:rFonts w:hint="eastAsia"/>
          <w:color w:val="auto"/>
          <w:kern w:val="0"/>
          <w:sz w:val="22"/>
          <w:szCs w:val="22"/>
          <w:highlight w:val="none"/>
          <w:lang w:val="en-US" w:eastAsia="zh-CN"/>
        </w:rPr>
        <w:t>递交响应文件</w:t>
      </w:r>
      <w:r>
        <w:rPr>
          <w:color w:val="auto"/>
          <w:kern w:val="0"/>
          <w:sz w:val="22"/>
          <w:szCs w:val="22"/>
          <w:highlight w:val="none"/>
          <w:lang w:val="zh-CN"/>
        </w:rPr>
        <w:t>截止时间节点，没有被“信用中国”网站（www.creditchina.gov.cn）列入失信被执行人、重大税收违法案件当事人名单、政府采购严重失信行为记录名单；</w:t>
      </w:r>
    </w:p>
    <w:p w14:paraId="564CD259">
      <w:pPr>
        <w:keepNext w:val="0"/>
        <w:keepLines w:val="0"/>
        <w:pageBreakBefore w:val="0"/>
        <w:widowControl w:val="0"/>
        <w:numPr>
          <w:ilvl w:val="0"/>
          <w:numId w:val="29"/>
        </w:numPr>
        <w:kinsoku/>
        <w:wordWrap/>
        <w:overflowPunct/>
        <w:topLinePunct w:val="0"/>
        <w:autoSpaceDE/>
        <w:autoSpaceDN/>
        <w:bidi w:val="0"/>
        <w:adjustRightInd/>
        <w:snapToGrid w:val="0"/>
        <w:spacing w:line="480" w:lineRule="exact"/>
        <w:ind w:firstLine="440" w:firstLineChars="200"/>
        <w:contextualSpacing/>
        <w:textAlignment w:val="auto"/>
        <w:rPr>
          <w:color w:val="auto"/>
          <w:kern w:val="0"/>
          <w:sz w:val="22"/>
          <w:szCs w:val="22"/>
          <w:highlight w:val="none"/>
          <w:lang w:val="zh-CN"/>
        </w:rPr>
      </w:pPr>
      <w:r>
        <w:rPr>
          <w:color w:val="auto"/>
          <w:kern w:val="0"/>
          <w:sz w:val="22"/>
          <w:szCs w:val="22"/>
          <w:highlight w:val="none"/>
          <w:lang w:val="zh-CN"/>
        </w:rPr>
        <w:t>我单位满足法律、行政法规规定的其他条件。</w:t>
      </w:r>
    </w:p>
    <w:p w14:paraId="300ED9E6">
      <w:pPr>
        <w:keepNext w:val="0"/>
        <w:keepLines w:val="0"/>
        <w:pageBreakBefore w:val="0"/>
        <w:widowControl w:val="0"/>
        <w:kinsoku/>
        <w:wordWrap/>
        <w:overflowPunct/>
        <w:topLinePunct w:val="0"/>
        <w:autoSpaceDE/>
        <w:autoSpaceDN/>
        <w:bidi w:val="0"/>
        <w:adjustRightInd/>
        <w:spacing w:line="480" w:lineRule="exact"/>
        <w:ind w:firstLine="440" w:firstLineChars="200"/>
        <w:textAlignment w:val="auto"/>
        <w:rPr>
          <w:color w:val="auto"/>
          <w:sz w:val="22"/>
          <w:szCs w:val="22"/>
          <w:highlight w:val="none"/>
        </w:rPr>
      </w:pPr>
    </w:p>
    <w:p w14:paraId="75C93D4C">
      <w:pPr>
        <w:keepNext w:val="0"/>
        <w:keepLines w:val="0"/>
        <w:pageBreakBefore w:val="0"/>
        <w:widowControl w:val="0"/>
        <w:kinsoku/>
        <w:wordWrap/>
        <w:overflowPunct/>
        <w:topLinePunct w:val="0"/>
        <w:autoSpaceDE/>
        <w:autoSpaceDN/>
        <w:bidi w:val="0"/>
        <w:adjustRightInd/>
        <w:spacing w:line="480" w:lineRule="exact"/>
        <w:ind w:firstLine="440" w:firstLineChars="200"/>
        <w:jc w:val="center"/>
        <w:textAlignment w:val="auto"/>
        <w:rPr>
          <w:bCs/>
          <w:color w:val="auto"/>
          <w:sz w:val="22"/>
          <w:szCs w:val="20"/>
          <w:highlight w:val="none"/>
        </w:rPr>
      </w:pPr>
      <w:r>
        <w:rPr>
          <w:bCs/>
          <w:color w:val="auto"/>
          <w:sz w:val="22"/>
          <w:szCs w:val="20"/>
          <w:highlight w:val="none"/>
        </w:rPr>
        <w:t xml:space="preserve">                                     承诺人名称（盖</w:t>
      </w:r>
      <w:r>
        <w:rPr>
          <w:rFonts w:hint="eastAsia"/>
          <w:b w:val="0"/>
          <w:bCs/>
          <w:color w:val="auto"/>
          <w:sz w:val="22"/>
          <w:szCs w:val="21"/>
          <w:highlight w:val="none"/>
          <w:lang w:val="en-US" w:eastAsia="zh-CN"/>
        </w:rPr>
        <w:t>供应商</w:t>
      </w:r>
      <w:r>
        <w:rPr>
          <w:bCs/>
          <w:color w:val="auto"/>
          <w:sz w:val="22"/>
          <w:szCs w:val="20"/>
          <w:highlight w:val="none"/>
        </w:rPr>
        <w:t>公章）：</w:t>
      </w:r>
    </w:p>
    <w:p w14:paraId="6A60705B">
      <w:pPr>
        <w:keepNext w:val="0"/>
        <w:keepLines w:val="0"/>
        <w:pageBreakBefore w:val="0"/>
        <w:widowControl w:val="0"/>
        <w:kinsoku/>
        <w:wordWrap/>
        <w:overflowPunct/>
        <w:topLinePunct w:val="0"/>
        <w:autoSpaceDE/>
        <w:autoSpaceDN/>
        <w:bidi w:val="0"/>
        <w:adjustRightInd/>
        <w:spacing w:line="480" w:lineRule="exact"/>
        <w:ind w:firstLine="440" w:firstLineChars="200"/>
        <w:jc w:val="right"/>
        <w:textAlignment w:val="auto"/>
        <w:rPr>
          <w:bCs/>
          <w:color w:val="auto"/>
          <w:sz w:val="22"/>
          <w:szCs w:val="20"/>
          <w:highlight w:val="none"/>
        </w:rPr>
      </w:pPr>
      <w:r>
        <w:rPr>
          <w:bCs/>
          <w:color w:val="auto"/>
          <w:sz w:val="22"/>
          <w:szCs w:val="20"/>
          <w:highlight w:val="none"/>
        </w:rPr>
        <w:t xml:space="preserve">  </w:t>
      </w:r>
    </w:p>
    <w:p w14:paraId="38285E30">
      <w:pPr>
        <w:keepNext w:val="0"/>
        <w:keepLines w:val="0"/>
        <w:pageBreakBefore w:val="0"/>
        <w:widowControl w:val="0"/>
        <w:kinsoku/>
        <w:wordWrap/>
        <w:overflowPunct/>
        <w:topLinePunct w:val="0"/>
        <w:autoSpaceDE/>
        <w:autoSpaceDN/>
        <w:bidi w:val="0"/>
        <w:adjustRightInd/>
        <w:spacing w:line="480" w:lineRule="exact"/>
        <w:ind w:firstLine="440" w:firstLineChars="200"/>
        <w:jc w:val="right"/>
        <w:textAlignment w:val="auto"/>
        <w:rPr>
          <w:rFonts w:ascii="宋体" w:hAnsi="宋体" w:cs="宋体"/>
          <w:color w:val="auto"/>
          <w:sz w:val="22"/>
          <w:szCs w:val="22"/>
          <w:highlight w:val="none"/>
        </w:rPr>
      </w:pPr>
      <w:r>
        <w:rPr>
          <w:bCs/>
          <w:color w:val="auto"/>
          <w:sz w:val="22"/>
          <w:szCs w:val="20"/>
          <w:highlight w:val="none"/>
        </w:rPr>
        <w:t xml:space="preserve">                              日期：______年</w:t>
      </w:r>
      <w:r>
        <w:rPr>
          <w:bCs/>
          <w:color w:val="auto"/>
          <w:sz w:val="22"/>
          <w:szCs w:val="20"/>
          <w:highlight w:val="none"/>
          <w:u w:val="single"/>
        </w:rPr>
        <w:t xml:space="preserve">    </w:t>
      </w:r>
      <w:r>
        <w:rPr>
          <w:bCs/>
          <w:color w:val="auto"/>
          <w:sz w:val="22"/>
          <w:szCs w:val="20"/>
          <w:highlight w:val="none"/>
        </w:rPr>
        <w:t>月</w:t>
      </w:r>
      <w:r>
        <w:rPr>
          <w:bCs/>
          <w:color w:val="auto"/>
          <w:sz w:val="22"/>
          <w:szCs w:val="20"/>
          <w:highlight w:val="none"/>
          <w:u w:val="single"/>
        </w:rPr>
        <w:t xml:space="preserve">    </w:t>
      </w:r>
      <w:r>
        <w:rPr>
          <w:bCs/>
          <w:color w:val="auto"/>
          <w:sz w:val="22"/>
          <w:szCs w:val="20"/>
          <w:highlight w:val="none"/>
        </w:rPr>
        <w:t>日</w:t>
      </w:r>
    </w:p>
    <w:p w14:paraId="015F024F">
      <w:pPr>
        <w:spacing w:line="360" w:lineRule="auto"/>
        <w:jc w:val="center"/>
        <w:rPr>
          <w:rFonts w:ascii="宋体" w:hAnsi="宋体" w:cs="宋体"/>
          <w:color w:val="auto"/>
          <w:sz w:val="24"/>
          <w:highlight w:val="none"/>
          <w:u w:val="single"/>
        </w:rPr>
      </w:pPr>
      <w:r>
        <w:rPr>
          <w:rFonts w:ascii="宋体" w:hAnsi="宋体" w:cs="宋体"/>
          <w:b/>
          <w:bCs/>
          <w:color w:val="auto"/>
          <w:sz w:val="24"/>
          <w:highlight w:val="none"/>
        </w:rPr>
        <w:br w:type="page"/>
      </w:r>
      <w:r>
        <w:rPr>
          <w:rFonts w:hint="eastAsia" w:ascii="宋体" w:hAnsi="宋体" w:cs="宋体"/>
          <w:b/>
          <w:bCs/>
          <w:color w:val="auto"/>
          <w:sz w:val="24"/>
          <w:szCs w:val="24"/>
          <w:highlight w:val="none"/>
        </w:rPr>
        <w:t>2、法定代表人身份证明</w:t>
      </w:r>
    </w:p>
    <w:p w14:paraId="34381641">
      <w:pPr>
        <w:keepNext w:val="0"/>
        <w:keepLines w:val="0"/>
        <w:pageBreakBefore w:val="0"/>
        <w:kinsoku/>
        <w:wordWrap/>
        <w:overflowPunct/>
        <w:topLinePunct w:val="0"/>
        <w:autoSpaceDE/>
        <w:autoSpaceDN/>
        <w:bidi w:val="0"/>
        <w:adjustRightInd w:val="0"/>
        <w:snapToGrid w:val="0"/>
        <w:spacing w:line="480" w:lineRule="exact"/>
        <w:ind w:firstLine="440" w:firstLineChars="200"/>
        <w:jc w:val="left"/>
        <w:textAlignment w:val="auto"/>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79388269">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我公司法定代表人</w:t>
      </w:r>
      <w:r>
        <w:rPr>
          <w:rFonts w:hint="eastAsia" w:ascii="宋体" w:hAnsi="宋体" w:cs="宋体"/>
          <w:color w:val="auto"/>
          <w:sz w:val="22"/>
          <w:szCs w:val="22"/>
          <w:highlight w:val="none"/>
          <w:u w:val="single"/>
        </w:rPr>
        <w:t>　</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姓名</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rPr>
        <w:t>参加贵单位组织的</w:t>
      </w:r>
      <w:r>
        <w:rPr>
          <w:rFonts w:hint="eastAsia" w:ascii="宋体" w:hAnsi="宋体" w:cs="宋体"/>
          <w:color w:val="auto"/>
          <w:sz w:val="22"/>
          <w:szCs w:val="22"/>
          <w:highlight w:val="none"/>
          <w:u w:val="single"/>
        </w:rPr>
        <w:t>（竞争性磋商项目名称及项目编号</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rPr>
        <w:t>项目的磋商活动，全权代表我公司处理竞争性磋商的有关事宜。</w:t>
      </w:r>
    </w:p>
    <w:p w14:paraId="3C87014A">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2BF406B9">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附：法定代表人情况：</w:t>
      </w:r>
    </w:p>
    <w:p w14:paraId="15CB2CEF">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lang w:val="en-US" w:eastAsia="zh-CN"/>
        </w:rPr>
        <w:t xml:space="preserve">       ；</w:t>
      </w:r>
    </w:p>
    <w:p w14:paraId="08F254D7">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lang w:val="en-US" w:eastAsia="zh-CN"/>
        </w:rPr>
        <w:t xml:space="preserve">       ；</w:t>
      </w:r>
    </w:p>
    <w:p w14:paraId="72255553">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lang w:val="en-US" w:eastAsia="zh-CN"/>
        </w:rPr>
        <w:t xml:space="preserve">       ；</w:t>
      </w:r>
    </w:p>
    <w:p w14:paraId="45DB0E1A">
      <w:pPr>
        <w:keepNext w:val="0"/>
        <w:keepLines w:val="0"/>
        <w:pageBreakBefore w:val="0"/>
        <w:kinsoku/>
        <w:wordWrap/>
        <w:overflowPunct/>
        <w:topLinePunct w:val="0"/>
        <w:autoSpaceDE/>
        <w:autoSpaceDN/>
        <w:bidi w:val="0"/>
        <w:adjustRightInd w:val="0"/>
        <w:snapToGrid w:val="0"/>
        <w:spacing w:line="480" w:lineRule="exact"/>
        <w:ind w:firstLine="440" w:firstLineChars="200"/>
        <w:textAlignment w:val="auto"/>
        <w:rPr>
          <w:color w:val="auto"/>
          <w:kern w:val="0"/>
          <w:sz w:val="22"/>
          <w:szCs w:val="22"/>
          <w:highlight w:val="none"/>
          <w:shd w:val="clear" w:color="auto" w:fill="FFFFFF"/>
        </w:rPr>
      </w:pPr>
    </w:p>
    <w:p w14:paraId="349F2167">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1F8BCC48">
      <w:pPr>
        <w:keepNext w:val="0"/>
        <w:keepLines w:val="0"/>
        <w:pageBreakBefore w:val="0"/>
        <w:widowControl/>
        <w:tabs>
          <w:tab w:val="right" w:leader="hyphen" w:pos="9736"/>
        </w:tabs>
        <w:kinsoku/>
        <w:wordWrap/>
        <w:overflowPunct/>
        <w:topLinePunct w:val="0"/>
        <w:autoSpaceDE/>
        <w:autoSpaceDN/>
        <w:bidi w:val="0"/>
        <w:spacing w:line="480" w:lineRule="exact"/>
        <w:ind w:firstLine="440" w:firstLineChars="200"/>
        <w:jc w:val="center"/>
        <w:textAlignment w:val="auto"/>
        <w:rPr>
          <w:rFonts w:ascii="Calibri" w:hAnsi="Calibri"/>
          <w:color w:val="auto"/>
          <w:kern w:val="0"/>
          <w:sz w:val="22"/>
          <w:szCs w:val="22"/>
          <w:highlight w:val="none"/>
        </w:rPr>
      </w:pPr>
    </w:p>
    <w:p w14:paraId="41B9844D">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单位名称（</w:t>
      </w:r>
      <w:r>
        <w:rPr>
          <w:rFonts w:hint="eastAsia"/>
          <w:b w:val="0"/>
          <w:bCs/>
          <w:color w:val="auto"/>
          <w:sz w:val="22"/>
          <w:szCs w:val="21"/>
          <w:highlight w:val="none"/>
          <w:lang w:val="en-US" w:eastAsia="zh-CN"/>
        </w:rPr>
        <w:t>供应商</w:t>
      </w:r>
      <w:r>
        <w:rPr>
          <w:rFonts w:hint="eastAsia" w:ascii="宋体" w:hAnsi="宋体" w:cs="宋体"/>
          <w:color w:val="auto"/>
          <w:sz w:val="22"/>
          <w:szCs w:val="22"/>
          <w:highlight w:val="none"/>
        </w:rPr>
        <w:t>公章）             法定代表人（签字或盖章）</w:t>
      </w:r>
    </w:p>
    <w:p w14:paraId="1CB3E8FC">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4AAED6E8">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4A034DFB">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4B76A5B9">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6E64209E">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247A56F9">
      <w:pPr>
        <w:keepNext w:val="0"/>
        <w:keepLines w:val="0"/>
        <w:pageBreakBefore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（粘贴此处）</w:t>
      </w:r>
    </w:p>
    <w:p w14:paraId="300F0316">
      <w:pPr>
        <w:spacing w:line="360" w:lineRule="auto"/>
        <w:ind w:firstLine="2289" w:firstLineChars="950"/>
        <w:rPr>
          <w:rFonts w:ascii="宋体" w:hAnsi="宋体" w:cs="宋体"/>
          <w:b/>
          <w:bCs/>
          <w:color w:val="auto"/>
          <w:sz w:val="24"/>
          <w:highlight w:val="none"/>
        </w:rPr>
      </w:pPr>
    </w:p>
    <w:p w14:paraId="41FBAABC">
      <w:pPr>
        <w:spacing w:line="360" w:lineRule="auto"/>
        <w:ind w:firstLine="2289" w:firstLineChars="950"/>
        <w:rPr>
          <w:rFonts w:ascii="宋体" w:hAnsi="宋体" w:cs="宋体"/>
          <w:b/>
          <w:bCs/>
          <w:color w:val="auto"/>
          <w:sz w:val="24"/>
          <w:highlight w:val="none"/>
        </w:rPr>
      </w:pPr>
    </w:p>
    <w:p w14:paraId="01F12F65">
      <w:pPr>
        <w:spacing w:line="360" w:lineRule="auto"/>
        <w:jc w:val="center"/>
        <w:rPr>
          <w:rFonts w:ascii="宋体" w:hAnsi="宋体" w:cs="宋体"/>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1DCE2E45">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3CE0A63B">
      <w:pPr>
        <w:keepNext w:val="0"/>
        <w:keepLines w:val="0"/>
        <w:pageBreakBefore w:val="0"/>
        <w:widowControl w:val="0"/>
        <w:kinsoku/>
        <w:wordWrap/>
        <w:overflowPunct/>
        <w:topLinePunct w:val="0"/>
        <w:autoSpaceDE/>
        <w:autoSpaceDN/>
        <w:bidi w:val="0"/>
        <w:snapToGrid w:val="0"/>
        <w:spacing w:line="480" w:lineRule="exact"/>
        <w:ind w:firstLine="440" w:firstLineChars="200"/>
        <w:textAlignment w:val="auto"/>
        <w:rPr>
          <w:rFonts w:ascii="宋体" w:hAnsi="宋体" w:cs="宋体"/>
          <w:color w:val="auto"/>
          <w:sz w:val="22"/>
          <w:szCs w:val="22"/>
          <w:highlight w:val="none"/>
        </w:rPr>
      </w:pPr>
      <w:r>
        <w:rPr>
          <w:rFonts w:hint="eastAsia" w:hAnsi="宋体" w:cs="宋体"/>
          <w:color w:val="auto"/>
          <w:sz w:val="22"/>
          <w:szCs w:val="22"/>
          <w:highlight w:val="none"/>
        </w:rPr>
        <w:t>兹授权</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被授权人的姓名）代表我公司参加</w:t>
      </w:r>
      <w:r>
        <w:rPr>
          <w:rFonts w:hint="eastAsia" w:hAnsi="宋体" w:cs="宋体"/>
          <w:color w:val="auto"/>
          <w:sz w:val="22"/>
          <w:szCs w:val="22"/>
          <w:highlight w:val="none"/>
          <w:u w:val="single"/>
        </w:rPr>
        <w:t xml:space="preserve">   （</w:t>
      </w:r>
      <w:r>
        <w:rPr>
          <w:rFonts w:hint="eastAsia" w:ascii="宋体" w:hAnsi="宋体" w:cs="宋体"/>
          <w:color w:val="auto"/>
          <w:sz w:val="22"/>
          <w:szCs w:val="22"/>
          <w:highlight w:val="none"/>
          <w:u w:val="single"/>
        </w:rPr>
        <w:t>竞争性磋商项目名称及项目编号</w:t>
      </w:r>
      <w:r>
        <w:rPr>
          <w:rFonts w:hint="eastAsia" w:ascii="宋体" w:hAnsi="宋体" w:cs="宋体"/>
          <w:color w:val="auto"/>
          <w:sz w:val="22"/>
          <w:szCs w:val="22"/>
          <w:highlight w:val="none"/>
          <w:u w:val="single"/>
          <w:lang w:eastAsia="zh-CN"/>
        </w:rPr>
        <w:t>）</w:t>
      </w:r>
      <w:r>
        <w:rPr>
          <w:rFonts w:hint="eastAsia" w:hAnsi="宋体" w:cs="宋体"/>
          <w:color w:val="auto"/>
          <w:sz w:val="22"/>
          <w:szCs w:val="22"/>
          <w:highlight w:val="none"/>
        </w:rPr>
        <w:t>项目的采购活动，全权处理一切与该采购项目有关的事务。其在办理上述事宜过程中所签署的所有文件我公司均予以承认。</w:t>
      </w:r>
    </w:p>
    <w:p w14:paraId="2EC4FC61">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ascii="宋体" w:hAnsi="宋体" w:cs="宋体"/>
          <w:color w:val="auto"/>
          <w:sz w:val="22"/>
          <w:szCs w:val="22"/>
          <w:highlight w:val="none"/>
        </w:rPr>
      </w:pPr>
      <w:r>
        <w:rPr>
          <w:rFonts w:hint="eastAsia" w:ascii="宋体" w:hAnsi="宋体" w:cs="宋体"/>
          <w:color w:val="auto"/>
          <w:sz w:val="22"/>
          <w:szCs w:val="22"/>
          <w:highlight w:val="none"/>
        </w:rPr>
        <w:t>被授权人无转委托权，特此委托。</w:t>
      </w:r>
    </w:p>
    <w:p w14:paraId="0B050705">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ascii="宋体" w:hAnsi="宋体" w:cs="宋体"/>
          <w:color w:val="auto"/>
          <w:sz w:val="22"/>
          <w:szCs w:val="22"/>
          <w:highlight w:val="none"/>
        </w:rPr>
      </w:pPr>
    </w:p>
    <w:p w14:paraId="1704E310">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附：被授权人情况：</w:t>
      </w:r>
    </w:p>
    <w:p w14:paraId="3C156F7D">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lang w:val="en-US" w:eastAsia="zh-CN"/>
        </w:rPr>
        <w:t xml:space="preserve">       ；</w:t>
      </w:r>
    </w:p>
    <w:p w14:paraId="29371405">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lang w:val="en-US" w:eastAsia="zh-CN"/>
        </w:rPr>
        <w:t xml:space="preserve">       ；</w:t>
      </w:r>
    </w:p>
    <w:p w14:paraId="6715204D">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lang w:val="en-US" w:eastAsia="zh-CN"/>
        </w:rPr>
        <w:t xml:space="preserve">       ；</w:t>
      </w:r>
    </w:p>
    <w:p w14:paraId="3FD8D7CA">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单位名称（</w:t>
      </w:r>
      <w:r>
        <w:rPr>
          <w:rFonts w:hint="eastAsia"/>
          <w:b w:val="0"/>
          <w:bCs/>
          <w:color w:val="auto"/>
          <w:sz w:val="22"/>
          <w:szCs w:val="21"/>
          <w:highlight w:val="none"/>
          <w:lang w:val="en-US" w:eastAsia="zh-CN"/>
        </w:rPr>
        <w:t>供应商</w:t>
      </w:r>
      <w:r>
        <w:rPr>
          <w:rFonts w:hint="eastAsia" w:ascii="宋体" w:hAnsi="宋体" w:cs="宋体"/>
          <w:color w:val="auto"/>
          <w:sz w:val="22"/>
          <w:szCs w:val="22"/>
          <w:highlight w:val="none"/>
        </w:rPr>
        <w:t>公章）             法定代表人（签字或盖章）</w:t>
      </w:r>
    </w:p>
    <w:p w14:paraId="12EA9A68">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703ECEA4">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6B02B6CE">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79F7CF04">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07B81395">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1C9B784F">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（粘贴此处）</w:t>
      </w:r>
    </w:p>
    <w:p w14:paraId="3BA6C08C">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1B517C03">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26130FF6">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被授权人身份证复印件（正反面）</w:t>
      </w:r>
    </w:p>
    <w:p w14:paraId="391F301B">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p>
    <w:p w14:paraId="4B4B2C00">
      <w:pPr>
        <w:keepNext w:val="0"/>
        <w:keepLines w:val="0"/>
        <w:pageBreakBefore w:val="0"/>
        <w:widowControl w:val="0"/>
        <w:kinsoku/>
        <w:wordWrap/>
        <w:overflowPunct/>
        <w:topLinePunct w:val="0"/>
        <w:autoSpaceDE/>
        <w:autoSpaceDN/>
        <w:bidi w:val="0"/>
        <w:spacing w:line="480" w:lineRule="exact"/>
        <w:textAlignment w:val="auto"/>
        <w:rPr>
          <w:rFonts w:ascii="宋体" w:hAnsi="宋体" w:cs="宋体"/>
          <w:color w:val="auto"/>
          <w:sz w:val="22"/>
          <w:szCs w:val="22"/>
          <w:highlight w:val="none"/>
        </w:rPr>
      </w:pPr>
    </w:p>
    <w:p w14:paraId="72904300">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（粘贴此处）</w:t>
      </w:r>
    </w:p>
    <w:p w14:paraId="7FE6294F">
      <w:pPr>
        <w:spacing w:line="360" w:lineRule="auto"/>
        <w:ind w:firstLine="2289" w:firstLineChars="950"/>
        <w:rPr>
          <w:rFonts w:ascii="宋体" w:hAnsi="宋体" w:cs="宋体"/>
          <w:b/>
          <w:bCs/>
          <w:color w:val="auto"/>
          <w:sz w:val="24"/>
          <w:highlight w:val="none"/>
        </w:rPr>
      </w:pPr>
    </w:p>
    <w:p w14:paraId="574D4996">
      <w:pPr>
        <w:spacing w:before="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highlight w:val="none"/>
        </w:rPr>
        <w:br w:type="page"/>
      </w: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信用</w:t>
      </w:r>
      <w:r>
        <w:rPr>
          <w:rFonts w:hint="eastAsia" w:ascii="宋体" w:hAnsi="宋体" w:cs="宋体"/>
          <w:b/>
          <w:bCs/>
          <w:color w:val="auto"/>
          <w:sz w:val="24"/>
          <w:szCs w:val="24"/>
          <w:highlight w:val="none"/>
        </w:rPr>
        <w:t>承诺书</w:t>
      </w:r>
    </w:p>
    <w:p w14:paraId="23805212">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为营造公开、公平、公正的采购环境，树立诚信守法的</w:t>
      </w:r>
      <w:r>
        <w:rPr>
          <w:rFonts w:hint="eastAsia"/>
          <w:color w:val="auto"/>
          <w:kern w:val="0"/>
          <w:sz w:val="22"/>
          <w:szCs w:val="22"/>
          <w:highlight w:val="none"/>
          <w:lang w:val="en-US" w:eastAsia="zh-CN" w:bidi="ar"/>
        </w:rPr>
        <w:t>供应商</w:t>
      </w:r>
      <w:r>
        <w:rPr>
          <w:color w:val="auto"/>
          <w:kern w:val="0"/>
          <w:sz w:val="22"/>
          <w:szCs w:val="22"/>
          <w:highlight w:val="none"/>
          <w:lang w:val="zh-CN" w:bidi="ar"/>
        </w:rPr>
        <w:t>形象，本人代表本单位作出以下承诺：</w:t>
      </w:r>
    </w:p>
    <w:p w14:paraId="5FF74FA3">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一、本单位对所提交的单位基本信息、单位负责人、从业资质和资格、业绩、财务状况、信誉等所有资料，均合法、真实、准确、有效，无任何伪造、修改、虚假成分；</w:t>
      </w:r>
    </w:p>
    <w:p w14:paraId="06FFE9CB">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二、严格依照国家和省、市、县关于</w:t>
      </w:r>
      <w:r>
        <w:rPr>
          <w:rFonts w:hint="eastAsia"/>
          <w:color w:val="auto"/>
          <w:kern w:val="0"/>
          <w:sz w:val="22"/>
          <w:szCs w:val="22"/>
          <w:highlight w:val="none"/>
          <w:lang w:val="en-US" w:eastAsia="zh-CN" w:bidi="ar"/>
        </w:rPr>
        <w:t>招标投标（采购）</w:t>
      </w:r>
      <w:r>
        <w:rPr>
          <w:color w:val="auto"/>
          <w:kern w:val="0"/>
          <w:sz w:val="22"/>
          <w:szCs w:val="22"/>
          <w:highlight w:val="none"/>
          <w:lang w:val="zh-CN" w:bidi="ar"/>
        </w:rPr>
        <w:t>等方面的</w:t>
      </w:r>
      <w:r>
        <w:rPr>
          <w:rFonts w:hint="eastAsia"/>
          <w:color w:val="auto"/>
          <w:kern w:val="0"/>
          <w:sz w:val="22"/>
          <w:szCs w:val="22"/>
          <w:highlight w:val="none"/>
          <w:lang w:val="zh-CN" w:bidi="ar"/>
        </w:rPr>
        <w:t>法律法规</w:t>
      </w:r>
      <w:r>
        <w:rPr>
          <w:color w:val="auto"/>
          <w:kern w:val="0"/>
          <w:sz w:val="22"/>
          <w:szCs w:val="22"/>
          <w:highlight w:val="none"/>
          <w:lang w:val="zh-CN" w:bidi="ar"/>
        </w:rPr>
        <w:t>、规章、规范性文件，参加本项目的</w:t>
      </w:r>
      <w:r>
        <w:rPr>
          <w:rFonts w:hint="eastAsia"/>
          <w:color w:val="auto"/>
          <w:kern w:val="0"/>
          <w:sz w:val="22"/>
          <w:szCs w:val="22"/>
          <w:highlight w:val="none"/>
          <w:lang w:val="en-US" w:eastAsia="zh-CN" w:bidi="ar"/>
        </w:rPr>
        <w:t>采购</w:t>
      </w:r>
      <w:r>
        <w:rPr>
          <w:color w:val="auto"/>
          <w:kern w:val="0"/>
          <w:sz w:val="22"/>
          <w:szCs w:val="22"/>
          <w:highlight w:val="none"/>
          <w:lang w:val="zh-CN" w:bidi="ar"/>
        </w:rPr>
        <w:t>活动；积极履行社会责任，促进廉政建设；</w:t>
      </w:r>
    </w:p>
    <w:p w14:paraId="271487AB">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三、自我约束、自我管理，守合同、重信用，不参与围标串标、弄虚作假、骗取</w:t>
      </w:r>
      <w:r>
        <w:rPr>
          <w:rFonts w:hint="eastAsia"/>
          <w:color w:val="auto"/>
          <w:kern w:val="0"/>
          <w:sz w:val="22"/>
          <w:szCs w:val="22"/>
          <w:highlight w:val="none"/>
          <w:lang w:val="zh-CN" w:bidi="ar"/>
        </w:rPr>
        <w:t>成交</w:t>
      </w:r>
      <w:r>
        <w:rPr>
          <w:color w:val="auto"/>
          <w:kern w:val="0"/>
          <w:sz w:val="22"/>
          <w:szCs w:val="22"/>
          <w:highlight w:val="none"/>
          <w:lang w:val="zh-CN" w:bidi="ar"/>
        </w:rPr>
        <w:t>、干扰评标、违约毁约、恶意投诉等行为，主动维护采购人</w:t>
      </w:r>
      <w:r>
        <w:rPr>
          <w:rFonts w:hint="eastAsia"/>
          <w:color w:val="auto"/>
          <w:kern w:val="0"/>
          <w:sz w:val="22"/>
          <w:szCs w:val="22"/>
          <w:highlight w:val="none"/>
          <w:lang w:val="en-US" w:eastAsia="zh-CN" w:bidi="ar"/>
        </w:rPr>
        <w:t>采购活动</w:t>
      </w:r>
      <w:r>
        <w:rPr>
          <w:color w:val="auto"/>
          <w:kern w:val="0"/>
          <w:sz w:val="22"/>
          <w:szCs w:val="22"/>
          <w:highlight w:val="none"/>
          <w:lang w:val="zh-CN" w:bidi="ar"/>
        </w:rPr>
        <w:t>的良好秩序；</w:t>
      </w:r>
    </w:p>
    <w:p w14:paraId="14A28D98">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四、本单位自愿接受</w:t>
      </w:r>
      <w:r>
        <w:rPr>
          <w:rFonts w:hint="eastAsia"/>
          <w:color w:val="auto"/>
          <w:kern w:val="0"/>
          <w:sz w:val="22"/>
          <w:szCs w:val="22"/>
          <w:highlight w:val="none"/>
          <w:lang w:val="en-US" w:eastAsia="zh-CN" w:bidi="ar"/>
        </w:rPr>
        <w:t>采购</w:t>
      </w:r>
      <w:r>
        <w:rPr>
          <w:color w:val="auto"/>
          <w:kern w:val="0"/>
          <w:sz w:val="22"/>
          <w:szCs w:val="22"/>
          <w:highlight w:val="none"/>
          <w:lang w:val="zh-CN" w:bidi="ar"/>
        </w:rPr>
        <w:t>有关行政监督部门的依法检查。如发生违法违规或不良行为或存在其他法律法规对招标投标</w:t>
      </w:r>
      <w:r>
        <w:rPr>
          <w:rFonts w:hint="eastAsia"/>
          <w:color w:val="auto"/>
          <w:kern w:val="0"/>
          <w:sz w:val="22"/>
          <w:szCs w:val="22"/>
          <w:highlight w:val="none"/>
          <w:lang w:val="zh-CN" w:bidi="ar"/>
        </w:rPr>
        <w:t>（</w:t>
      </w:r>
      <w:r>
        <w:rPr>
          <w:rFonts w:hint="eastAsia"/>
          <w:color w:val="auto"/>
          <w:kern w:val="0"/>
          <w:sz w:val="22"/>
          <w:szCs w:val="22"/>
          <w:highlight w:val="none"/>
          <w:lang w:val="en-US" w:eastAsia="zh-CN" w:bidi="ar"/>
        </w:rPr>
        <w:t>采购活动</w:t>
      </w:r>
      <w:r>
        <w:rPr>
          <w:rFonts w:hint="eastAsia"/>
          <w:color w:val="auto"/>
          <w:kern w:val="0"/>
          <w:sz w:val="22"/>
          <w:szCs w:val="22"/>
          <w:highlight w:val="none"/>
          <w:lang w:val="zh-CN" w:bidi="ar"/>
        </w:rPr>
        <w:t>）</w:t>
      </w:r>
      <w:r>
        <w:rPr>
          <w:color w:val="auto"/>
          <w:kern w:val="0"/>
          <w:sz w:val="22"/>
          <w:szCs w:val="22"/>
          <w:highlight w:val="none"/>
          <w:lang w:val="zh-CN" w:bidi="ar"/>
        </w:rPr>
        <w:t>行为予以限制的情形，自愿接受招标投标</w:t>
      </w:r>
      <w:r>
        <w:rPr>
          <w:rFonts w:hint="eastAsia"/>
          <w:color w:val="auto"/>
          <w:kern w:val="0"/>
          <w:sz w:val="22"/>
          <w:szCs w:val="22"/>
          <w:highlight w:val="none"/>
          <w:lang w:val="zh-CN" w:bidi="ar"/>
        </w:rPr>
        <w:t>（</w:t>
      </w:r>
      <w:r>
        <w:rPr>
          <w:rFonts w:hint="eastAsia"/>
          <w:color w:val="auto"/>
          <w:kern w:val="0"/>
          <w:sz w:val="22"/>
          <w:szCs w:val="22"/>
          <w:highlight w:val="none"/>
          <w:lang w:val="en-US" w:eastAsia="zh-CN" w:bidi="ar"/>
        </w:rPr>
        <w:t>采购</w:t>
      </w:r>
      <w:r>
        <w:rPr>
          <w:rFonts w:hint="eastAsia"/>
          <w:color w:val="auto"/>
          <w:kern w:val="0"/>
          <w:sz w:val="22"/>
          <w:szCs w:val="22"/>
          <w:highlight w:val="none"/>
          <w:lang w:val="zh-CN" w:bidi="ar"/>
        </w:rPr>
        <w:t>）</w:t>
      </w:r>
      <w:r>
        <w:rPr>
          <w:color w:val="auto"/>
          <w:kern w:val="0"/>
          <w:sz w:val="22"/>
          <w:szCs w:val="22"/>
          <w:highlight w:val="none"/>
          <w:lang w:val="zh-CN" w:bidi="ar"/>
        </w:rPr>
        <w:t>有关行政监督部门依法给予的行政处罚（处理），并依法承担相应的法律责任；</w:t>
      </w:r>
    </w:p>
    <w:p w14:paraId="225C9FC1">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五、自觉接受</w:t>
      </w:r>
      <w:r>
        <w:rPr>
          <w:color w:val="auto"/>
          <w:kern w:val="0"/>
          <w:sz w:val="22"/>
          <w:szCs w:val="22"/>
          <w:highlight w:val="none"/>
          <w:lang w:bidi="ar"/>
        </w:rPr>
        <w:t>相关</w:t>
      </w:r>
      <w:r>
        <w:rPr>
          <w:color w:val="auto"/>
          <w:kern w:val="0"/>
          <w:sz w:val="22"/>
          <w:szCs w:val="22"/>
          <w:highlight w:val="none"/>
          <w:lang w:val="zh-CN" w:bidi="ar"/>
        </w:rPr>
        <w:t>部门、行业组织、社会公众、新闻舆论等监督；</w:t>
      </w:r>
    </w:p>
    <w:p w14:paraId="02921839">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r>
        <w:rPr>
          <w:color w:val="auto"/>
          <w:kern w:val="0"/>
          <w:sz w:val="22"/>
          <w:szCs w:val="22"/>
          <w:highlight w:val="none"/>
          <w:lang w:val="zh-CN" w:bidi="ar"/>
        </w:rPr>
        <w:t>六、上述承诺已向本单位员工</w:t>
      </w:r>
      <w:r>
        <w:rPr>
          <w:rFonts w:hint="eastAsia"/>
          <w:color w:val="auto"/>
          <w:kern w:val="0"/>
          <w:sz w:val="22"/>
          <w:szCs w:val="22"/>
          <w:highlight w:val="none"/>
          <w:lang w:val="zh-CN" w:bidi="ar"/>
        </w:rPr>
        <w:t>做</w:t>
      </w:r>
      <w:r>
        <w:rPr>
          <w:color w:val="auto"/>
          <w:kern w:val="0"/>
          <w:sz w:val="22"/>
          <w:szCs w:val="22"/>
          <w:highlight w:val="none"/>
          <w:lang w:val="zh-CN" w:bidi="ar"/>
        </w:rPr>
        <w:t>了宣传教育；</w:t>
      </w:r>
    </w:p>
    <w:p w14:paraId="193CD8D3">
      <w:pPr>
        <w:keepNext w:val="0"/>
        <w:keepLines w:val="0"/>
        <w:pageBreakBefore w:val="0"/>
        <w:widowControl w:val="0"/>
        <w:kinsoku/>
        <w:overflowPunct/>
        <w:topLinePunct w:val="0"/>
        <w:autoSpaceDE/>
        <w:autoSpaceDN/>
        <w:bidi w:val="0"/>
        <w:adjustRightInd/>
        <w:spacing w:line="480" w:lineRule="exact"/>
        <w:ind w:firstLine="442" w:firstLineChars="200"/>
        <w:textAlignment w:val="auto"/>
        <w:rPr>
          <w:b/>
          <w:color w:val="auto"/>
          <w:kern w:val="0"/>
          <w:sz w:val="22"/>
          <w:szCs w:val="22"/>
          <w:highlight w:val="none"/>
          <w:lang w:val="zh-CN"/>
        </w:rPr>
      </w:pPr>
      <w:r>
        <w:rPr>
          <w:b/>
          <w:color w:val="auto"/>
          <w:kern w:val="0"/>
          <w:sz w:val="22"/>
          <w:szCs w:val="22"/>
          <w:highlight w:val="none"/>
          <w:lang w:val="zh-CN" w:bidi="ar"/>
        </w:rPr>
        <w:t>如有违反上述承诺的不良行为，本单位同意将其予以上网公示。</w:t>
      </w:r>
    </w:p>
    <w:p w14:paraId="02A716D8">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p>
    <w:p w14:paraId="5B511C71">
      <w:pPr>
        <w:keepNext w:val="0"/>
        <w:keepLines w:val="0"/>
        <w:pageBreakBefore w:val="0"/>
        <w:widowControl w:val="0"/>
        <w:kinsoku/>
        <w:overflowPunct/>
        <w:topLinePunct w:val="0"/>
        <w:autoSpaceDE/>
        <w:autoSpaceDN/>
        <w:bidi w:val="0"/>
        <w:adjustRightInd/>
        <w:spacing w:line="480" w:lineRule="exact"/>
        <w:ind w:firstLine="440" w:firstLineChars="200"/>
        <w:textAlignment w:val="auto"/>
        <w:rPr>
          <w:color w:val="auto"/>
          <w:kern w:val="0"/>
          <w:sz w:val="22"/>
          <w:szCs w:val="22"/>
          <w:highlight w:val="none"/>
          <w:lang w:val="zh-CN"/>
        </w:rPr>
      </w:pPr>
    </w:p>
    <w:p w14:paraId="1B2D1822">
      <w:pPr>
        <w:keepNext w:val="0"/>
        <w:keepLines w:val="0"/>
        <w:pageBreakBefore w:val="0"/>
        <w:widowControl w:val="0"/>
        <w:kinsoku/>
        <w:overflowPunct/>
        <w:topLinePunct w:val="0"/>
        <w:autoSpaceDE/>
        <w:autoSpaceDN/>
        <w:bidi w:val="0"/>
        <w:adjustRightInd/>
        <w:spacing w:line="480" w:lineRule="exact"/>
        <w:ind w:firstLine="440" w:firstLineChars="200"/>
        <w:jc w:val="center"/>
        <w:textAlignment w:val="auto"/>
        <w:rPr>
          <w:color w:val="auto"/>
          <w:kern w:val="0"/>
          <w:sz w:val="22"/>
          <w:szCs w:val="22"/>
          <w:highlight w:val="none"/>
          <w:lang w:val="zh-CN" w:bidi="ar"/>
        </w:rPr>
      </w:pPr>
      <w:r>
        <w:rPr>
          <w:color w:val="auto"/>
          <w:sz w:val="22"/>
          <w:szCs w:val="22"/>
          <w:highlight w:val="none"/>
        </w:rPr>
        <w:t xml:space="preserve">   </w:t>
      </w:r>
      <w:r>
        <w:rPr>
          <w:rFonts w:hint="eastAsia"/>
          <w:color w:val="auto"/>
          <w:sz w:val="22"/>
          <w:szCs w:val="22"/>
          <w:highlight w:val="none"/>
          <w:lang w:val="en-US" w:eastAsia="zh-CN"/>
        </w:rPr>
        <w:t>供应商</w:t>
      </w:r>
      <w:r>
        <w:rPr>
          <w:bCs/>
          <w:color w:val="auto"/>
          <w:sz w:val="22"/>
          <w:szCs w:val="20"/>
          <w:highlight w:val="none"/>
        </w:rPr>
        <w:t>（盖</w:t>
      </w:r>
      <w:r>
        <w:rPr>
          <w:rFonts w:hint="eastAsia"/>
          <w:b w:val="0"/>
          <w:bCs/>
          <w:color w:val="auto"/>
          <w:sz w:val="22"/>
          <w:szCs w:val="21"/>
          <w:highlight w:val="none"/>
          <w:lang w:val="en-US" w:eastAsia="zh-CN"/>
        </w:rPr>
        <w:t>供应商</w:t>
      </w:r>
      <w:r>
        <w:rPr>
          <w:bCs/>
          <w:color w:val="auto"/>
          <w:sz w:val="22"/>
          <w:szCs w:val="20"/>
          <w:highlight w:val="none"/>
        </w:rPr>
        <w:t>公章）</w:t>
      </w:r>
      <w:r>
        <w:rPr>
          <w:color w:val="auto"/>
          <w:sz w:val="22"/>
          <w:szCs w:val="22"/>
          <w:highlight w:val="none"/>
        </w:rPr>
        <w:t>：</w:t>
      </w:r>
    </w:p>
    <w:p w14:paraId="5A6660CF">
      <w:pPr>
        <w:keepNext w:val="0"/>
        <w:keepLines w:val="0"/>
        <w:pageBreakBefore w:val="0"/>
        <w:widowControl w:val="0"/>
        <w:kinsoku/>
        <w:overflowPunct/>
        <w:topLinePunct w:val="0"/>
        <w:autoSpaceDE/>
        <w:autoSpaceDN/>
        <w:bidi w:val="0"/>
        <w:adjustRightInd/>
        <w:spacing w:line="480" w:lineRule="exact"/>
        <w:ind w:firstLine="440" w:firstLineChars="200"/>
        <w:jc w:val="center"/>
        <w:textAlignment w:val="auto"/>
        <w:rPr>
          <w:color w:val="auto"/>
          <w:sz w:val="22"/>
          <w:szCs w:val="22"/>
          <w:highlight w:val="none"/>
          <w:u w:val="single"/>
          <w:lang w:val="zh-CN"/>
        </w:rPr>
      </w:pPr>
      <w:r>
        <w:rPr>
          <w:color w:val="auto"/>
          <w:kern w:val="0"/>
          <w:sz w:val="22"/>
          <w:szCs w:val="22"/>
          <w:highlight w:val="none"/>
          <w:lang w:bidi="ar"/>
        </w:rPr>
        <w:t xml:space="preserve">                      </w:t>
      </w:r>
      <w:r>
        <w:rPr>
          <w:color w:val="auto"/>
          <w:kern w:val="0"/>
          <w:sz w:val="22"/>
          <w:szCs w:val="22"/>
          <w:highlight w:val="none"/>
          <w:lang w:val="zh-CN" w:bidi="ar"/>
        </w:rPr>
        <w:t>法定代表人或</w:t>
      </w:r>
      <w:r>
        <w:rPr>
          <w:color w:val="auto"/>
          <w:kern w:val="0"/>
          <w:sz w:val="22"/>
          <w:szCs w:val="22"/>
          <w:highlight w:val="none"/>
          <w:lang w:bidi="ar"/>
        </w:rPr>
        <w:t>其委托代理人</w:t>
      </w:r>
      <w:r>
        <w:rPr>
          <w:color w:val="auto"/>
          <w:kern w:val="0"/>
          <w:sz w:val="22"/>
          <w:szCs w:val="22"/>
          <w:highlight w:val="none"/>
          <w:lang w:val="zh-CN" w:bidi="ar"/>
        </w:rPr>
        <w:t>（签字或盖章）：</w:t>
      </w:r>
    </w:p>
    <w:p w14:paraId="11664A14">
      <w:pPr>
        <w:keepNext w:val="0"/>
        <w:keepLines w:val="0"/>
        <w:pageBreakBefore w:val="0"/>
        <w:widowControl w:val="0"/>
        <w:kinsoku/>
        <w:wordWrap w:val="0"/>
        <w:overflowPunct/>
        <w:topLinePunct w:val="0"/>
        <w:autoSpaceDE/>
        <w:autoSpaceDN/>
        <w:bidi w:val="0"/>
        <w:adjustRightInd/>
        <w:snapToGrid w:val="0"/>
        <w:spacing w:line="480" w:lineRule="exact"/>
        <w:ind w:firstLine="440" w:firstLineChars="200"/>
        <w:jc w:val="right"/>
        <w:textAlignment w:val="auto"/>
        <w:rPr>
          <w:rFonts w:ascii="宋体" w:hAnsi="宋体"/>
          <w:bCs/>
          <w:color w:val="auto"/>
          <w:sz w:val="22"/>
          <w:szCs w:val="22"/>
          <w:highlight w:val="none"/>
        </w:rPr>
      </w:pPr>
      <w:r>
        <w:rPr>
          <w:color w:val="auto"/>
          <w:kern w:val="0"/>
          <w:sz w:val="22"/>
          <w:szCs w:val="22"/>
          <w:highlight w:val="none"/>
          <w:lang w:bidi="ar"/>
        </w:rPr>
        <w:t xml:space="preserve">     </w:t>
      </w:r>
      <w:r>
        <w:rPr>
          <w:color w:val="auto"/>
          <w:kern w:val="0"/>
          <w:sz w:val="22"/>
          <w:szCs w:val="22"/>
          <w:highlight w:val="none"/>
          <w:lang w:val="zh-CN" w:bidi="ar"/>
        </w:rPr>
        <w:t xml:space="preserve">  年  月   日</w:t>
      </w:r>
    </w:p>
    <w:p w14:paraId="2D4682CC">
      <w:pPr>
        <w:spacing w:line="360" w:lineRule="auto"/>
        <w:jc w:val="left"/>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二、商务技术</w:t>
      </w:r>
      <w:r>
        <w:rPr>
          <w:rFonts w:hint="eastAsia" w:ascii="宋体" w:hAnsi="宋体" w:cs="宋体"/>
          <w:b/>
          <w:bCs/>
          <w:color w:val="auto"/>
          <w:sz w:val="24"/>
          <w:highlight w:val="none"/>
          <w:lang w:val="en-US" w:eastAsia="zh-CN"/>
        </w:rPr>
        <w:t>文件</w:t>
      </w:r>
      <w:r>
        <w:rPr>
          <w:rFonts w:hint="eastAsia" w:ascii="宋体" w:hAnsi="宋体" w:cs="宋体"/>
          <w:b/>
          <w:bCs/>
          <w:color w:val="auto"/>
          <w:sz w:val="24"/>
          <w:highlight w:val="none"/>
        </w:rPr>
        <w:t>相关的格式文件及表格</w:t>
      </w:r>
    </w:p>
    <w:p w14:paraId="702286B4">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14:paraId="3E1D348B">
      <w:pPr>
        <w:keepNext w:val="0"/>
        <w:keepLines w:val="0"/>
        <w:pageBreakBefore w:val="0"/>
        <w:overflowPunct/>
        <w:autoSpaceDE/>
        <w:autoSpaceDN/>
        <w:bidi w:val="0"/>
        <w:adjustRightInd/>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u w:val="single"/>
        </w:rPr>
        <w:t>致    （采购人）    ：</w:t>
      </w:r>
    </w:p>
    <w:p w14:paraId="10A884A5">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根据贵方的</w:t>
      </w:r>
      <w:r>
        <w:rPr>
          <w:rFonts w:hint="eastAsia" w:ascii="Times New Roman" w:hAnsi="Times New Roman" w:cs="Times New Roman"/>
          <w:color w:val="auto"/>
          <w:sz w:val="22"/>
          <w:szCs w:val="22"/>
          <w:highlight w:val="none"/>
          <w:u w:val="single"/>
        </w:rPr>
        <w:t>（竞争性磋商项目名称和项目编号）</w:t>
      </w:r>
      <w:r>
        <w:rPr>
          <w:rFonts w:ascii="Times New Roman" w:hAnsi="Times New Roman" w:cs="Times New Roman"/>
          <w:color w:val="auto"/>
          <w:sz w:val="22"/>
          <w:szCs w:val="22"/>
          <w:highlight w:val="none"/>
        </w:rPr>
        <w:t>磋商文件，正式授权下述签字人</w:t>
      </w:r>
      <w:r>
        <w:rPr>
          <w:rFonts w:ascii="Times New Roman" w:hAnsi="Times New Roman" w:cs="Times New Roman"/>
          <w:color w:val="auto"/>
          <w:sz w:val="22"/>
          <w:szCs w:val="22"/>
          <w:highlight w:val="none"/>
          <w:u w:val="single"/>
        </w:rPr>
        <w:t xml:space="preserve">         </w:t>
      </w:r>
      <w:r>
        <w:rPr>
          <w:rFonts w:hint="eastAsia" w:ascii="Times New Roman" w:hAnsi="Times New Roman" w:cs="Times New Roman"/>
          <w:color w:val="auto"/>
          <w:sz w:val="22"/>
          <w:szCs w:val="22"/>
          <w:highlight w:val="none"/>
          <w:u w:val="single"/>
          <w:lang w:eastAsia="zh-CN"/>
        </w:rPr>
        <w:t>（</w:t>
      </w:r>
      <w:r>
        <w:rPr>
          <w:rFonts w:ascii="Times New Roman" w:hAnsi="Times New Roman" w:cs="Times New Roman"/>
          <w:color w:val="auto"/>
          <w:sz w:val="22"/>
          <w:szCs w:val="22"/>
          <w:highlight w:val="none"/>
          <w:u w:val="single"/>
        </w:rPr>
        <w:t>姓名和职务</w:t>
      </w:r>
      <w:r>
        <w:rPr>
          <w:rFonts w:hint="eastAsia" w:ascii="Times New Roman" w:hAnsi="Times New Roman" w:cs="Times New Roman"/>
          <w:color w:val="auto"/>
          <w:sz w:val="22"/>
          <w:szCs w:val="22"/>
          <w:highlight w:val="none"/>
          <w:u w:val="single"/>
          <w:lang w:eastAsia="zh-CN"/>
        </w:rPr>
        <w:t>）</w:t>
      </w:r>
      <w:r>
        <w:rPr>
          <w:rFonts w:ascii="Times New Roman" w:hAnsi="Times New Roman" w:cs="Times New Roman"/>
          <w:color w:val="auto"/>
          <w:sz w:val="22"/>
          <w:szCs w:val="22"/>
          <w:highlight w:val="none"/>
        </w:rPr>
        <w:t>代表我方</w:t>
      </w:r>
      <w:r>
        <w:rPr>
          <w:rFonts w:ascii="Times New Roman" w:hAnsi="Times New Roman" w:cs="Times New Roman"/>
          <w:color w:val="auto"/>
          <w:sz w:val="22"/>
          <w:szCs w:val="22"/>
          <w:highlight w:val="none"/>
          <w:u w:val="single"/>
        </w:rPr>
        <w:t xml:space="preserve">         （供应商的名称）</w:t>
      </w:r>
      <w:r>
        <w:rPr>
          <w:rFonts w:ascii="Times New Roman" w:hAnsi="Times New Roman" w:cs="Times New Roman"/>
          <w:color w:val="auto"/>
          <w:sz w:val="22"/>
          <w:szCs w:val="22"/>
          <w:highlight w:val="none"/>
        </w:rPr>
        <w:t>，全权处理本次项目磋商采购的有关事宜。</w:t>
      </w:r>
    </w:p>
    <w:p w14:paraId="602D3F91">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据此函，</w:t>
      </w:r>
      <w:r>
        <w:rPr>
          <w:rFonts w:ascii="Times New Roman" w:hAnsi="Times New Roman" w:cs="Times New Roman"/>
          <w:color w:val="auto"/>
          <w:sz w:val="22"/>
          <w:szCs w:val="22"/>
          <w:highlight w:val="none"/>
          <w:u w:val="single"/>
        </w:rPr>
        <w:t xml:space="preserve">       （签字人</w:t>
      </w:r>
      <w:r>
        <w:rPr>
          <w:rFonts w:hint="eastAsia" w:ascii="Times New Roman" w:hAnsi="Times New Roman" w:cs="Times New Roman"/>
          <w:color w:val="auto"/>
          <w:sz w:val="22"/>
          <w:szCs w:val="22"/>
          <w:highlight w:val="none"/>
          <w:u w:val="single"/>
        </w:rPr>
        <w:t>姓名</w:t>
      </w:r>
      <w:r>
        <w:rPr>
          <w:rFonts w:ascii="Times New Roman" w:hAnsi="Times New Roman" w:cs="Times New Roman"/>
          <w:color w:val="auto"/>
          <w:sz w:val="22"/>
          <w:szCs w:val="22"/>
          <w:highlight w:val="none"/>
          <w:u w:val="single"/>
        </w:rPr>
        <w:t>）</w:t>
      </w:r>
      <w:r>
        <w:rPr>
          <w:rFonts w:ascii="Times New Roman" w:hAnsi="Times New Roman" w:cs="Times New Roman"/>
          <w:color w:val="auto"/>
          <w:sz w:val="22"/>
          <w:szCs w:val="22"/>
          <w:highlight w:val="none"/>
        </w:rPr>
        <w:t>兹宣布同意如下：</w:t>
      </w:r>
    </w:p>
    <w:p w14:paraId="68055736">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1.按磋商文件规定的各项要求，向买方提供所需货物、服务。</w:t>
      </w:r>
    </w:p>
    <w:p w14:paraId="1C6F9CEC">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2.我们已详细审核全部磋商文件及其有效补充文件，我们知道必须放弃提出含糊不清或误解问题的权利。</w:t>
      </w:r>
    </w:p>
    <w:p w14:paraId="30763689">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3.我们同意从规定的响应文件接收截止时间起遵循本响应文件，并在规定的磋商、有效期期满之前均具有约束力。</w:t>
      </w:r>
    </w:p>
    <w:p w14:paraId="390D9C99">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4.同意向贵方提供贵方可能另外要求的与磋商采购有关的任何证据或资料，并保证我方已提供和将要提供的文件是真实的、准确的。</w:t>
      </w:r>
    </w:p>
    <w:p w14:paraId="349B39D5">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5.一旦我方成交，我方将根据磋商文件的规定，严格履行合同的责任和义务，并保证在磋商文件规定的时间完成项目，交付买方验收、使用。</w:t>
      </w:r>
    </w:p>
    <w:p w14:paraId="2B98544F">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6.遵守磋商文件中要求的收费项目和标准。</w:t>
      </w:r>
    </w:p>
    <w:p w14:paraId="2A0BA1C1">
      <w:pPr>
        <w:pStyle w:val="13"/>
        <w:keepNext w:val="0"/>
        <w:keepLines w:val="0"/>
        <w:pageBreakBefore w:val="0"/>
        <w:shd w:val="clear" w:color="auto" w:fill="FFFFFF"/>
        <w:wordWrap w:val="0"/>
        <w:overflowPunct/>
        <w:autoSpaceDE/>
        <w:autoSpaceDN/>
        <w:bidi w:val="0"/>
        <w:adjustRightInd/>
        <w:spacing w:before="0" w:beforeAutospacing="0" w:after="0" w:afterAutospacing="0" w:line="480" w:lineRule="exact"/>
        <w:ind w:firstLine="440" w:firstLineChars="200"/>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7.与本磋商采购有关的正式通讯地址为：</w:t>
      </w:r>
    </w:p>
    <w:p w14:paraId="410A5E9C">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地址</w:t>
      </w:r>
      <w:r>
        <w:rPr>
          <w:rFonts w:hint="eastAsia" w:ascii="宋体" w:hAnsi="宋体" w:cs="Tahoma"/>
          <w:color w:val="auto"/>
          <w:kern w:val="0"/>
          <w:sz w:val="22"/>
          <w:szCs w:val="22"/>
          <w:highlight w:val="none"/>
          <w:u w:val="single"/>
        </w:rPr>
        <w:t xml:space="preserve">：            </w:t>
      </w:r>
    </w:p>
    <w:p w14:paraId="5CF8065A">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邮编</w:t>
      </w:r>
      <w:r>
        <w:rPr>
          <w:rFonts w:hint="eastAsia" w:ascii="宋体" w:hAnsi="宋体" w:cs="Tahoma"/>
          <w:color w:val="auto"/>
          <w:kern w:val="0"/>
          <w:sz w:val="22"/>
          <w:szCs w:val="22"/>
          <w:highlight w:val="none"/>
          <w:u w:val="single"/>
        </w:rPr>
        <w:t xml:space="preserve">：            </w:t>
      </w:r>
    </w:p>
    <w:p w14:paraId="12DFB5A5">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电话</w:t>
      </w:r>
      <w:r>
        <w:rPr>
          <w:rFonts w:hint="eastAsia" w:ascii="宋体" w:hAnsi="宋体" w:cs="Tahoma"/>
          <w:color w:val="auto"/>
          <w:kern w:val="0"/>
          <w:sz w:val="22"/>
          <w:szCs w:val="22"/>
          <w:highlight w:val="none"/>
          <w:u w:val="single"/>
        </w:rPr>
        <w:t xml:space="preserve">：            </w:t>
      </w:r>
    </w:p>
    <w:p w14:paraId="6FF92DF5">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传真</w:t>
      </w:r>
      <w:r>
        <w:rPr>
          <w:rFonts w:hint="eastAsia" w:ascii="宋体" w:hAnsi="宋体" w:cs="Tahoma"/>
          <w:color w:val="auto"/>
          <w:kern w:val="0"/>
          <w:sz w:val="22"/>
          <w:szCs w:val="22"/>
          <w:highlight w:val="none"/>
          <w:u w:val="single"/>
        </w:rPr>
        <w:t xml:space="preserve">：            </w:t>
      </w:r>
    </w:p>
    <w:p w14:paraId="08E20F39">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供应商开户行</w:t>
      </w:r>
      <w:r>
        <w:rPr>
          <w:rFonts w:hint="eastAsia" w:ascii="宋体" w:hAnsi="宋体" w:cs="Tahoma"/>
          <w:color w:val="auto"/>
          <w:kern w:val="0"/>
          <w:sz w:val="22"/>
          <w:szCs w:val="22"/>
          <w:highlight w:val="none"/>
          <w:u w:val="single"/>
        </w:rPr>
        <w:t xml:space="preserve">：            </w:t>
      </w:r>
    </w:p>
    <w:p w14:paraId="7AA234E8">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r>
        <w:rPr>
          <w:rFonts w:hint="eastAsia" w:ascii="宋体" w:hAnsi="宋体" w:cs="Tahoma"/>
          <w:color w:val="auto"/>
          <w:kern w:val="0"/>
          <w:sz w:val="22"/>
          <w:szCs w:val="22"/>
          <w:highlight w:val="none"/>
        </w:rPr>
        <w:t>账户</w:t>
      </w:r>
      <w:r>
        <w:rPr>
          <w:rFonts w:hint="eastAsia" w:ascii="宋体" w:hAnsi="宋体" w:cs="Tahoma"/>
          <w:color w:val="auto"/>
          <w:kern w:val="0"/>
          <w:sz w:val="22"/>
          <w:szCs w:val="22"/>
          <w:highlight w:val="none"/>
          <w:u w:val="single"/>
        </w:rPr>
        <w:t xml:space="preserve">：            </w:t>
      </w:r>
    </w:p>
    <w:p w14:paraId="481A77D6">
      <w:pPr>
        <w:keepNext w:val="0"/>
        <w:keepLines w:val="0"/>
        <w:pageBreakBefore w:val="0"/>
        <w:widowControl/>
        <w:shd w:val="clear" w:color="auto" w:fill="FFFFFF"/>
        <w:wordWrap w:val="0"/>
        <w:overflowPunct/>
        <w:autoSpaceDE/>
        <w:autoSpaceDN/>
        <w:bidi w:val="0"/>
        <w:adjustRightInd/>
        <w:spacing w:line="480" w:lineRule="exact"/>
        <w:ind w:firstLine="440" w:firstLineChars="200"/>
        <w:jc w:val="left"/>
        <w:textAlignment w:val="auto"/>
        <w:rPr>
          <w:rFonts w:ascii="宋体" w:hAnsi="宋体" w:cs="Tahoma"/>
          <w:color w:val="auto"/>
          <w:kern w:val="0"/>
          <w:sz w:val="22"/>
          <w:szCs w:val="22"/>
          <w:highlight w:val="none"/>
        </w:rPr>
      </w:pPr>
    </w:p>
    <w:p w14:paraId="0BB873BE">
      <w:pPr>
        <w:keepNext w:val="0"/>
        <w:keepLines w:val="0"/>
        <w:pageBreakBefore w:val="0"/>
        <w:kinsoku w:val="0"/>
        <w:overflowPunct/>
        <w:topLinePunct/>
        <w:autoSpaceDE/>
        <w:autoSpaceDN/>
        <w:bidi w:val="0"/>
        <w:adjustRightInd/>
        <w:snapToGrid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供应商：（盖章）             </w:t>
      </w:r>
    </w:p>
    <w:p w14:paraId="073F19D7">
      <w:pPr>
        <w:keepNext w:val="0"/>
        <w:keepLines w:val="0"/>
        <w:pageBreakBefore w:val="0"/>
        <w:kinsoku w:val="0"/>
        <w:overflowPunct/>
        <w:topLinePunct/>
        <w:autoSpaceDE/>
        <w:autoSpaceDN/>
        <w:bidi w:val="0"/>
        <w:adjustRightInd/>
        <w:snapToGrid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4D2655AF">
      <w:pPr>
        <w:keepNext w:val="0"/>
        <w:keepLines w:val="0"/>
        <w:pageBreakBefore w:val="0"/>
        <w:kinsoku w:val="0"/>
        <w:overflowPunct/>
        <w:topLinePunct/>
        <w:autoSpaceDE/>
        <w:autoSpaceDN/>
        <w:bidi w:val="0"/>
        <w:adjustRightInd/>
        <w:snapToGrid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48B57639">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14:paraId="5EDA77BA">
      <w:pPr>
        <w:keepNext w:val="0"/>
        <w:keepLines w:val="0"/>
        <w:pageBreakBefore w:val="0"/>
        <w:widowControl w:val="0"/>
        <w:wordWrap/>
        <w:overflowPunct/>
        <w:autoSpaceDE/>
        <w:autoSpaceDN/>
        <w:bidi w:val="0"/>
        <w:adjustRightInd/>
        <w:spacing w:line="480" w:lineRule="exact"/>
        <w:ind w:firstLine="440" w:firstLineChars="200"/>
        <w:jc w:val="center"/>
        <w:textAlignment w:val="auto"/>
        <w:rPr>
          <w:rFonts w:ascii="宋体" w:hAnsi="宋体"/>
          <w:color w:val="auto"/>
          <w:sz w:val="22"/>
          <w:szCs w:val="22"/>
          <w:highlight w:val="none"/>
        </w:rPr>
      </w:pPr>
      <w:r>
        <w:rPr>
          <w:color w:val="auto"/>
          <w:sz w:val="22"/>
          <w:szCs w:val="22"/>
          <w:highlight w:val="none"/>
        </w:rPr>
        <w:t>（由</w:t>
      </w:r>
      <w:r>
        <w:rPr>
          <w:rFonts w:hint="eastAsia"/>
          <w:color w:val="auto"/>
          <w:sz w:val="22"/>
          <w:szCs w:val="22"/>
          <w:highlight w:val="none"/>
          <w:lang w:val="en-US" w:eastAsia="zh-CN"/>
        </w:rPr>
        <w:t>供应商</w:t>
      </w:r>
      <w:r>
        <w:rPr>
          <w:color w:val="auto"/>
          <w:sz w:val="22"/>
          <w:szCs w:val="22"/>
          <w:highlight w:val="none"/>
        </w:rPr>
        <w:t>据实填写，表格不够自行添加）</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243"/>
        <w:gridCol w:w="2905"/>
        <w:gridCol w:w="2155"/>
        <w:gridCol w:w="882"/>
      </w:tblGrid>
      <w:tr w14:paraId="264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5691DA9D">
            <w:pPr>
              <w:keepNext w:val="0"/>
              <w:keepLines w:val="0"/>
              <w:pageBreakBefore w:val="0"/>
              <w:widowControl w:val="0"/>
              <w:wordWrap/>
              <w:overflowPunct/>
              <w:autoSpaceDE/>
              <w:autoSpaceDN/>
              <w:bidi w:val="0"/>
              <w:adjustRightInd/>
              <w:spacing w:line="480" w:lineRule="exact"/>
              <w:jc w:val="center"/>
              <w:textAlignment w:val="auto"/>
              <w:rPr>
                <w:rFonts w:ascii="宋体" w:hAnsi="宋体"/>
                <w:color w:val="auto"/>
                <w:sz w:val="22"/>
                <w:szCs w:val="22"/>
                <w:highlight w:val="none"/>
              </w:rPr>
            </w:pPr>
            <w:r>
              <w:rPr>
                <w:rFonts w:hint="eastAsia" w:ascii="宋体" w:hAnsi="宋体"/>
                <w:color w:val="auto"/>
                <w:sz w:val="22"/>
                <w:szCs w:val="22"/>
                <w:highlight w:val="none"/>
              </w:rPr>
              <w:t>序号</w:t>
            </w:r>
          </w:p>
        </w:tc>
        <w:tc>
          <w:tcPr>
            <w:tcW w:w="2243" w:type="dxa"/>
            <w:noWrap/>
            <w:vAlign w:val="center"/>
          </w:tcPr>
          <w:p w14:paraId="5E609AB6">
            <w:pPr>
              <w:keepNext w:val="0"/>
              <w:keepLines w:val="0"/>
              <w:pageBreakBefore w:val="0"/>
              <w:widowControl w:val="0"/>
              <w:wordWrap/>
              <w:overflowPunct/>
              <w:autoSpaceDE/>
              <w:autoSpaceDN/>
              <w:bidi w:val="0"/>
              <w:adjustRightInd/>
              <w:spacing w:line="480" w:lineRule="exact"/>
              <w:jc w:val="center"/>
              <w:textAlignment w:val="auto"/>
              <w:rPr>
                <w:rFonts w:ascii="宋体" w:hAnsi="宋体"/>
                <w:color w:val="auto"/>
                <w:sz w:val="22"/>
                <w:szCs w:val="22"/>
                <w:highlight w:val="none"/>
              </w:rPr>
            </w:pPr>
            <w:r>
              <w:rPr>
                <w:rFonts w:hint="eastAsia" w:ascii="宋体" w:hAnsi="宋体"/>
                <w:color w:val="auto"/>
                <w:sz w:val="22"/>
                <w:szCs w:val="22"/>
                <w:highlight w:val="none"/>
              </w:rPr>
              <w:t>磋商要求</w:t>
            </w:r>
          </w:p>
        </w:tc>
        <w:tc>
          <w:tcPr>
            <w:tcW w:w="2905" w:type="dxa"/>
            <w:noWrap/>
            <w:vAlign w:val="center"/>
          </w:tcPr>
          <w:p w14:paraId="23E3D469">
            <w:pPr>
              <w:keepNext w:val="0"/>
              <w:keepLines w:val="0"/>
              <w:pageBreakBefore w:val="0"/>
              <w:widowControl w:val="0"/>
              <w:wordWrap/>
              <w:overflowPunct/>
              <w:autoSpaceDE/>
              <w:autoSpaceDN/>
              <w:bidi w:val="0"/>
              <w:adjustRightInd/>
              <w:spacing w:line="480" w:lineRule="exact"/>
              <w:jc w:val="center"/>
              <w:textAlignment w:val="auto"/>
              <w:rPr>
                <w:rFonts w:ascii="宋体" w:hAnsi="宋体"/>
                <w:color w:val="auto"/>
                <w:sz w:val="22"/>
                <w:szCs w:val="22"/>
                <w:highlight w:val="none"/>
              </w:rPr>
            </w:pPr>
            <w:r>
              <w:rPr>
                <w:rFonts w:hint="eastAsia" w:ascii="宋体" w:hAnsi="宋体"/>
                <w:color w:val="auto"/>
                <w:sz w:val="22"/>
                <w:szCs w:val="22"/>
                <w:highlight w:val="none"/>
              </w:rPr>
              <w:t>磋商响应</w:t>
            </w:r>
          </w:p>
        </w:tc>
        <w:tc>
          <w:tcPr>
            <w:tcW w:w="2155" w:type="dxa"/>
            <w:noWrap/>
            <w:vAlign w:val="center"/>
          </w:tcPr>
          <w:p w14:paraId="04F54784">
            <w:pPr>
              <w:keepNext w:val="0"/>
              <w:keepLines w:val="0"/>
              <w:pageBreakBefore w:val="0"/>
              <w:widowControl w:val="0"/>
              <w:wordWrap/>
              <w:overflowPunct/>
              <w:autoSpaceDE/>
              <w:autoSpaceDN/>
              <w:bidi w:val="0"/>
              <w:adjustRightInd/>
              <w:spacing w:line="480" w:lineRule="exact"/>
              <w:jc w:val="center"/>
              <w:textAlignment w:val="auto"/>
              <w:rPr>
                <w:rFonts w:ascii="宋体" w:hAnsi="宋体"/>
                <w:color w:val="auto"/>
                <w:sz w:val="22"/>
                <w:szCs w:val="22"/>
                <w:highlight w:val="none"/>
              </w:rPr>
            </w:pPr>
            <w:r>
              <w:rPr>
                <w:rFonts w:hint="eastAsia" w:ascii="宋体" w:hAnsi="宋体"/>
                <w:color w:val="auto"/>
                <w:sz w:val="22"/>
                <w:szCs w:val="22"/>
                <w:highlight w:val="none"/>
              </w:rPr>
              <w:t>超出、符合或偏离</w:t>
            </w:r>
          </w:p>
        </w:tc>
        <w:tc>
          <w:tcPr>
            <w:tcW w:w="882" w:type="dxa"/>
            <w:noWrap/>
            <w:vAlign w:val="center"/>
          </w:tcPr>
          <w:p w14:paraId="569CDB9A">
            <w:pPr>
              <w:keepNext w:val="0"/>
              <w:keepLines w:val="0"/>
              <w:pageBreakBefore w:val="0"/>
              <w:widowControl w:val="0"/>
              <w:wordWrap/>
              <w:overflowPunct/>
              <w:autoSpaceDE/>
              <w:autoSpaceDN/>
              <w:bidi w:val="0"/>
              <w:adjustRightInd/>
              <w:spacing w:line="480" w:lineRule="exact"/>
              <w:jc w:val="center"/>
              <w:textAlignment w:val="auto"/>
              <w:rPr>
                <w:rFonts w:ascii="宋体" w:hAnsi="宋体"/>
                <w:color w:val="auto"/>
                <w:sz w:val="22"/>
                <w:szCs w:val="22"/>
                <w:highlight w:val="none"/>
              </w:rPr>
            </w:pPr>
            <w:r>
              <w:rPr>
                <w:rFonts w:hint="eastAsia" w:ascii="宋体" w:hAnsi="宋体"/>
                <w:color w:val="auto"/>
                <w:sz w:val="22"/>
                <w:szCs w:val="22"/>
                <w:highlight w:val="none"/>
              </w:rPr>
              <w:t>原因</w:t>
            </w:r>
          </w:p>
        </w:tc>
      </w:tr>
      <w:tr w14:paraId="5A82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41204D4A">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0284AF90">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4B8DAA2A">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1210CC08">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3A414CD3">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4E29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45785D21">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2B73BB66">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4F476B38">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6FF050BB">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32393DD9">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10D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555DD40">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6C5E942E">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11D2CC96">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2AB6B858">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0077C066">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356B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66BC6C7">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4AD7C9D5">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6DB3309E">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347627FA">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11F67EC5">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11D1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569C8EFD">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7F58B1ED">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0FF76CD8">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528A5023">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55CE815B">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3F7F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ACE753D">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4A8D0BA5">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5805678B">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17A5034D">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1A5C7C25">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69D0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E6669E0">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4ADB3941">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147F0887">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6567E3EE">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3DB72CB3">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r w14:paraId="35DB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60E55FAD">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243" w:type="dxa"/>
            <w:noWrap/>
          </w:tcPr>
          <w:p w14:paraId="6F7349CE">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905" w:type="dxa"/>
            <w:noWrap/>
          </w:tcPr>
          <w:p w14:paraId="63D5957E">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2155" w:type="dxa"/>
            <w:noWrap/>
          </w:tcPr>
          <w:p w14:paraId="605DCFA9">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c>
          <w:tcPr>
            <w:tcW w:w="882" w:type="dxa"/>
            <w:noWrap/>
          </w:tcPr>
          <w:p w14:paraId="16F99968">
            <w:pPr>
              <w:keepNext w:val="0"/>
              <w:keepLines w:val="0"/>
              <w:pageBreakBefore w:val="0"/>
              <w:widowControl w:val="0"/>
              <w:wordWrap/>
              <w:overflowPunct/>
              <w:autoSpaceDE/>
              <w:autoSpaceDN/>
              <w:bidi w:val="0"/>
              <w:adjustRightInd/>
              <w:spacing w:line="480" w:lineRule="exact"/>
              <w:ind w:firstLine="480" w:firstLineChars="200"/>
              <w:jc w:val="center"/>
              <w:textAlignment w:val="auto"/>
              <w:rPr>
                <w:rFonts w:ascii="宋体" w:hAnsi="宋体"/>
                <w:color w:val="auto"/>
                <w:sz w:val="24"/>
                <w:highlight w:val="none"/>
              </w:rPr>
            </w:pPr>
          </w:p>
        </w:tc>
      </w:tr>
    </w:tbl>
    <w:p w14:paraId="4F3DE98D">
      <w:pPr>
        <w:keepNext w:val="0"/>
        <w:keepLines w:val="0"/>
        <w:pageBreakBefore w:val="0"/>
        <w:widowControl w:val="0"/>
        <w:wordWrap/>
        <w:overflowPunct/>
        <w:autoSpaceDE/>
        <w:autoSpaceDN/>
        <w:bidi w:val="0"/>
        <w:adjustRightInd/>
        <w:spacing w:line="480" w:lineRule="exact"/>
        <w:ind w:firstLine="480" w:firstLineChars="200"/>
        <w:textAlignment w:val="auto"/>
        <w:rPr>
          <w:rFonts w:ascii="宋体" w:hAnsi="宋体"/>
          <w:color w:val="auto"/>
          <w:sz w:val="24"/>
          <w:highlight w:val="none"/>
        </w:rPr>
      </w:pPr>
    </w:p>
    <w:p w14:paraId="0C6B5693">
      <w:pPr>
        <w:keepNext w:val="0"/>
        <w:keepLines w:val="0"/>
        <w:pageBreakBefore w:val="0"/>
        <w:widowControl w:val="0"/>
        <w:kinsoku w:val="0"/>
        <w:wordWrap/>
        <w:overflowPunct/>
        <w:topLinePunct/>
        <w:autoSpaceDE/>
        <w:autoSpaceDN/>
        <w:bidi w:val="0"/>
        <w:adjustRightInd/>
        <w:snapToGrid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供应商：（盖章）             </w:t>
      </w:r>
    </w:p>
    <w:p w14:paraId="7595C0F9">
      <w:pPr>
        <w:keepNext w:val="0"/>
        <w:keepLines w:val="0"/>
        <w:pageBreakBefore w:val="0"/>
        <w:widowControl w:val="0"/>
        <w:kinsoku w:val="0"/>
        <w:wordWrap/>
        <w:overflowPunct/>
        <w:topLinePunct/>
        <w:autoSpaceDE/>
        <w:autoSpaceDN/>
        <w:bidi w:val="0"/>
        <w:adjustRightInd/>
        <w:snapToGrid w:val="0"/>
        <w:spacing w:line="48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2EFA2B71">
      <w:pPr>
        <w:keepNext w:val="0"/>
        <w:keepLines w:val="0"/>
        <w:pageBreakBefore w:val="0"/>
        <w:widowControl w:val="0"/>
        <w:kinsoku w:val="0"/>
        <w:wordWrap/>
        <w:overflowPunct/>
        <w:topLinePunct/>
        <w:autoSpaceDE/>
        <w:autoSpaceDN/>
        <w:bidi w:val="0"/>
        <w:adjustRightInd/>
        <w:snapToGrid w:val="0"/>
        <w:spacing w:line="48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7A7A34F8">
      <w:pPr>
        <w:pStyle w:val="2"/>
        <w:rPr>
          <w:color w:val="auto"/>
          <w:sz w:val="22"/>
          <w:szCs w:val="22"/>
          <w:highlight w:val="none"/>
        </w:rPr>
      </w:pPr>
    </w:p>
    <w:p w14:paraId="1BEC9E1C">
      <w:pPr>
        <w:keepNext w:val="0"/>
        <w:keepLines w:val="0"/>
        <w:pageBreakBefore w:val="0"/>
        <w:widowControl w:val="0"/>
        <w:wordWrap/>
        <w:overflowPunct/>
        <w:autoSpaceDE/>
        <w:autoSpaceDN/>
        <w:bidi w:val="0"/>
        <w:adjustRightInd/>
        <w:snapToGrid w:val="0"/>
        <w:spacing w:line="480" w:lineRule="exact"/>
        <w:ind w:firstLine="442" w:firstLineChars="200"/>
        <w:contextualSpacing/>
        <w:textAlignment w:val="auto"/>
        <w:rPr>
          <w:b/>
          <w:color w:val="auto"/>
          <w:sz w:val="22"/>
          <w:szCs w:val="22"/>
          <w:highlight w:val="none"/>
        </w:rPr>
      </w:pPr>
      <w:r>
        <w:rPr>
          <w:b/>
          <w:color w:val="auto"/>
          <w:sz w:val="22"/>
          <w:szCs w:val="22"/>
          <w:highlight w:val="none"/>
        </w:rPr>
        <w:t>注：</w:t>
      </w:r>
    </w:p>
    <w:p w14:paraId="1B54FDB9">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bCs/>
          <w:color w:val="auto"/>
          <w:sz w:val="22"/>
          <w:szCs w:val="22"/>
          <w:highlight w:val="none"/>
        </w:rPr>
        <w:t>1.</w:t>
      </w:r>
      <w:r>
        <w:rPr>
          <w:rFonts w:hint="eastAsia"/>
          <w:bCs/>
          <w:color w:val="auto"/>
          <w:sz w:val="22"/>
          <w:szCs w:val="22"/>
          <w:highlight w:val="none"/>
          <w:lang w:val="en-US" w:eastAsia="zh-CN"/>
        </w:rPr>
        <w:t>供应商</w:t>
      </w:r>
      <w:r>
        <w:rPr>
          <w:bCs/>
          <w:color w:val="auto"/>
          <w:sz w:val="22"/>
          <w:szCs w:val="22"/>
          <w:highlight w:val="none"/>
        </w:rPr>
        <w:t>提交的</w:t>
      </w:r>
      <w:r>
        <w:rPr>
          <w:rFonts w:hint="eastAsia"/>
          <w:bCs/>
          <w:color w:val="auto"/>
          <w:sz w:val="22"/>
          <w:szCs w:val="22"/>
          <w:highlight w:val="none"/>
          <w:lang w:val="en-US" w:eastAsia="zh-CN"/>
        </w:rPr>
        <w:t>响应</w:t>
      </w:r>
      <w:r>
        <w:rPr>
          <w:bCs/>
          <w:color w:val="auto"/>
          <w:sz w:val="22"/>
          <w:szCs w:val="22"/>
          <w:highlight w:val="none"/>
        </w:rPr>
        <w:t>文件中与</w:t>
      </w:r>
      <w:r>
        <w:rPr>
          <w:rFonts w:hint="eastAsia"/>
          <w:bCs/>
          <w:color w:val="auto"/>
          <w:sz w:val="22"/>
          <w:szCs w:val="22"/>
          <w:highlight w:val="none"/>
          <w:lang w:val="en-US" w:eastAsia="zh-CN"/>
        </w:rPr>
        <w:t>采购</w:t>
      </w:r>
      <w:r>
        <w:rPr>
          <w:bCs/>
          <w:color w:val="auto"/>
          <w:sz w:val="22"/>
          <w:szCs w:val="22"/>
          <w:highlight w:val="none"/>
        </w:rPr>
        <w:t>文件第三部分“项目需求”中的技术部分的要求，应逐条填列在偏离表中。</w:t>
      </w:r>
    </w:p>
    <w:p w14:paraId="48D9E13E">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bCs/>
          <w:color w:val="auto"/>
          <w:sz w:val="22"/>
          <w:szCs w:val="22"/>
          <w:highlight w:val="none"/>
        </w:rPr>
        <w:t>2. “偏离说明”一栏选择“正偏离</w:t>
      </w:r>
      <w:r>
        <w:rPr>
          <w:rFonts w:hint="eastAsia"/>
          <w:bCs/>
          <w:color w:val="auto"/>
          <w:sz w:val="22"/>
          <w:szCs w:val="22"/>
          <w:highlight w:val="none"/>
          <w:lang w:eastAsia="zh-CN"/>
        </w:rPr>
        <w:t>”“</w:t>
      </w:r>
      <w:r>
        <w:rPr>
          <w:bCs/>
          <w:color w:val="auto"/>
          <w:sz w:val="22"/>
          <w:szCs w:val="22"/>
          <w:highlight w:val="none"/>
        </w:rPr>
        <w:t>无偏离</w:t>
      </w:r>
      <w:r>
        <w:rPr>
          <w:rFonts w:hint="eastAsia"/>
          <w:bCs/>
          <w:color w:val="auto"/>
          <w:sz w:val="22"/>
          <w:szCs w:val="22"/>
          <w:highlight w:val="none"/>
          <w:lang w:eastAsia="zh-CN"/>
        </w:rPr>
        <w:t>”“</w:t>
      </w:r>
      <w:r>
        <w:rPr>
          <w:bCs/>
          <w:color w:val="auto"/>
          <w:sz w:val="22"/>
          <w:szCs w:val="22"/>
          <w:highlight w:val="none"/>
        </w:rPr>
        <w:t>负偏离”进行填写。正偏离、无偏离的确认和负偏离的是否响应</w:t>
      </w:r>
      <w:r>
        <w:rPr>
          <w:rFonts w:hint="eastAsia"/>
          <w:bCs/>
          <w:color w:val="auto"/>
          <w:sz w:val="22"/>
          <w:szCs w:val="22"/>
          <w:highlight w:val="none"/>
          <w:lang w:val="en-US" w:eastAsia="zh-CN"/>
        </w:rPr>
        <w:t>采购</w:t>
      </w:r>
      <w:r>
        <w:rPr>
          <w:bCs/>
          <w:color w:val="auto"/>
          <w:sz w:val="22"/>
          <w:szCs w:val="22"/>
          <w:highlight w:val="none"/>
        </w:rPr>
        <w:t>文件，由评委认定。</w:t>
      </w:r>
      <w:r>
        <w:rPr>
          <w:rFonts w:hint="eastAsia"/>
          <w:bCs/>
          <w:color w:val="auto"/>
          <w:sz w:val="22"/>
          <w:szCs w:val="22"/>
          <w:highlight w:val="none"/>
        </w:rPr>
        <w:t>不明示的视同完全响应</w:t>
      </w:r>
      <w:r>
        <w:rPr>
          <w:rFonts w:hint="eastAsia"/>
          <w:bCs/>
          <w:color w:val="auto"/>
          <w:sz w:val="22"/>
          <w:szCs w:val="22"/>
          <w:highlight w:val="none"/>
          <w:lang w:eastAsia="zh-CN"/>
        </w:rPr>
        <w:t>。</w:t>
      </w:r>
    </w:p>
    <w:p w14:paraId="7A7267E1">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bCs/>
          <w:color w:val="auto"/>
          <w:sz w:val="22"/>
          <w:szCs w:val="22"/>
          <w:highlight w:val="none"/>
        </w:rPr>
        <w:t>3.所投品牌型号，必须确定、唯一。</w:t>
      </w:r>
    </w:p>
    <w:p w14:paraId="30720BE3">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bCs/>
          <w:color w:val="auto"/>
          <w:sz w:val="22"/>
          <w:szCs w:val="22"/>
          <w:highlight w:val="none"/>
        </w:rPr>
        <w:t>4.供应商若提供其他增值服务，可以在表中自行据实填写。</w:t>
      </w:r>
    </w:p>
    <w:p w14:paraId="4C8E4061">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rFonts w:hint="eastAsia"/>
          <w:bCs/>
          <w:color w:val="auto"/>
          <w:sz w:val="22"/>
          <w:szCs w:val="22"/>
          <w:highlight w:val="none"/>
          <w:lang w:val="en-US" w:eastAsia="zh-CN"/>
        </w:rPr>
        <w:t>5.</w:t>
      </w:r>
      <w:r>
        <w:rPr>
          <w:rFonts w:hint="eastAsia"/>
          <w:bCs/>
          <w:color w:val="auto"/>
          <w:sz w:val="22"/>
          <w:szCs w:val="22"/>
          <w:highlight w:val="none"/>
        </w:rPr>
        <w:t>技术部分未在此表明示的内容视同完全响应。</w:t>
      </w:r>
    </w:p>
    <w:p w14:paraId="6D237A63">
      <w:pPr>
        <w:spacing w:line="480" w:lineRule="exact"/>
        <w:ind w:firstLine="960" w:firstLineChars="400"/>
        <w:rPr>
          <w:rFonts w:ascii="宋体" w:hAnsi="宋体"/>
          <w:color w:val="auto"/>
          <w:sz w:val="24"/>
          <w:highlight w:val="none"/>
        </w:rPr>
      </w:pPr>
    </w:p>
    <w:p w14:paraId="465646F7">
      <w:pPr>
        <w:spacing w:line="360" w:lineRule="auto"/>
        <w:jc w:val="center"/>
        <w:rPr>
          <w:rFonts w:ascii="宋体" w:hAnsi="宋体"/>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szCs w:val="24"/>
          <w:highlight w:val="none"/>
        </w:rPr>
        <w:t>3、商务部分正负偏离表</w:t>
      </w:r>
    </w:p>
    <w:p w14:paraId="68B8E45C">
      <w:pPr>
        <w:keepNext w:val="0"/>
        <w:keepLines w:val="0"/>
        <w:pageBreakBefore w:val="0"/>
        <w:widowControl w:val="0"/>
        <w:wordWrap/>
        <w:overflowPunct/>
        <w:autoSpaceDE/>
        <w:autoSpaceDN/>
        <w:bidi w:val="0"/>
        <w:adjustRightInd/>
        <w:spacing w:line="480" w:lineRule="exact"/>
        <w:ind w:left="0" w:firstLine="440" w:firstLineChars="200"/>
        <w:jc w:val="center"/>
        <w:textAlignment w:val="auto"/>
        <w:rPr>
          <w:rFonts w:ascii="宋体" w:hAnsi="宋体"/>
          <w:color w:val="auto"/>
          <w:sz w:val="22"/>
          <w:szCs w:val="22"/>
          <w:highlight w:val="none"/>
        </w:rPr>
      </w:pPr>
      <w:r>
        <w:rPr>
          <w:color w:val="auto"/>
          <w:sz w:val="22"/>
          <w:szCs w:val="22"/>
          <w:highlight w:val="none"/>
        </w:rPr>
        <w:t>（由</w:t>
      </w:r>
      <w:r>
        <w:rPr>
          <w:rFonts w:hint="eastAsia"/>
          <w:color w:val="auto"/>
          <w:sz w:val="22"/>
          <w:szCs w:val="22"/>
          <w:highlight w:val="none"/>
          <w:lang w:val="en-US" w:eastAsia="zh-CN"/>
        </w:rPr>
        <w:t>供应商</w:t>
      </w:r>
      <w:r>
        <w:rPr>
          <w:color w:val="auto"/>
          <w:sz w:val="22"/>
          <w:szCs w:val="22"/>
          <w:highlight w:val="none"/>
        </w:rPr>
        <w:t>据实填写，表格不够自行添加）</w:t>
      </w:r>
    </w:p>
    <w:tbl>
      <w:tblPr>
        <w:tblStyle w:val="14"/>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14:paraId="36256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5918F716">
            <w:pPr>
              <w:keepNext w:val="0"/>
              <w:keepLines w:val="0"/>
              <w:pageBreakBefore w:val="0"/>
              <w:widowControl w:val="0"/>
              <w:wordWrap/>
              <w:overflowPunct/>
              <w:autoSpaceDE/>
              <w:autoSpaceDN/>
              <w:bidi w:val="0"/>
              <w:adjustRightInd/>
              <w:snapToGrid w:val="0"/>
              <w:spacing w:line="480" w:lineRule="exact"/>
              <w:jc w:val="center"/>
              <w:textAlignment w:val="auto"/>
              <w:rPr>
                <w:rFonts w:ascii="仿宋_GB2312" w:hAnsi="宋体" w:eastAsia="仿宋_GB2312"/>
                <w:color w:val="auto"/>
                <w:sz w:val="22"/>
                <w:szCs w:val="22"/>
                <w:highlight w:val="none"/>
              </w:rPr>
            </w:pPr>
            <w:r>
              <w:rPr>
                <w:rFonts w:hint="eastAsia" w:ascii="仿宋_GB2312" w:hAnsi="宋体"/>
                <w:color w:val="auto"/>
                <w:sz w:val="22"/>
                <w:szCs w:val="22"/>
                <w:highlight w:val="none"/>
              </w:rPr>
              <w:t>项目</w:t>
            </w:r>
          </w:p>
        </w:tc>
        <w:tc>
          <w:tcPr>
            <w:tcW w:w="3544" w:type="dxa"/>
            <w:tcBorders>
              <w:top w:val="single" w:color="auto" w:sz="4" w:space="0"/>
              <w:left w:val="single" w:color="auto" w:sz="4" w:space="0"/>
              <w:bottom w:val="single" w:color="auto" w:sz="4" w:space="0"/>
              <w:right w:val="single" w:color="auto" w:sz="4" w:space="0"/>
            </w:tcBorders>
            <w:noWrap/>
            <w:vAlign w:val="center"/>
          </w:tcPr>
          <w:p w14:paraId="1305B74D">
            <w:pPr>
              <w:keepNext w:val="0"/>
              <w:keepLines w:val="0"/>
              <w:pageBreakBefore w:val="0"/>
              <w:widowControl w:val="0"/>
              <w:wordWrap/>
              <w:overflowPunct/>
              <w:autoSpaceDE/>
              <w:autoSpaceDN/>
              <w:bidi w:val="0"/>
              <w:adjustRightInd/>
              <w:snapToGrid w:val="0"/>
              <w:spacing w:line="480" w:lineRule="exact"/>
              <w:jc w:val="center"/>
              <w:textAlignment w:val="auto"/>
              <w:rPr>
                <w:rFonts w:ascii="仿宋_GB2312" w:hAnsi="宋体" w:eastAsia="仿宋_GB2312"/>
                <w:color w:val="auto"/>
                <w:sz w:val="22"/>
                <w:szCs w:val="22"/>
                <w:highlight w:val="none"/>
              </w:rPr>
            </w:pPr>
            <w:r>
              <w:rPr>
                <w:rFonts w:hint="eastAsia" w:ascii="仿宋_GB2312" w:hAnsi="宋体"/>
                <w:color w:val="auto"/>
                <w:sz w:val="22"/>
                <w:szCs w:val="22"/>
                <w:highlight w:val="none"/>
              </w:rPr>
              <w:t>竞争性磋商文件要求</w:t>
            </w:r>
          </w:p>
        </w:tc>
        <w:tc>
          <w:tcPr>
            <w:tcW w:w="1276" w:type="dxa"/>
            <w:tcBorders>
              <w:top w:val="single" w:color="auto" w:sz="4" w:space="0"/>
              <w:left w:val="single" w:color="auto" w:sz="4" w:space="0"/>
              <w:bottom w:val="single" w:color="auto" w:sz="4" w:space="0"/>
              <w:right w:val="single" w:color="auto" w:sz="4" w:space="0"/>
            </w:tcBorders>
            <w:noWrap/>
            <w:vAlign w:val="center"/>
          </w:tcPr>
          <w:p w14:paraId="4552BAD8">
            <w:pPr>
              <w:keepNext w:val="0"/>
              <w:keepLines w:val="0"/>
              <w:pageBreakBefore w:val="0"/>
              <w:widowControl w:val="0"/>
              <w:wordWrap/>
              <w:overflowPunct/>
              <w:autoSpaceDE/>
              <w:autoSpaceDN/>
              <w:bidi w:val="0"/>
              <w:adjustRightInd/>
              <w:snapToGrid w:val="0"/>
              <w:spacing w:line="480" w:lineRule="exact"/>
              <w:jc w:val="center"/>
              <w:textAlignment w:val="auto"/>
              <w:rPr>
                <w:rFonts w:ascii="仿宋_GB2312" w:hAnsi="宋体" w:eastAsia="仿宋_GB2312"/>
                <w:color w:val="auto"/>
                <w:sz w:val="22"/>
                <w:szCs w:val="22"/>
                <w:highlight w:val="none"/>
              </w:rPr>
            </w:pPr>
            <w:r>
              <w:rPr>
                <w:rFonts w:hint="eastAsia" w:ascii="仿宋_GB2312" w:hAnsi="宋体"/>
                <w:color w:val="auto"/>
                <w:sz w:val="22"/>
                <w:szCs w:val="22"/>
                <w:highlight w:val="none"/>
              </w:rPr>
              <w:t>是否响应</w:t>
            </w:r>
          </w:p>
        </w:tc>
        <w:tc>
          <w:tcPr>
            <w:tcW w:w="2409" w:type="dxa"/>
            <w:tcBorders>
              <w:top w:val="single" w:color="auto" w:sz="4" w:space="0"/>
              <w:left w:val="single" w:color="auto" w:sz="4" w:space="0"/>
              <w:bottom w:val="single" w:color="auto" w:sz="4" w:space="0"/>
              <w:right w:val="single" w:color="auto" w:sz="4" w:space="0"/>
            </w:tcBorders>
            <w:noWrap/>
            <w:vAlign w:val="center"/>
          </w:tcPr>
          <w:p w14:paraId="5C5C3C4E">
            <w:pPr>
              <w:keepNext w:val="0"/>
              <w:keepLines w:val="0"/>
              <w:pageBreakBefore w:val="0"/>
              <w:widowControl w:val="0"/>
              <w:wordWrap/>
              <w:overflowPunct/>
              <w:autoSpaceDE/>
              <w:autoSpaceDN/>
              <w:bidi w:val="0"/>
              <w:adjustRightInd/>
              <w:snapToGrid w:val="0"/>
              <w:spacing w:line="480" w:lineRule="exact"/>
              <w:jc w:val="center"/>
              <w:textAlignment w:val="auto"/>
              <w:rPr>
                <w:rFonts w:ascii="仿宋_GB2312" w:hAnsi="宋体" w:eastAsia="仿宋_GB2312"/>
                <w:color w:val="auto"/>
                <w:sz w:val="22"/>
                <w:szCs w:val="22"/>
                <w:highlight w:val="none"/>
              </w:rPr>
            </w:pPr>
            <w:r>
              <w:rPr>
                <w:rFonts w:hint="eastAsia" w:ascii="仿宋_GB2312" w:hAnsi="宋体"/>
                <w:color w:val="auto"/>
                <w:sz w:val="22"/>
                <w:szCs w:val="22"/>
                <w:highlight w:val="none"/>
              </w:rPr>
              <w:t>供应商的承诺或说明</w:t>
            </w:r>
          </w:p>
        </w:tc>
      </w:tr>
      <w:tr w14:paraId="23DB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5C580442">
            <w:pPr>
              <w:keepNext w:val="0"/>
              <w:keepLines w:val="0"/>
              <w:pageBreakBefore w:val="0"/>
              <w:widowControl w:val="0"/>
              <w:wordWrap/>
              <w:overflowPunct/>
              <w:autoSpaceDE/>
              <w:autoSpaceDN/>
              <w:bidi w:val="0"/>
              <w:adjustRightInd/>
              <w:spacing w:line="480" w:lineRule="exact"/>
              <w:jc w:val="center"/>
              <w:textAlignment w:val="auto"/>
              <w:rPr>
                <w:rFonts w:ascii="仿宋_GB2312" w:hAnsi="宋体" w:eastAsia="仿宋_GB2312"/>
                <w:color w:val="auto"/>
                <w:sz w:val="22"/>
                <w:szCs w:val="22"/>
                <w:highlight w:val="none"/>
              </w:rPr>
            </w:pPr>
            <w:r>
              <w:rPr>
                <w:color w:val="auto"/>
                <w:sz w:val="22"/>
                <w:szCs w:val="22"/>
                <w:highlight w:val="none"/>
              </w:rPr>
              <w:t>1</w:t>
            </w:r>
          </w:p>
        </w:tc>
        <w:tc>
          <w:tcPr>
            <w:tcW w:w="3544" w:type="dxa"/>
            <w:tcBorders>
              <w:top w:val="single" w:color="auto" w:sz="4" w:space="0"/>
              <w:left w:val="single" w:color="auto" w:sz="4" w:space="0"/>
              <w:bottom w:val="single" w:color="auto" w:sz="4" w:space="0"/>
              <w:right w:val="single" w:color="auto" w:sz="4" w:space="0"/>
            </w:tcBorders>
            <w:noWrap/>
            <w:vAlign w:val="center"/>
          </w:tcPr>
          <w:p w14:paraId="5D0F5F33">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42BD76E">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14:paraId="4FD05834">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r>
      <w:tr w14:paraId="4AE6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082715E8">
            <w:pPr>
              <w:keepNext w:val="0"/>
              <w:keepLines w:val="0"/>
              <w:pageBreakBefore w:val="0"/>
              <w:widowControl w:val="0"/>
              <w:wordWrap/>
              <w:overflowPunct/>
              <w:autoSpaceDE/>
              <w:autoSpaceDN/>
              <w:bidi w:val="0"/>
              <w:adjustRightInd/>
              <w:spacing w:line="480" w:lineRule="exact"/>
              <w:jc w:val="center"/>
              <w:textAlignment w:val="auto"/>
              <w:rPr>
                <w:rFonts w:ascii="仿宋_GB2312" w:hAnsi="宋体" w:eastAsia="仿宋_GB2312"/>
                <w:color w:val="auto"/>
                <w:sz w:val="22"/>
                <w:szCs w:val="22"/>
                <w:highlight w:val="none"/>
              </w:rPr>
            </w:pPr>
            <w:r>
              <w:rPr>
                <w:color w:val="auto"/>
                <w:sz w:val="22"/>
                <w:szCs w:val="22"/>
                <w:highlight w:val="none"/>
              </w:rPr>
              <w:t>2</w:t>
            </w:r>
          </w:p>
        </w:tc>
        <w:tc>
          <w:tcPr>
            <w:tcW w:w="3544" w:type="dxa"/>
            <w:tcBorders>
              <w:top w:val="single" w:color="auto" w:sz="4" w:space="0"/>
              <w:left w:val="single" w:color="auto" w:sz="4" w:space="0"/>
              <w:bottom w:val="single" w:color="auto" w:sz="4" w:space="0"/>
              <w:right w:val="single" w:color="auto" w:sz="4" w:space="0"/>
            </w:tcBorders>
            <w:noWrap/>
            <w:vAlign w:val="center"/>
          </w:tcPr>
          <w:p w14:paraId="1E8DBC1F">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009A426">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14:paraId="27BF6F13">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r>
      <w:tr w14:paraId="34DD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1A2EC679">
            <w:pPr>
              <w:keepNext w:val="0"/>
              <w:keepLines w:val="0"/>
              <w:pageBreakBefore w:val="0"/>
              <w:widowControl w:val="0"/>
              <w:wordWrap/>
              <w:overflowPunct/>
              <w:autoSpaceDE/>
              <w:autoSpaceDN/>
              <w:bidi w:val="0"/>
              <w:adjustRightInd/>
              <w:spacing w:line="480" w:lineRule="exact"/>
              <w:jc w:val="center"/>
              <w:textAlignment w:val="auto"/>
              <w:rPr>
                <w:rFonts w:ascii="仿宋_GB2312" w:hAnsi="宋体" w:eastAsia="仿宋_GB2312"/>
                <w:color w:val="auto"/>
                <w:sz w:val="22"/>
                <w:szCs w:val="22"/>
                <w:highlight w:val="none"/>
              </w:rPr>
            </w:pPr>
            <w:r>
              <w:rPr>
                <w:color w:val="auto"/>
                <w:sz w:val="22"/>
                <w:szCs w:val="22"/>
                <w:highlight w:val="none"/>
              </w:rPr>
              <w:t>3</w:t>
            </w:r>
          </w:p>
        </w:tc>
        <w:tc>
          <w:tcPr>
            <w:tcW w:w="3544" w:type="dxa"/>
            <w:tcBorders>
              <w:top w:val="single" w:color="auto" w:sz="4" w:space="0"/>
              <w:left w:val="single" w:color="auto" w:sz="4" w:space="0"/>
              <w:bottom w:val="single" w:color="auto" w:sz="4" w:space="0"/>
              <w:right w:val="single" w:color="auto" w:sz="4" w:space="0"/>
            </w:tcBorders>
            <w:noWrap/>
            <w:vAlign w:val="center"/>
          </w:tcPr>
          <w:p w14:paraId="463020DA">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FA1D856">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14:paraId="21C2C48B">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r>
      <w:tr w14:paraId="5610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2E7F7330">
            <w:pPr>
              <w:keepNext w:val="0"/>
              <w:keepLines w:val="0"/>
              <w:pageBreakBefore w:val="0"/>
              <w:widowControl w:val="0"/>
              <w:wordWrap/>
              <w:overflowPunct/>
              <w:autoSpaceDE/>
              <w:autoSpaceDN/>
              <w:bidi w:val="0"/>
              <w:adjustRightInd/>
              <w:spacing w:line="480" w:lineRule="exact"/>
              <w:jc w:val="center"/>
              <w:textAlignment w:val="auto"/>
              <w:rPr>
                <w:rFonts w:ascii="仿宋_GB2312"/>
                <w:color w:val="auto"/>
                <w:sz w:val="22"/>
                <w:szCs w:val="22"/>
                <w:highlight w:val="none"/>
              </w:rPr>
            </w:pPr>
            <w:r>
              <w:rPr>
                <w:color w:val="auto"/>
                <w:sz w:val="22"/>
                <w:szCs w:val="22"/>
                <w:highlight w:val="none"/>
              </w:rPr>
              <w:t>4</w:t>
            </w:r>
          </w:p>
        </w:tc>
        <w:tc>
          <w:tcPr>
            <w:tcW w:w="3544" w:type="dxa"/>
            <w:tcBorders>
              <w:top w:val="single" w:color="auto" w:sz="4" w:space="0"/>
              <w:left w:val="single" w:color="auto" w:sz="4" w:space="0"/>
              <w:bottom w:val="single" w:color="auto" w:sz="4" w:space="0"/>
              <w:right w:val="single" w:color="auto" w:sz="4" w:space="0"/>
            </w:tcBorders>
            <w:noWrap/>
            <w:vAlign w:val="center"/>
          </w:tcPr>
          <w:p w14:paraId="08FDB7F6">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4F828ADA">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14:paraId="4E710EB6">
            <w:pPr>
              <w:keepNext w:val="0"/>
              <w:keepLines w:val="0"/>
              <w:pageBreakBefore w:val="0"/>
              <w:widowControl w:val="0"/>
              <w:wordWrap/>
              <w:overflowPunct/>
              <w:autoSpaceDE/>
              <w:autoSpaceDN/>
              <w:bidi w:val="0"/>
              <w:adjustRightInd/>
              <w:snapToGrid w:val="0"/>
              <w:spacing w:line="480" w:lineRule="exact"/>
              <w:ind w:left="0" w:firstLine="440" w:firstLineChars="200"/>
              <w:jc w:val="center"/>
              <w:textAlignment w:val="auto"/>
              <w:rPr>
                <w:rFonts w:ascii="仿宋_GB2312" w:hAnsi="宋体" w:eastAsia="仿宋_GB2312"/>
                <w:color w:val="auto"/>
                <w:sz w:val="22"/>
                <w:szCs w:val="22"/>
                <w:highlight w:val="none"/>
              </w:rPr>
            </w:pPr>
          </w:p>
        </w:tc>
      </w:tr>
    </w:tbl>
    <w:p w14:paraId="6CF4F60C">
      <w:pPr>
        <w:keepNext w:val="0"/>
        <w:keepLines w:val="0"/>
        <w:pageBreakBefore w:val="0"/>
        <w:widowControl w:val="0"/>
        <w:wordWrap/>
        <w:overflowPunct/>
        <w:autoSpaceDE/>
        <w:autoSpaceDN/>
        <w:bidi w:val="0"/>
        <w:adjustRightInd/>
        <w:spacing w:line="480" w:lineRule="exact"/>
        <w:ind w:left="0" w:firstLine="440" w:firstLineChars="200"/>
        <w:textAlignment w:val="auto"/>
        <w:rPr>
          <w:rFonts w:ascii="宋体" w:hAnsi="宋体"/>
          <w:color w:val="auto"/>
          <w:sz w:val="22"/>
          <w:szCs w:val="22"/>
          <w:highlight w:val="none"/>
        </w:rPr>
      </w:pPr>
    </w:p>
    <w:p w14:paraId="2D51727A">
      <w:pPr>
        <w:keepNext w:val="0"/>
        <w:keepLines w:val="0"/>
        <w:pageBreakBefore w:val="0"/>
        <w:widowControl w:val="0"/>
        <w:kinsoku w:val="0"/>
        <w:wordWrap/>
        <w:overflowPunct/>
        <w:topLinePunct/>
        <w:autoSpaceDE/>
        <w:autoSpaceDN/>
        <w:bidi w:val="0"/>
        <w:adjustRightInd/>
        <w:snapToGrid w:val="0"/>
        <w:spacing w:line="48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供应商：（盖章）             </w:t>
      </w:r>
    </w:p>
    <w:p w14:paraId="39978C91">
      <w:pPr>
        <w:keepNext w:val="0"/>
        <w:keepLines w:val="0"/>
        <w:pageBreakBefore w:val="0"/>
        <w:widowControl w:val="0"/>
        <w:kinsoku w:val="0"/>
        <w:wordWrap/>
        <w:overflowPunct/>
        <w:topLinePunct/>
        <w:autoSpaceDE/>
        <w:autoSpaceDN/>
        <w:bidi w:val="0"/>
        <w:adjustRightInd/>
        <w:snapToGrid w:val="0"/>
        <w:spacing w:line="48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678D7B01">
      <w:pPr>
        <w:keepNext w:val="0"/>
        <w:keepLines w:val="0"/>
        <w:pageBreakBefore w:val="0"/>
        <w:widowControl w:val="0"/>
        <w:kinsoku w:val="0"/>
        <w:wordWrap/>
        <w:overflowPunct/>
        <w:topLinePunct/>
        <w:autoSpaceDE/>
        <w:autoSpaceDN/>
        <w:bidi w:val="0"/>
        <w:adjustRightInd/>
        <w:snapToGrid w:val="0"/>
        <w:spacing w:line="48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3757D4F9">
      <w:pPr>
        <w:keepNext w:val="0"/>
        <w:keepLines w:val="0"/>
        <w:pageBreakBefore w:val="0"/>
        <w:widowControl w:val="0"/>
        <w:wordWrap/>
        <w:overflowPunct/>
        <w:autoSpaceDE/>
        <w:autoSpaceDN/>
        <w:bidi w:val="0"/>
        <w:adjustRightInd/>
        <w:spacing w:line="480" w:lineRule="exact"/>
        <w:ind w:left="0" w:firstLine="442" w:firstLineChars="200"/>
        <w:textAlignment w:val="auto"/>
        <w:rPr>
          <w:rFonts w:ascii="宋体" w:hAnsi="宋体"/>
          <w:b/>
          <w:color w:val="auto"/>
          <w:sz w:val="22"/>
          <w:szCs w:val="22"/>
          <w:highlight w:val="none"/>
        </w:rPr>
      </w:pPr>
    </w:p>
    <w:p w14:paraId="63D89411">
      <w:pPr>
        <w:keepNext w:val="0"/>
        <w:keepLines w:val="0"/>
        <w:pageBreakBefore w:val="0"/>
        <w:widowControl w:val="0"/>
        <w:wordWrap/>
        <w:overflowPunct/>
        <w:autoSpaceDE/>
        <w:autoSpaceDN/>
        <w:bidi w:val="0"/>
        <w:adjustRightInd/>
        <w:snapToGrid w:val="0"/>
        <w:spacing w:line="480" w:lineRule="exact"/>
        <w:ind w:left="0" w:firstLine="442" w:firstLineChars="200"/>
        <w:contextualSpacing/>
        <w:textAlignment w:val="auto"/>
        <w:rPr>
          <w:b/>
          <w:color w:val="auto"/>
          <w:sz w:val="22"/>
          <w:szCs w:val="22"/>
          <w:highlight w:val="none"/>
        </w:rPr>
      </w:pPr>
      <w:r>
        <w:rPr>
          <w:b/>
          <w:color w:val="auto"/>
          <w:sz w:val="22"/>
          <w:szCs w:val="22"/>
          <w:highlight w:val="none"/>
        </w:rPr>
        <w:t>注：</w:t>
      </w:r>
    </w:p>
    <w:p w14:paraId="526ED47D">
      <w:pPr>
        <w:keepNext w:val="0"/>
        <w:keepLines w:val="0"/>
        <w:pageBreakBefore w:val="0"/>
        <w:widowControl w:val="0"/>
        <w:wordWrap/>
        <w:overflowPunct/>
        <w:autoSpaceDE/>
        <w:autoSpaceDN/>
        <w:bidi w:val="0"/>
        <w:adjustRightInd/>
        <w:snapToGrid w:val="0"/>
        <w:spacing w:line="480" w:lineRule="exact"/>
        <w:ind w:left="0" w:firstLine="440" w:firstLineChars="200"/>
        <w:contextualSpacing/>
        <w:textAlignment w:val="auto"/>
        <w:rPr>
          <w:color w:val="auto"/>
          <w:sz w:val="22"/>
          <w:szCs w:val="22"/>
          <w:highlight w:val="none"/>
        </w:rPr>
      </w:pPr>
      <w:r>
        <w:rPr>
          <w:color w:val="auto"/>
          <w:sz w:val="22"/>
          <w:szCs w:val="22"/>
          <w:highlight w:val="none"/>
        </w:rPr>
        <w:t>1.</w:t>
      </w:r>
      <w:r>
        <w:rPr>
          <w:rFonts w:hint="eastAsia"/>
          <w:color w:val="auto"/>
          <w:sz w:val="22"/>
          <w:szCs w:val="22"/>
          <w:highlight w:val="none"/>
          <w:lang w:val="en-US" w:eastAsia="zh-CN"/>
        </w:rPr>
        <w:t>供应商</w:t>
      </w:r>
      <w:r>
        <w:rPr>
          <w:color w:val="auto"/>
          <w:sz w:val="22"/>
          <w:szCs w:val="22"/>
          <w:highlight w:val="none"/>
        </w:rPr>
        <w:t>提交的</w:t>
      </w:r>
      <w:r>
        <w:rPr>
          <w:rFonts w:hint="eastAsia"/>
          <w:color w:val="auto"/>
          <w:sz w:val="22"/>
          <w:szCs w:val="22"/>
          <w:highlight w:val="none"/>
          <w:lang w:val="en-US" w:eastAsia="zh-CN"/>
        </w:rPr>
        <w:t>响应</w:t>
      </w:r>
      <w:r>
        <w:rPr>
          <w:color w:val="auto"/>
          <w:sz w:val="22"/>
          <w:szCs w:val="22"/>
          <w:highlight w:val="none"/>
        </w:rPr>
        <w:t>文件中与</w:t>
      </w:r>
      <w:r>
        <w:rPr>
          <w:rFonts w:hint="eastAsia"/>
          <w:color w:val="auto"/>
          <w:sz w:val="22"/>
          <w:szCs w:val="22"/>
          <w:highlight w:val="none"/>
          <w:lang w:val="en-US" w:eastAsia="zh-CN"/>
        </w:rPr>
        <w:t>采购</w:t>
      </w:r>
      <w:r>
        <w:rPr>
          <w:color w:val="auto"/>
          <w:sz w:val="22"/>
          <w:szCs w:val="22"/>
          <w:highlight w:val="none"/>
        </w:rPr>
        <w:t>文件第三部分“项目需求”中的商务部分的要求，应逐条填列在偏离表中。</w:t>
      </w:r>
    </w:p>
    <w:p w14:paraId="57CE4166">
      <w:pPr>
        <w:keepNext w:val="0"/>
        <w:keepLines w:val="0"/>
        <w:pageBreakBefore w:val="0"/>
        <w:widowControl w:val="0"/>
        <w:wordWrap/>
        <w:overflowPunct/>
        <w:autoSpaceDE/>
        <w:autoSpaceDN/>
        <w:bidi w:val="0"/>
        <w:adjustRightInd/>
        <w:snapToGrid w:val="0"/>
        <w:spacing w:line="480" w:lineRule="exact"/>
        <w:ind w:left="0" w:firstLine="440" w:firstLineChars="200"/>
        <w:contextualSpacing/>
        <w:textAlignment w:val="auto"/>
        <w:rPr>
          <w:color w:val="auto"/>
          <w:sz w:val="22"/>
          <w:szCs w:val="22"/>
          <w:highlight w:val="none"/>
        </w:rPr>
      </w:pPr>
      <w:r>
        <w:rPr>
          <w:color w:val="auto"/>
          <w:sz w:val="22"/>
          <w:szCs w:val="22"/>
          <w:highlight w:val="none"/>
        </w:rPr>
        <w:t>2.“偏离说明”一栏选择“正偏离</w:t>
      </w:r>
      <w:r>
        <w:rPr>
          <w:rFonts w:hint="eastAsia"/>
          <w:color w:val="auto"/>
          <w:sz w:val="22"/>
          <w:szCs w:val="22"/>
          <w:highlight w:val="none"/>
          <w:lang w:eastAsia="zh-CN"/>
        </w:rPr>
        <w:t>”“</w:t>
      </w:r>
      <w:r>
        <w:rPr>
          <w:color w:val="auto"/>
          <w:sz w:val="22"/>
          <w:szCs w:val="22"/>
          <w:highlight w:val="none"/>
        </w:rPr>
        <w:t>无偏离</w:t>
      </w:r>
      <w:r>
        <w:rPr>
          <w:rFonts w:hint="eastAsia"/>
          <w:color w:val="auto"/>
          <w:sz w:val="22"/>
          <w:szCs w:val="22"/>
          <w:highlight w:val="none"/>
          <w:lang w:eastAsia="zh-CN"/>
        </w:rPr>
        <w:t>”“</w:t>
      </w:r>
      <w:r>
        <w:rPr>
          <w:color w:val="auto"/>
          <w:sz w:val="22"/>
          <w:szCs w:val="22"/>
          <w:highlight w:val="none"/>
        </w:rPr>
        <w:t>负偏离”进行填写。正偏离、无偏离的确认和负偏离的是否响应</w:t>
      </w:r>
      <w:r>
        <w:rPr>
          <w:rFonts w:hint="eastAsia"/>
          <w:color w:val="auto"/>
          <w:sz w:val="22"/>
          <w:szCs w:val="22"/>
          <w:highlight w:val="none"/>
          <w:lang w:val="en-US" w:eastAsia="zh-CN"/>
        </w:rPr>
        <w:t>采购</w:t>
      </w:r>
      <w:r>
        <w:rPr>
          <w:color w:val="auto"/>
          <w:sz w:val="22"/>
          <w:szCs w:val="22"/>
          <w:highlight w:val="none"/>
        </w:rPr>
        <w:t>文件，由评委认定。</w:t>
      </w:r>
      <w:r>
        <w:rPr>
          <w:rFonts w:hint="eastAsia"/>
          <w:color w:val="auto"/>
          <w:sz w:val="22"/>
          <w:szCs w:val="22"/>
          <w:highlight w:val="none"/>
        </w:rPr>
        <w:t>不明示的视同完全响应</w:t>
      </w:r>
      <w:r>
        <w:rPr>
          <w:rFonts w:hint="eastAsia"/>
          <w:color w:val="auto"/>
          <w:sz w:val="22"/>
          <w:szCs w:val="22"/>
          <w:highlight w:val="none"/>
          <w:lang w:eastAsia="zh-CN"/>
        </w:rPr>
        <w:t>。</w:t>
      </w:r>
    </w:p>
    <w:p w14:paraId="7F106ABC">
      <w:pPr>
        <w:keepNext w:val="0"/>
        <w:keepLines w:val="0"/>
        <w:pageBreakBefore w:val="0"/>
        <w:widowControl w:val="0"/>
        <w:wordWrap/>
        <w:overflowPunct/>
        <w:autoSpaceDE/>
        <w:autoSpaceDN/>
        <w:bidi w:val="0"/>
        <w:adjustRightInd/>
        <w:snapToGrid w:val="0"/>
        <w:spacing w:line="480" w:lineRule="exact"/>
        <w:ind w:left="0" w:firstLine="440" w:firstLineChars="200"/>
        <w:contextualSpacing/>
        <w:textAlignment w:val="auto"/>
        <w:rPr>
          <w:bCs/>
          <w:color w:val="auto"/>
          <w:sz w:val="22"/>
          <w:szCs w:val="22"/>
          <w:highlight w:val="none"/>
        </w:rPr>
      </w:pPr>
      <w:r>
        <w:rPr>
          <w:color w:val="auto"/>
          <w:sz w:val="22"/>
          <w:szCs w:val="22"/>
          <w:highlight w:val="none"/>
        </w:rPr>
        <w:t>3.</w:t>
      </w:r>
      <w:r>
        <w:rPr>
          <w:bCs/>
          <w:color w:val="auto"/>
          <w:sz w:val="22"/>
          <w:szCs w:val="22"/>
          <w:highlight w:val="none"/>
        </w:rPr>
        <w:t>供应商若提供其他增值服务，可以在表中自行据实填写。</w:t>
      </w:r>
    </w:p>
    <w:p w14:paraId="0F894592">
      <w:pPr>
        <w:keepNext w:val="0"/>
        <w:keepLines w:val="0"/>
        <w:pageBreakBefore w:val="0"/>
        <w:widowControl w:val="0"/>
        <w:wordWrap/>
        <w:overflowPunct/>
        <w:autoSpaceDE/>
        <w:autoSpaceDN/>
        <w:bidi w:val="0"/>
        <w:adjustRightInd/>
        <w:snapToGrid w:val="0"/>
        <w:spacing w:line="480" w:lineRule="exact"/>
        <w:ind w:firstLine="440" w:firstLineChars="200"/>
        <w:contextualSpacing/>
        <w:textAlignment w:val="auto"/>
        <w:rPr>
          <w:bCs/>
          <w:color w:val="auto"/>
          <w:sz w:val="22"/>
          <w:szCs w:val="22"/>
          <w:highlight w:val="none"/>
        </w:rPr>
      </w:pPr>
      <w:r>
        <w:rPr>
          <w:rFonts w:hint="eastAsia"/>
          <w:bCs/>
          <w:color w:val="auto"/>
          <w:sz w:val="22"/>
          <w:szCs w:val="22"/>
          <w:highlight w:val="none"/>
          <w:lang w:val="en-US" w:eastAsia="zh-CN"/>
        </w:rPr>
        <w:t>4.商务</w:t>
      </w:r>
      <w:r>
        <w:rPr>
          <w:rFonts w:hint="eastAsia"/>
          <w:bCs/>
          <w:color w:val="auto"/>
          <w:sz w:val="22"/>
          <w:szCs w:val="22"/>
          <w:highlight w:val="none"/>
        </w:rPr>
        <w:t>部分未在此表明示的内容视同完全响应。</w:t>
      </w:r>
    </w:p>
    <w:p w14:paraId="5C3F1509">
      <w:pPr>
        <w:pStyle w:val="2"/>
        <w:rPr>
          <w:color w:val="auto"/>
          <w:highlight w:val="none"/>
        </w:rPr>
      </w:pPr>
    </w:p>
    <w:p w14:paraId="70750DDE">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4"/>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44EBF279">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4C534D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企业名称</w:t>
            </w:r>
          </w:p>
        </w:tc>
        <w:tc>
          <w:tcPr>
            <w:tcW w:w="7229" w:type="dxa"/>
            <w:gridSpan w:val="8"/>
            <w:tcBorders>
              <w:top w:val="single" w:color="auto" w:sz="4" w:space="0"/>
              <w:left w:val="nil"/>
              <w:bottom w:val="single" w:color="auto" w:sz="4" w:space="0"/>
              <w:right w:val="single" w:color="auto" w:sz="4" w:space="0"/>
            </w:tcBorders>
            <w:noWrap/>
          </w:tcPr>
          <w:p w14:paraId="22E22054">
            <w:pPr>
              <w:spacing w:line="360" w:lineRule="auto"/>
              <w:rPr>
                <w:rFonts w:ascii="宋体" w:hAnsi="宋体" w:cs="宋体"/>
                <w:color w:val="auto"/>
                <w:sz w:val="22"/>
                <w:szCs w:val="22"/>
                <w:highlight w:val="none"/>
              </w:rPr>
            </w:pPr>
          </w:p>
        </w:tc>
      </w:tr>
      <w:tr w14:paraId="0CE32B1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B675ED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总部地址</w:t>
            </w:r>
          </w:p>
        </w:tc>
        <w:tc>
          <w:tcPr>
            <w:tcW w:w="7229" w:type="dxa"/>
            <w:gridSpan w:val="8"/>
            <w:tcBorders>
              <w:top w:val="single" w:color="auto" w:sz="4" w:space="0"/>
              <w:left w:val="nil"/>
              <w:bottom w:val="single" w:color="auto" w:sz="4" w:space="0"/>
              <w:right w:val="single" w:color="auto" w:sz="4" w:space="0"/>
            </w:tcBorders>
            <w:noWrap/>
          </w:tcPr>
          <w:p w14:paraId="026BE933">
            <w:pPr>
              <w:spacing w:line="360" w:lineRule="auto"/>
              <w:rPr>
                <w:rFonts w:ascii="宋体" w:hAnsi="宋体" w:cs="宋体"/>
                <w:color w:val="auto"/>
                <w:sz w:val="22"/>
                <w:szCs w:val="22"/>
                <w:highlight w:val="none"/>
              </w:rPr>
            </w:pPr>
          </w:p>
        </w:tc>
      </w:tr>
      <w:tr w14:paraId="3A1D0619">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842B29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分支机构</w:t>
            </w:r>
          </w:p>
        </w:tc>
        <w:tc>
          <w:tcPr>
            <w:tcW w:w="7229" w:type="dxa"/>
            <w:gridSpan w:val="8"/>
            <w:tcBorders>
              <w:top w:val="single" w:color="auto" w:sz="4" w:space="0"/>
              <w:left w:val="nil"/>
              <w:bottom w:val="single" w:color="auto" w:sz="4" w:space="0"/>
              <w:right w:val="single" w:color="auto" w:sz="4" w:space="0"/>
            </w:tcBorders>
            <w:noWrap/>
          </w:tcPr>
          <w:p w14:paraId="51CBABF2">
            <w:pPr>
              <w:spacing w:line="360" w:lineRule="auto"/>
              <w:rPr>
                <w:rFonts w:ascii="宋体" w:hAnsi="宋体" w:cs="宋体"/>
                <w:color w:val="auto"/>
                <w:sz w:val="22"/>
                <w:szCs w:val="22"/>
                <w:highlight w:val="none"/>
              </w:rPr>
            </w:pPr>
          </w:p>
        </w:tc>
      </w:tr>
      <w:tr w14:paraId="2F5C5DE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6F24966">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14:paraId="56D4EA5B">
            <w:pPr>
              <w:spacing w:line="360" w:lineRule="auto"/>
              <w:rPr>
                <w:rFonts w:ascii="宋体" w:hAnsi="宋体" w:cs="宋体"/>
                <w:color w:val="auto"/>
                <w:sz w:val="22"/>
                <w:szCs w:val="22"/>
                <w:highlight w:val="none"/>
              </w:rPr>
            </w:pPr>
          </w:p>
        </w:tc>
      </w:tr>
      <w:tr w14:paraId="3E78E57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AB6E4F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电话</w:t>
            </w:r>
          </w:p>
        </w:tc>
        <w:tc>
          <w:tcPr>
            <w:tcW w:w="2408" w:type="dxa"/>
            <w:gridSpan w:val="3"/>
            <w:tcBorders>
              <w:top w:val="single" w:color="auto" w:sz="4" w:space="0"/>
              <w:left w:val="nil"/>
              <w:bottom w:val="single" w:color="auto" w:sz="4" w:space="0"/>
              <w:right w:val="single" w:color="auto" w:sz="4" w:space="0"/>
            </w:tcBorders>
            <w:noWrap/>
          </w:tcPr>
          <w:p w14:paraId="70988F25">
            <w:pPr>
              <w:spacing w:line="360" w:lineRule="auto"/>
              <w:rPr>
                <w:rFonts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tcPr>
          <w:p w14:paraId="49BCBEA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联系人</w:t>
            </w:r>
          </w:p>
        </w:tc>
        <w:tc>
          <w:tcPr>
            <w:tcW w:w="2946" w:type="dxa"/>
            <w:gridSpan w:val="3"/>
            <w:tcBorders>
              <w:top w:val="single" w:color="auto" w:sz="4" w:space="0"/>
              <w:left w:val="nil"/>
              <w:bottom w:val="single" w:color="auto" w:sz="4" w:space="0"/>
              <w:right w:val="single" w:color="auto" w:sz="4" w:space="0"/>
            </w:tcBorders>
            <w:noWrap/>
          </w:tcPr>
          <w:p w14:paraId="1E51B94A">
            <w:pPr>
              <w:spacing w:line="360" w:lineRule="auto"/>
              <w:rPr>
                <w:rFonts w:ascii="宋体" w:hAnsi="宋体" w:cs="宋体"/>
                <w:color w:val="auto"/>
                <w:sz w:val="22"/>
                <w:szCs w:val="22"/>
                <w:highlight w:val="none"/>
              </w:rPr>
            </w:pPr>
          </w:p>
        </w:tc>
      </w:tr>
      <w:tr w14:paraId="64C1367F">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F3A670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传真</w:t>
            </w:r>
          </w:p>
        </w:tc>
        <w:tc>
          <w:tcPr>
            <w:tcW w:w="2408" w:type="dxa"/>
            <w:gridSpan w:val="3"/>
            <w:tcBorders>
              <w:top w:val="single" w:color="auto" w:sz="4" w:space="0"/>
              <w:left w:val="nil"/>
              <w:bottom w:val="single" w:color="auto" w:sz="4" w:space="0"/>
              <w:right w:val="single" w:color="auto" w:sz="4" w:space="0"/>
            </w:tcBorders>
            <w:noWrap/>
          </w:tcPr>
          <w:p w14:paraId="5D663F59">
            <w:pPr>
              <w:spacing w:line="360" w:lineRule="auto"/>
              <w:rPr>
                <w:rFonts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tcPr>
          <w:p w14:paraId="09FF691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电子邮件</w:t>
            </w:r>
          </w:p>
        </w:tc>
        <w:tc>
          <w:tcPr>
            <w:tcW w:w="2946" w:type="dxa"/>
            <w:gridSpan w:val="3"/>
            <w:tcBorders>
              <w:top w:val="single" w:color="auto" w:sz="4" w:space="0"/>
              <w:left w:val="nil"/>
              <w:bottom w:val="single" w:color="auto" w:sz="4" w:space="0"/>
              <w:right w:val="single" w:color="auto" w:sz="4" w:space="0"/>
            </w:tcBorders>
            <w:noWrap/>
          </w:tcPr>
          <w:p w14:paraId="6CC322FB">
            <w:pPr>
              <w:spacing w:line="360" w:lineRule="auto"/>
              <w:rPr>
                <w:rFonts w:ascii="宋体" w:hAnsi="宋体" w:cs="宋体"/>
                <w:color w:val="auto"/>
                <w:sz w:val="22"/>
                <w:szCs w:val="22"/>
                <w:highlight w:val="none"/>
              </w:rPr>
            </w:pPr>
          </w:p>
        </w:tc>
      </w:tr>
      <w:tr w14:paraId="7CF02A2C">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46A461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注册地</w:t>
            </w:r>
          </w:p>
        </w:tc>
        <w:tc>
          <w:tcPr>
            <w:tcW w:w="2408" w:type="dxa"/>
            <w:gridSpan w:val="3"/>
            <w:tcBorders>
              <w:top w:val="single" w:color="auto" w:sz="4" w:space="0"/>
              <w:left w:val="nil"/>
              <w:bottom w:val="single" w:color="auto" w:sz="4" w:space="0"/>
              <w:right w:val="single" w:color="auto" w:sz="4" w:space="0"/>
            </w:tcBorders>
            <w:noWrap/>
          </w:tcPr>
          <w:p w14:paraId="47058473">
            <w:pPr>
              <w:spacing w:line="360" w:lineRule="auto"/>
              <w:rPr>
                <w:rFonts w:ascii="宋体" w:hAnsi="宋体" w:cs="宋体"/>
                <w:color w:val="auto"/>
                <w:sz w:val="22"/>
                <w:szCs w:val="22"/>
                <w:highlight w:val="none"/>
              </w:rPr>
            </w:pPr>
          </w:p>
        </w:tc>
        <w:tc>
          <w:tcPr>
            <w:tcW w:w="1875" w:type="dxa"/>
            <w:gridSpan w:val="2"/>
            <w:tcBorders>
              <w:top w:val="single" w:color="auto" w:sz="4" w:space="0"/>
              <w:left w:val="nil"/>
              <w:bottom w:val="single" w:color="auto" w:sz="4" w:space="0"/>
              <w:right w:val="single" w:color="auto" w:sz="4" w:space="0"/>
            </w:tcBorders>
            <w:noWrap/>
          </w:tcPr>
          <w:p w14:paraId="42B623F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注册年份</w:t>
            </w:r>
          </w:p>
        </w:tc>
        <w:tc>
          <w:tcPr>
            <w:tcW w:w="2946" w:type="dxa"/>
            <w:gridSpan w:val="3"/>
            <w:tcBorders>
              <w:top w:val="single" w:color="auto" w:sz="4" w:space="0"/>
              <w:left w:val="nil"/>
              <w:bottom w:val="single" w:color="auto" w:sz="4" w:space="0"/>
              <w:right w:val="single" w:color="auto" w:sz="4" w:space="0"/>
            </w:tcBorders>
            <w:noWrap/>
          </w:tcPr>
          <w:p w14:paraId="49318A3A">
            <w:pPr>
              <w:spacing w:line="360" w:lineRule="auto"/>
              <w:rPr>
                <w:rFonts w:ascii="宋体" w:hAnsi="宋体" w:cs="宋体"/>
                <w:color w:val="auto"/>
                <w:sz w:val="22"/>
                <w:szCs w:val="22"/>
                <w:highlight w:val="none"/>
              </w:rPr>
            </w:pPr>
          </w:p>
        </w:tc>
      </w:tr>
      <w:tr w14:paraId="49F7ECD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25B560A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资质等级</w:t>
            </w:r>
          </w:p>
        </w:tc>
        <w:tc>
          <w:tcPr>
            <w:tcW w:w="7229" w:type="dxa"/>
            <w:gridSpan w:val="8"/>
            <w:tcBorders>
              <w:top w:val="single" w:color="auto" w:sz="4" w:space="0"/>
              <w:left w:val="nil"/>
              <w:bottom w:val="single" w:color="auto" w:sz="4" w:space="0"/>
              <w:right w:val="single" w:color="auto" w:sz="4" w:space="0"/>
            </w:tcBorders>
            <w:noWrap/>
          </w:tcPr>
          <w:p w14:paraId="3D98C062">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公司具备的相关资质等级及相应的证书号</w:t>
            </w:r>
          </w:p>
          <w:p w14:paraId="6AB247F8">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（请附有关证书的复印件）</w:t>
            </w:r>
          </w:p>
        </w:tc>
      </w:tr>
      <w:tr w14:paraId="34FBE7E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CE9876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14:paraId="19447F6C">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公司</w:t>
            </w:r>
            <w:r>
              <w:rPr>
                <w:rFonts w:hint="eastAsia" w:ascii="宋体" w:hAnsi="宋体" w:cs="宋体"/>
                <w:color w:val="auto"/>
                <w:sz w:val="22"/>
                <w:szCs w:val="22"/>
                <w:highlight w:val="none"/>
                <w:u w:val="single"/>
              </w:rPr>
              <w:t xml:space="preserve">   （是否通过，何种）   </w:t>
            </w:r>
            <w:r>
              <w:rPr>
                <w:rFonts w:hint="eastAsia" w:ascii="宋体" w:hAnsi="宋体" w:cs="宋体"/>
                <w:color w:val="auto"/>
                <w:sz w:val="22"/>
                <w:szCs w:val="22"/>
                <w:highlight w:val="none"/>
              </w:rPr>
              <w:t>质量保证体系认证（如通过请附相关在有效期内的证书复印件）</w:t>
            </w:r>
          </w:p>
        </w:tc>
      </w:tr>
      <w:tr w14:paraId="6698FEE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0D9913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14:paraId="151D0C94">
            <w:pPr>
              <w:spacing w:line="360" w:lineRule="auto"/>
              <w:jc w:val="center"/>
              <w:rPr>
                <w:rFonts w:ascii="宋体" w:hAnsi="宋体" w:cs="宋体"/>
                <w:color w:val="auto"/>
                <w:sz w:val="22"/>
                <w:szCs w:val="22"/>
                <w:highlight w:val="none"/>
              </w:rPr>
            </w:pPr>
          </w:p>
        </w:tc>
        <w:tc>
          <w:tcPr>
            <w:tcW w:w="1417" w:type="dxa"/>
            <w:gridSpan w:val="2"/>
            <w:tcBorders>
              <w:top w:val="single" w:color="auto" w:sz="4" w:space="0"/>
              <w:left w:val="nil"/>
              <w:bottom w:val="single" w:color="auto" w:sz="4" w:space="0"/>
              <w:right w:val="single" w:color="auto" w:sz="4" w:space="0"/>
            </w:tcBorders>
            <w:noWrap/>
          </w:tcPr>
          <w:p w14:paraId="6A81949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年龄</w:t>
            </w:r>
          </w:p>
        </w:tc>
        <w:tc>
          <w:tcPr>
            <w:tcW w:w="1466" w:type="dxa"/>
            <w:gridSpan w:val="2"/>
            <w:tcBorders>
              <w:top w:val="single" w:color="auto" w:sz="4" w:space="0"/>
              <w:left w:val="nil"/>
              <w:bottom w:val="single" w:color="auto" w:sz="4" w:space="0"/>
              <w:right w:val="single" w:color="auto" w:sz="4" w:space="0"/>
            </w:tcBorders>
            <w:noWrap/>
          </w:tcPr>
          <w:p w14:paraId="4A7461C4">
            <w:pPr>
              <w:spacing w:line="360" w:lineRule="auto"/>
              <w:jc w:val="center"/>
              <w:rPr>
                <w:rFonts w:ascii="宋体" w:hAnsi="宋体" w:cs="宋体"/>
                <w:color w:val="auto"/>
                <w:sz w:val="22"/>
                <w:szCs w:val="22"/>
                <w:highlight w:val="none"/>
              </w:rPr>
            </w:pPr>
          </w:p>
        </w:tc>
        <w:tc>
          <w:tcPr>
            <w:tcW w:w="1320" w:type="dxa"/>
            <w:tcBorders>
              <w:top w:val="single" w:color="auto" w:sz="4" w:space="0"/>
              <w:left w:val="nil"/>
              <w:bottom w:val="single" w:color="auto" w:sz="4" w:space="0"/>
              <w:right w:val="single" w:color="auto" w:sz="4" w:space="0"/>
            </w:tcBorders>
            <w:noWrap/>
          </w:tcPr>
          <w:p w14:paraId="53CAF61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性别</w:t>
            </w:r>
          </w:p>
        </w:tc>
        <w:tc>
          <w:tcPr>
            <w:tcW w:w="1467" w:type="dxa"/>
            <w:tcBorders>
              <w:top w:val="single" w:color="auto" w:sz="4" w:space="0"/>
              <w:left w:val="nil"/>
              <w:bottom w:val="single" w:color="auto" w:sz="4" w:space="0"/>
              <w:right w:val="single" w:color="auto" w:sz="4" w:space="0"/>
            </w:tcBorders>
            <w:noWrap/>
          </w:tcPr>
          <w:p w14:paraId="074D92CA">
            <w:pPr>
              <w:spacing w:line="360" w:lineRule="auto"/>
              <w:jc w:val="center"/>
              <w:rPr>
                <w:rFonts w:ascii="宋体" w:hAnsi="宋体" w:cs="宋体"/>
                <w:color w:val="auto"/>
                <w:sz w:val="22"/>
                <w:szCs w:val="22"/>
                <w:highlight w:val="none"/>
              </w:rPr>
            </w:pPr>
          </w:p>
        </w:tc>
      </w:tr>
      <w:tr w14:paraId="0437556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6D45F8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职务职称</w:t>
            </w:r>
          </w:p>
        </w:tc>
        <w:tc>
          <w:tcPr>
            <w:tcW w:w="2976" w:type="dxa"/>
            <w:gridSpan w:val="4"/>
            <w:tcBorders>
              <w:top w:val="single" w:color="auto" w:sz="4" w:space="0"/>
              <w:left w:val="nil"/>
              <w:bottom w:val="single" w:color="auto" w:sz="4" w:space="0"/>
              <w:right w:val="single" w:color="auto" w:sz="4" w:space="0"/>
            </w:tcBorders>
            <w:noWrap/>
          </w:tcPr>
          <w:p w14:paraId="6F5CD2E3">
            <w:pPr>
              <w:spacing w:line="360" w:lineRule="auto"/>
              <w:rPr>
                <w:rFonts w:ascii="宋体" w:hAnsi="宋体" w:cs="宋体"/>
                <w:color w:val="auto"/>
                <w:sz w:val="22"/>
                <w:szCs w:val="22"/>
                <w:highlight w:val="none"/>
              </w:rPr>
            </w:pPr>
          </w:p>
        </w:tc>
        <w:tc>
          <w:tcPr>
            <w:tcW w:w="1466" w:type="dxa"/>
            <w:gridSpan w:val="2"/>
            <w:tcBorders>
              <w:top w:val="single" w:color="auto" w:sz="4" w:space="0"/>
              <w:left w:val="nil"/>
              <w:bottom w:val="single" w:color="auto" w:sz="4" w:space="0"/>
              <w:right w:val="single" w:color="auto" w:sz="4" w:space="0"/>
            </w:tcBorders>
            <w:noWrap/>
          </w:tcPr>
          <w:p w14:paraId="2A572B65">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执业资格</w:t>
            </w:r>
          </w:p>
        </w:tc>
        <w:tc>
          <w:tcPr>
            <w:tcW w:w="2787" w:type="dxa"/>
            <w:gridSpan w:val="2"/>
            <w:tcBorders>
              <w:top w:val="single" w:color="auto" w:sz="4" w:space="0"/>
              <w:left w:val="nil"/>
              <w:bottom w:val="single" w:color="auto" w:sz="4" w:space="0"/>
              <w:right w:val="single" w:color="auto" w:sz="4" w:space="0"/>
            </w:tcBorders>
            <w:noWrap/>
          </w:tcPr>
          <w:p w14:paraId="5E7CFD53">
            <w:pPr>
              <w:spacing w:line="360" w:lineRule="auto"/>
              <w:rPr>
                <w:rFonts w:ascii="宋体" w:hAnsi="宋体" w:cs="宋体"/>
                <w:color w:val="auto"/>
                <w:sz w:val="22"/>
                <w:szCs w:val="22"/>
                <w:highlight w:val="none"/>
              </w:rPr>
            </w:pPr>
          </w:p>
        </w:tc>
      </w:tr>
      <w:tr w14:paraId="02AD3222">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874755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经营范围</w:t>
            </w:r>
          </w:p>
        </w:tc>
        <w:tc>
          <w:tcPr>
            <w:tcW w:w="7229" w:type="dxa"/>
            <w:gridSpan w:val="8"/>
            <w:tcBorders>
              <w:top w:val="single" w:color="auto" w:sz="4" w:space="0"/>
              <w:left w:val="nil"/>
              <w:bottom w:val="single" w:color="auto" w:sz="4" w:space="0"/>
              <w:right w:val="single" w:color="auto" w:sz="4" w:space="0"/>
            </w:tcBorders>
            <w:noWrap/>
          </w:tcPr>
          <w:p w14:paraId="534FE9FC">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营业执照载明：</w:t>
            </w:r>
          </w:p>
          <w:p w14:paraId="7AC07B45">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1.</w:t>
            </w:r>
          </w:p>
          <w:p w14:paraId="5687DAEC">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2.</w:t>
            </w:r>
          </w:p>
          <w:p w14:paraId="677350AF">
            <w:pPr>
              <w:spacing w:line="360" w:lineRule="auto"/>
              <w:rPr>
                <w:rFonts w:ascii="宋体" w:hAnsi="宋体" w:cs="宋体"/>
                <w:color w:val="auto"/>
                <w:sz w:val="22"/>
                <w:szCs w:val="22"/>
                <w:highlight w:val="none"/>
                <w:u w:val="single"/>
              </w:rPr>
            </w:pPr>
            <w:r>
              <w:rPr>
                <w:rFonts w:hint="eastAsia" w:ascii="宋体" w:hAnsi="宋体" w:cs="宋体"/>
                <w:color w:val="auto"/>
                <w:sz w:val="22"/>
                <w:szCs w:val="22"/>
                <w:highlight w:val="none"/>
              </w:rPr>
              <w:t>3.</w:t>
            </w:r>
          </w:p>
          <w:p w14:paraId="4E2C09C4">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w:t>
            </w:r>
          </w:p>
        </w:tc>
      </w:tr>
      <w:tr w14:paraId="7A3910EB">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08697628">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14:paraId="47AB703D">
            <w:pPr>
              <w:spacing w:line="360" w:lineRule="auto"/>
              <w:rPr>
                <w:rFonts w:ascii="宋体" w:hAnsi="宋体" w:cs="宋体"/>
                <w:color w:val="auto"/>
                <w:sz w:val="22"/>
                <w:szCs w:val="22"/>
                <w:highlight w:val="none"/>
              </w:rPr>
            </w:pPr>
          </w:p>
        </w:tc>
      </w:tr>
      <w:tr w14:paraId="2B7F4ABD">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81A8914">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14:paraId="59F3ACEB">
            <w:pPr>
              <w:spacing w:line="360" w:lineRule="auto"/>
              <w:rPr>
                <w:rFonts w:ascii="宋体" w:hAnsi="宋体" w:cs="宋体"/>
                <w:color w:val="auto"/>
                <w:sz w:val="22"/>
                <w:szCs w:val="22"/>
                <w:highlight w:val="none"/>
              </w:rPr>
            </w:pPr>
          </w:p>
        </w:tc>
      </w:tr>
    </w:tbl>
    <w:p w14:paraId="3B07D6A6">
      <w:pPr>
        <w:spacing w:line="360" w:lineRule="auto"/>
        <w:ind w:firstLine="440" w:firstLineChars="200"/>
        <w:jc w:val="right"/>
        <w:rPr>
          <w:rFonts w:hint="eastAsia" w:ascii="宋体" w:hAnsi="宋体" w:cs="宋体"/>
          <w:color w:val="auto"/>
          <w:sz w:val="22"/>
          <w:szCs w:val="22"/>
          <w:highlight w:val="none"/>
        </w:rPr>
      </w:pPr>
    </w:p>
    <w:p w14:paraId="76A7EF4C">
      <w:pPr>
        <w:spacing w:line="360" w:lineRule="auto"/>
        <w:ind w:firstLine="440" w:firstLineChars="200"/>
        <w:jc w:val="right"/>
        <w:rPr>
          <w:rFonts w:ascii="宋体" w:hAnsi="宋体" w:cs="宋体"/>
          <w:color w:val="auto"/>
          <w:sz w:val="22"/>
          <w:szCs w:val="22"/>
          <w:highlight w:val="none"/>
        </w:rPr>
      </w:pPr>
      <w:r>
        <w:rPr>
          <w:rFonts w:hint="eastAsia" w:ascii="宋体" w:hAnsi="宋体" w:cs="宋体"/>
          <w:color w:val="auto"/>
          <w:sz w:val="22"/>
          <w:szCs w:val="22"/>
          <w:highlight w:val="none"/>
        </w:rPr>
        <w:t>供应商：（加盖</w:t>
      </w:r>
      <w:r>
        <w:rPr>
          <w:rFonts w:hint="eastAsia"/>
          <w:b w:val="0"/>
          <w:bCs/>
          <w:color w:val="auto"/>
          <w:sz w:val="22"/>
          <w:szCs w:val="21"/>
          <w:highlight w:val="none"/>
          <w:lang w:val="en-US" w:eastAsia="zh-CN"/>
        </w:rPr>
        <w:t>供应商</w:t>
      </w:r>
      <w:r>
        <w:rPr>
          <w:rFonts w:hint="eastAsia" w:ascii="宋体" w:hAnsi="宋体" w:cs="宋体"/>
          <w:color w:val="auto"/>
          <w:sz w:val="22"/>
          <w:szCs w:val="22"/>
          <w:highlight w:val="none"/>
        </w:rPr>
        <w:t>公章）</w:t>
      </w:r>
    </w:p>
    <w:p w14:paraId="36C7CF01">
      <w:pPr>
        <w:spacing w:line="360" w:lineRule="auto"/>
        <w:ind w:firstLine="440" w:firstLineChars="200"/>
        <w:jc w:val="right"/>
        <w:rPr>
          <w:rFonts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42A84BEE">
      <w:pPr>
        <w:spacing w:line="360" w:lineRule="auto"/>
        <w:ind w:firstLine="1210" w:firstLineChars="5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p w14:paraId="736A8E15">
      <w:pPr>
        <w:rPr>
          <w:rFonts w:hint="eastAsia" w:ascii="宋体" w:hAnsi="宋体" w:cs="宋体"/>
          <w:color w:val="auto"/>
          <w:sz w:val="24"/>
          <w:highlight w:val="none"/>
        </w:rPr>
      </w:pPr>
      <w:r>
        <w:rPr>
          <w:rFonts w:hint="eastAsia" w:ascii="宋体" w:hAnsi="宋体" w:cs="宋体"/>
          <w:color w:val="auto"/>
          <w:sz w:val="22"/>
          <w:szCs w:val="22"/>
          <w:highlight w:val="none"/>
        </w:rPr>
        <w:br w:type="page"/>
      </w:r>
    </w:p>
    <w:p w14:paraId="2DFB4E0F">
      <w:pPr>
        <w:keepNext w:val="0"/>
        <w:keepLines w:val="0"/>
        <w:pageBreakBefore w:val="0"/>
        <w:wordWrap/>
        <w:overflowPunct/>
        <w:autoSpaceDE/>
        <w:autoSpaceDN/>
        <w:bidi w:val="0"/>
        <w:adjustRightInd/>
        <w:spacing w:line="480" w:lineRule="exact"/>
        <w:jc w:val="center"/>
        <w:textAlignment w:val="auto"/>
        <w:rPr>
          <w:rFonts w:ascii="宋体" w:hAnsi="宋体" w:cs="宋体"/>
          <w:b/>
          <w:color w:val="auto"/>
          <w:sz w:val="24"/>
          <w:highlight w:val="none"/>
        </w:rPr>
      </w:pP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文件相关的格式文件及表格</w:t>
      </w:r>
    </w:p>
    <w:p w14:paraId="51F84735">
      <w:pPr>
        <w:keepNext w:val="0"/>
        <w:keepLines w:val="0"/>
        <w:pageBreakBefore w:val="0"/>
        <w:widowControl/>
        <w:numPr>
          <w:ilvl w:val="0"/>
          <w:numId w:val="0"/>
        </w:numPr>
        <w:shd w:val="clear" w:color="auto" w:fill="FFFFFF"/>
        <w:wordWrap/>
        <w:overflowPunct/>
        <w:autoSpaceDE/>
        <w:autoSpaceDN/>
        <w:bidi w:val="0"/>
        <w:adjustRightInd/>
        <w:snapToGrid/>
        <w:spacing w:line="480" w:lineRule="exact"/>
        <w:jc w:val="center"/>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1、磋商报价总表</w:t>
      </w:r>
    </w:p>
    <w:tbl>
      <w:tblPr>
        <w:tblStyle w:val="14"/>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38C7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67FE11F9">
            <w:pPr>
              <w:keepNext w:val="0"/>
              <w:keepLines w:val="0"/>
              <w:pageBreakBefore w:val="0"/>
              <w:widowControl w:val="0"/>
              <w:kinsoku w:val="0"/>
              <w:wordWrap/>
              <w:overflowPunct/>
              <w:topLinePunct/>
              <w:autoSpaceDE/>
              <w:autoSpaceDN/>
              <w:bidi w:val="0"/>
              <w:adjustRightInd/>
              <w:snapToGrid/>
              <w:spacing w:line="480" w:lineRule="exact"/>
              <w:jc w:val="center"/>
              <w:textAlignment w:val="auto"/>
              <w:rPr>
                <w:rFonts w:ascii="宋体" w:hAnsi="宋体"/>
                <w:color w:val="auto"/>
                <w:sz w:val="22"/>
                <w:szCs w:val="22"/>
                <w:highlight w:val="none"/>
              </w:rPr>
            </w:pPr>
            <w:r>
              <w:rPr>
                <w:rFonts w:hint="eastAsia" w:ascii="宋体" w:hAnsi="宋体" w:cs="宋体"/>
                <w:color w:val="auto"/>
                <w:sz w:val="22"/>
                <w:szCs w:val="22"/>
                <w:highlight w:val="none"/>
              </w:rPr>
              <w:t>项目名称</w:t>
            </w:r>
          </w:p>
        </w:tc>
        <w:tc>
          <w:tcPr>
            <w:tcW w:w="5997" w:type="dxa"/>
            <w:noWrap/>
            <w:vAlign w:val="center"/>
          </w:tcPr>
          <w:p w14:paraId="79BA3B48">
            <w:pPr>
              <w:keepNext w:val="0"/>
              <w:keepLines w:val="0"/>
              <w:pageBreakBefore w:val="0"/>
              <w:widowControl w:val="0"/>
              <w:kinsoku w:val="0"/>
              <w:wordWrap/>
              <w:overflowPunct/>
              <w:topLinePunct/>
              <w:autoSpaceDE/>
              <w:autoSpaceDN/>
              <w:bidi w:val="0"/>
              <w:adjustRightInd/>
              <w:snapToGrid/>
              <w:spacing w:line="480" w:lineRule="exact"/>
              <w:textAlignment w:val="auto"/>
              <w:rPr>
                <w:rFonts w:ascii="宋体" w:hAnsi="宋体"/>
                <w:strike/>
                <w:color w:val="auto"/>
                <w:sz w:val="22"/>
                <w:szCs w:val="22"/>
                <w:highlight w:val="none"/>
              </w:rPr>
            </w:pPr>
          </w:p>
        </w:tc>
      </w:tr>
      <w:tr w14:paraId="6FF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6B15DDAA">
            <w:pPr>
              <w:keepNext w:val="0"/>
              <w:keepLines w:val="0"/>
              <w:pageBreakBefore w:val="0"/>
              <w:widowControl w:val="0"/>
              <w:kinsoku w:val="0"/>
              <w:wordWrap/>
              <w:overflowPunct/>
              <w:topLinePunct/>
              <w:autoSpaceDE/>
              <w:autoSpaceDN/>
              <w:bidi w:val="0"/>
              <w:adjustRightInd/>
              <w:snapToGrid/>
              <w:spacing w:line="480" w:lineRule="exact"/>
              <w:jc w:val="center"/>
              <w:textAlignment w:val="auto"/>
              <w:rPr>
                <w:rFonts w:ascii="宋体" w:hAnsi="宋体"/>
                <w:color w:val="auto"/>
                <w:sz w:val="22"/>
                <w:szCs w:val="22"/>
                <w:highlight w:val="none"/>
              </w:rPr>
            </w:pPr>
            <w:r>
              <w:rPr>
                <w:rFonts w:hint="eastAsia" w:ascii="宋体" w:hAnsi="宋体" w:cs="宋体"/>
                <w:color w:val="auto"/>
                <w:sz w:val="22"/>
                <w:szCs w:val="22"/>
                <w:highlight w:val="none"/>
              </w:rPr>
              <w:t>项目编号</w:t>
            </w:r>
          </w:p>
        </w:tc>
        <w:tc>
          <w:tcPr>
            <w:tcW w:w="5997" w:type="dxa"/>
            <w:noWrap/>
            <w:vAlign w:val="center"/>
          </w:tcPr>
          <w:p w14:paraId="60A209B9">
            <w:pPr>
              <w:keepNext w:val="0"/>
              <w:keepLines w:val="0"/>
              <w:pageBreakBefore w:val="0"/>
              <w:widowControl w:val="0"/>
              <w:kinsoku w:val="0"/>
              <w:wordWrap/>
              <w:overflowPunct/>
              <w:topLinePunct/>
              <w:autoSpaceDE/>
              <w:autoSpaceDN/>
              <w:bidi w:val="0"/>
              <w:adjustRightInd/>
              <w:snapToGrid/>
              <w:spacing w:line="480" w:lineRule="exact"/>
              <w:textAlignment w:val="auto"/>
              <w:rPr>
                <w:rFonts w:ascii="宋体" w:hAnsi="宋体"/>
                <w:color w:val="auto"/>
                <w:sz w:val="22"/>
                <w:szCs w:val="22"/>
                <w:highlight w:val="none"/>
              </w:rPr>
            </w:pPr>
          </w:p>
        </w:tc>
      </w:tr>
      <w:tr w14:paraId="537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7646FF04">
            <w:pPr>
              <w:keepNext w:val="0"/>
              <w:keepLines w:val="0"/>
              <w:pageBreakBefore w:val="0"/>
              <w:widowControl w:val="0"/>
              <w:kinsoku w:val="0"/>
              <w:wordWrap/>
              <w:overflowPunct/>
              <w:topLinePunct/>
              <w:autoSpaceDE/>
              <w:autoSpaceDN/>
              <w:bidi w:val="0"/>
              <w:adjustRightInd/>
              <w:snapToGrid/>
              <w:spacing w:line="480" w:lineRule="exact"/>
              <w:jc w:val="center"/>
              <w:textAlignment w:val="auto"/>
              <w:rPr>
                <w:rFonts w:hint="default" w:ascii="宋体" w:hAnsi="宋体" w:eastAsia="宋体"/>
                <w:color w:val="auto"/>
                <w:sz w:val="22"/>
                <w:szCs w:val="22"/>
                <w:highlight w:val="none"/>
                <w:lang w:val="en-US" w:eastAsia="zh-CN"/>
              </w:rPr>
            </w:pPr>
            <w:r>
              <w:rPr>
                <w:rFonts w:hint="eastAsia" w:ascii="宋体" w:hAnsi="宋体" w:cs="宋体"/>
                <w:color w:val="auto"/>
                <w:sz w:val="22"/>
                <w:szCs w:val="22"/>
                <w:highlight w:val="none"/>
                <w:lang w:val="en-US" w:eastAsia="zh-CN"/>
              </w:rPr>
              <w:t>首次报价</w:t>
            </w:r>
          </w:p>
        </w:tc>
        <w:tc>
          <w:tcPr>
            <w:tcW w:w="5997" w:type="dxa"/>
            <w:noWrap/>
            <w:vAlign w:val="center"/>
          </w:tcPr>
          <w:p w14:paraId="0088C0F9">
            <w:pPr>
              <w:keepNext w:val="0"/>
              <w:keepLines w:val="0"/>
              <w:pageBreakBefore w:val="0"/>
              <w:widowControl w:val="0"/>
              <w:kinsoku w:val="0"/>
              <w:wordWrap/>
              <w:overflowPunct/>
              <w:topLinePunct/>
              <w:autoSpaceDE/>
              <w:autoSpaceDN/>
              <w:bidi w:val="0"/>
              <w:adjustRightInd/>
              <w:snapToGrid/>
              <w:spacing w:line="480" w:lineRule="exact"/>
              <w:textAlignment w:val="auto"/>
              <w:rPr>
                <w:rFonts w:hint="eastAsia" w:ascii="宋体" w:hAnsi="宋体" w:cs="宋体"/>
                <w:color w:val="auto"/>
                <w:sz w:val="22"/>
                <w:szCs w:val="22"/>
                <w:highlight w:val="none"/>
                <w:u w:val="single"/>
              </w:rPr>
            </w:pPr>
            <w:r>
              <w:rPr>
                <w:rFonts w:hint="eastAsia" w:ascii="宋体" w:hAnsi="宋体"/>
                <w:color w:val="auto"/>
                <w:sz w:val="22"/>
                <w:szCs w:val="22"/>
                <w:highlight w:val="none"/>
                <w:u w:val="none"/>
                <w:lang w:val="en-US" w:eastAsia="zh-CN"/>
              </w:rPr>
              <w:t>总价：</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元</w:t>
            </w:r>
          </w:p>
          <w:p w14:paraId="74DC7635">
            <w:pPr>
              <w:keepNext w:val="0"/>
              <w:keepLines w:val="0"/>
              <w:pageBreakBefore w:val="0"/>
              <w:widowControl w:val="0"/>
              <w:kinsoku w:val="0"/>
              <w:wordWrap/>
              <w:overflowPunct/>
              <w:topLinePunct/>
              <w:autoSpaceDE/>
              <w:autoSpaceDN/>
              <w:bidi w:val="0"/>
              <w:adjustRightInd/>
              <w:snapToGrid/>
              <w:spacing w:line="480" w:lineRule="exact"/>
              <w:textAlignment w:val="auto"/>
              <w:rPr>
                <w:rFonts w:ascii="宋体" w:hAnsi="宋体" w:cs="宋体"/>
                <w:color w:val="auto"/>
                <w:sz w:val="22"/>
                <w:szCs w:val="22"/>
                <w:highlight w:val="none"/>
              </w:rPr>
            </w:pPr>
            <w:r>
              <w:rPr>
                <w:rFonts w:hint="eastAsia" w:ascii="宋体" w:hAnsi="宋体" w:cs="宋体"/>
                <w:color w:val="auto"/>
                <w:sz w:val="22"/>
                <w:szCs w:val="22"/>
                <w:highlight w:val="none"/>
                <w:u w:val="none"/>
              </w:rPr>
              <w:t>人民币大写：</w:t>
            </w:r>
            <w:r>
              <w:rPr>
                <w:rFonts w:hint="eastAsia" w:ascii="宋体" w:hAnsi="宋体" w:cs="宋体"/>
                <w:color w:val="auto"/>
                <w:sz w:val="22"/>
                <w:szCs w:val="22"/>
                <w:highlight w:val="none"/>
                <w:u w:val="single"/>
                <w:lang w:val="en-US" w:eastAsia="zh-CN"/>
              </w:rPr>
              <w:t xml:space="preserve">        </w:t>
            </w:r>
          </w:p>
        </w:tc>
      </w:tr>
      <w:tr w14:paraId="620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6E7E322E">
            <w:pPr>
              <w:keepNext w:val="0"/>
              <w:keepLines w:val="0"/>
              <w:pageBreakBefore w:val="0"/>
              <w:widowControl w:val="0"/>
              <w:kinsoku w:val="0"/>
              <w:wordWrap/>
              <w:overflowPunct/>
              <w:topLinePunct/>
              <w:autoSpaceDE/>
              <w:autoSpaceDN/>
              <w:bidi w:val="0"/>
              <w:adjustRightInd/>
              <w:snapToGrid/>
              <w:spacing w:line="48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最后报价</w:t>
            </w:r>
          </w:p>
        </w:tc>
        <w:tc>
          <w:tcPr>
            <w:tcW w:w="5997" w:type="dxa"/>
            <w:noWrap/>
            <w:vAlign w:val="center"/>
          </w:tcPr>
          <w:p w14:paraId="0CB3304D">
            <w:pPr>
              <w:keepNext w:val="0"/>
              <w:keepLines w:val="0"/>
              <w:pageBreakBefore w:val="0"/>
              <w:widowControl w:val="0"/>
              <w:kinsoku w:val="0"/>
              <w:wordWrap/>
              <w:overflowPunct/>
              <w:topLinePunct/>
              <w:autoSpaceDE/>
              <w:autoSpaceDN/>
              <w:bidi w:val="0"/>
              <w:adjustRightInd/>
              <w:snapToGrid/>
              <w:spacing w:line="480" w:lineRule="exact"/>
              <w:textAlignment w:val="auto"/>
              <w:rPr>
                <w:rFonts w:hint="eastAsia" w:ascii="宋体" w:hAnsi="宋体" w:cs="宋体"/>
                <w:color w:val="auto"/>
                <w:sz w:val="22"/>
                <w:szCs w:val="22"/>
                <w:highlight w:val="none"/>
                <w:u w:val="single"/>
              </w:rPr>
            </w:pPr>
            <w:r>
              <w:rPr>
                <w:rFonts w:hint="eastAsia" w:ascii="宋体" w:hAnsi="宋体"/>
                <w:color w:val="auto"/>
                <w:sz w:val="22"/>
                <w:szCs w:val="22"/>
                <w:highlight w:val="none"/>
                <w:u w:val="none"/>
                <w:lang w:val="en-US" w:eastAsia="zh-CN"/>
              </w:rPr>
              <w:t>总价：</w:t>
            </w:r>
            <w:r>
              <w:rPr>
                <w:rFonts w:ascii="宋体" w:hAnsi="宋体"/>
                <w:color w:val="auto"/>
                <w:sz w:val="22"/>
                <w:szCs w:val="22"/>
                <w:highlight w:val="none"/>
                <w:u w:val="single"/>
              </w:rPr>
              <w:t>¥</w:t>
            </w:r>
            <w:r>
              <w:rPr>
                <w:rFonts w:hint="eastAsia" w:ascii="宋体" w:hAnsi="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元</w:t>
            </w:r>
          </w:p>
          <w:p w14:paraId="35A7E686">
            <w:pPr>
              <w:keepNext w:val="0"/>
              <w:keepLines w:val="0"/>
              <w:pageBreakBefore w:val="0"/>
              <w:widowControl w:val="0"/>
              <w:kinsoku w:val="0"/>
              <w:wordWrap/>
              <w:overflowPunct/>
              <w:topLinePunct/>
              <w:autoSpaceDE/>
              <w:autoSpaceDN/>
              <w:bidi w:val="0"/>
              <w:adjustRightInd/>
              <w:snapToGrid/>
              <w:spacing w:line="480" w:lineRule="exact"/>
              <w:textAlignment w:val="auto"/>
              <w:rPr>
                <w:rFonts w:ascii="宋体" w:hAnsi="宋体"/>
                <w:color w:val="auto"/>
                <w:sz w:val="22"/>
                <w:szCs w:val="22"/>
                <w:highlight w:val="none"/>
                <w:u w:val="single"/>
              </w:rPr>
            </w:pPr>
            <w:r>
              <w:rPr>
                <w:rFonts w:hint="eastAsia" w:ascii="宋体" w:hAnsi="宋体" w:cs="宋体"/>
                <w:color w:val="auto"/>
                <w:sz w:val="22"/>
                <w:szCs w:val="22"/>
                <w:highlight w:val="none"/>
                <w:u w:val="none"/>
              </w:rPr>
              <w:t>人民币大写：</w:t>
            </w:r>
            <w:r>
              <w:rPr>
                <w:rFonts w:hint="eastAsia" w:ascii="宋体" w:hAnsi="宋体" w:cs="宋体"/>
                <w:color w:val="auto"/>
                <w:sz w:val="22"/>
                <w:szCs w:val="22"/>
                <w:highlight w:val="none"/>
                <w:u w:val="single"/>
                <w:lang w:val="en-US" w:eastAsia="zh-CN"/>
              </w:rPr>
              <w:t xml:space="preserve">        </w:t>
            </w:r>
          </w:p>
        </w:tc>
      </w:tr>
    </w:tbl>
    <w:p w14:paraId="3470ED44">
      <w:pPr>
        <w:keepNext w:val="0"/>
        <w:keepLines w:val="0"/>
        <w:pageBreakBefore w:val="0"/>
        <w:kinsoku w:val="0"/>
        <w:wordWrap/>
        <w:overflowPunct/>
        <w:topLinePunct/>
        <w:autoSpaceDE/>
        <w:autoSpaceDN/>
        <w:bidi w:val="0"/>
        <w:adjustRightInd/>
        <w:snapToGrid w:val="0"/>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竞争性磋商响应单位：（盖章）</w:t>
      </w:r>
    </w:p>
    <w:p w14:paraId="03AD7666">
      <w:pPr>
        <w:keepNext w:val="0"/>
        <w:keepLines w:val="0"/>
        <w:pageBreakBefore w:val="0"/>
        <w:kinsoku w:val="0"/>
        <w:wordWrap/>
        <w:overflowPunct/>
        <w:topLinePunct/>
        <w:autoSpaceDE/>
        <w:autoSpaceDN/>
        <w:bidi w:val="0"/>
        <w:adjustRightInd/>
        <w:snapToGrid w:val="0"/>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法定代表人或被授权人（签字或盖章）：</w:t>
      </w:r>
    </w:p>
    <w:p w14:paraId="27993BE0">
      <w:pPr>
        <w:keepNext w:val="0"/>
        <w:keepLines w:val="0"/>
        <w:pageBreakBefore w:val="0"/>
        <w:kinsoku w:val="0"/>
        <w:wordWrap/>
        <w:overflowPunct/>
        <w:topLinePunct/>
        <w:autoSpaceDE/>
        <w:autoSpaceDN/>
        <w:bidi w:val="0"/>
        <w:adjustRightInd/>
        <w:snapToGrid w:val="0"/>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5310C9A0">
      <w:pPr>
        <w:keepNext w:val="0"/>
        <w:keepLines w:val="0"/>
        <w:pageBreakBefore w:val="0"/>
        <w:wordWrap/>
        <w:overflowPunct/>
        <w:autoSpaceDE/>
        <w:autoSpaceDN/>
        <w:bidi w:val="0"/>
        <w:adjustRightInd/>
        <w:snapToGrid w:val="0"/>
        <w:spacing w:line="480" w:lineRule="exact"/>
        <w:ind w:firstLine="442" w:firstLineChars="200"/>
        <w:jc w:val="left"/>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w:t>
      </w:r>
    </w:p>
    <w:p w14:paraId="70DF8874">
      <w:pPr>
        <w:keepNext w:val="0"/>
        <w:keepLines w:val="0"/>
        <w:pageBreakBefore w:val="0"/>
        <w:wordWrap/>
        <w:overflowPunct/>
        <w:autoSpaceDE/>
        <w:autoSpaceDN/>
        <w:bidi w:val="0"/>
        <w:adjustRightInd/>
        <w:snapToGrid w:val="0"/>
        <w:spacing w:line="480" w:lineRule="exact"/>
        <w:ind w:firstLine="442" w:firstLineChars="200"/>
        <w:jc w:val="left"/>
        <w:textAlignment w:val="auto"/>
        <w:rPr>
          <w:rFonts w:ascii="宋体"/>
          <w:b/>
          <w:bCs/>
          <w:color w:val="auto"/>
          <w:sz w:val="22"/>
          <w:szCs w:val="22"/>
          <w:highlight w:val="none"/>
        </w:rPr>
      </w:pPr>
      <w:r>
        <w:rPr>
          <w:rFonts w:hint="eastAsia" w:ascii="宋体" w:hAnsi="宋体" w:cs="宋体"/>
          <w:b/>
          <w:bCs/>
          <w:color w:val="auto"/>
          <w:sz w:val="22"/>
          <w:szCs w:val="22"/>
          <w:highlight w:val="none"/>
        </w:rPr>
        <w:t>（</w:t>
      </w:r>
      <w:r>
        <w:rPr>
          <w:rFonts w:ascii="宋体" w:hAnsi="宋体" w:cs="宋体"/>
          <w:b/>
          <w:bCs/>
          <w:color w:val="auto"/>
          <w:sz w:val="22"/>
          <w:szCs w:val="22"/>
          <w:highlight w:val="none"/>
        </w:rPr>
        <w:t>1</w:t>
      </w:r>
      <w:r>
        <w:rPr>
          <w:rFonts w:hint="eastAsia" w:ascii="宋体" w:hAnsi="宋体" w:cs="宋体"/>
          <w:b/>
          <w:bCs/>
          <w:color w:val="auto"/>
          <w:sz w:val="22"/>
          <w:szCs w:val="22"/>
          <w:highlight w:val="none"/>
        </w:rPr>
        <w:t>）本表为格式表，不得自行改动，必须提供。</w:t>
      </w:r>
    </w:p>
    <w:p w14:paraId="271197C9">
      <w:pPr>
        <w:keepNext w:val="0"/>
        <w:keepLines w:val="0"/>
        <w:pageBreakBefore w:val="0"/>
        <w:wordWrap/>
        <w:overflowPunct/>
        <w:autoSpaceDE/>
        <w:autoSpaceDN/>
        <w:bidi w:val="0"/>
        <w:adjustRightInd/>
        <w:snapToGrid w:val="0"/>
        <w:spacing w:line="480" w:lineRule="exact"/>
        <w:ind w:firstLine="442" w:firstLineChars="200"/>
        <w:jc w:val="left"/>
        <w:textAlignment w:val="auto"/>
        <w:outlineLvl w:val="9"/>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rPr>
        <w:t>（2）</w:t>
      </w:r>
      <w:r>
        <w:rPr>
          <w:rFonts w:hint="eastAsia" w:ascii="宋体" w:hAnsi="宋体" w:cs="宋体"/>
          <w:b/>
          <w:bCs/>
          <w:color w:val="auto"/>
          <w:sz w:val="22"/>
          <w:szCs w:val="22"/>
          <w:highlight w:val="none"/>
          <w:lang w:val="en-US" w:eastAsia="zh-CN"/>
        </w:rPr>
        <w:t>最后报价</w:t>
      </w:r>
      <w:r>
        <w:rPr>
          <w:rFonts w:hint="eastAsia" w:ascii="宋体" w:hAnsi="宋体" w:cs="宋体"/>
          <w:b/>
          <w:bCs/>
          <w:color w:val="auto"/>
          <w:sz w:val="22"/>
          <w:szCs w:val="22"/>
          <w:highlight w:val="none"/>
        </w:rPr>
        <w:t>将在</w:t>
      </w:r>
      <w:r>
        <w:rPr>
          <w:rFonts w:hint="eastAsia" w:ascii="宋体" w:hAnsi="宋体" w:cs="宋体"/>
          <w:b/>
          <w:bCs/>
          <w:color w:val="auto"/>
          <w:sz w:val="22"/>
          <w:szCs w:val="22"/>
          <w:highlight w:val="none"/>
          <w:lang w:val="en-US" w:eastAsia="zh-CN"/>
        </w:rPr>
        <w:t>磋商</w:t>
      </w:r>
      <w:r>
        <w:rPr>
          <w:rFonts w:hint="eastAsia" w:ascii="宋体" w:hAnsi="宋体" w:cs="宋体"/>
          <w:b/>
          <w:bCs/>
          <w:color w:val="auto"/>
          <w:sz w:val="22"/>
          <w:szCs w:val="22"/>
          <w:highlight w:val="none"/>
        </w:rPr>
        <w:t>现场填写，响应文件密封提交时只需填写</w:t>
      </w:r>
      <w:r>
        <w:rPr>
          <w:rFonts w:hint="eastAsia" w:ascii="宋体" w:hAnsi="宋体" w:cs="宋体"/>
          <w:b/>
          <w:bCs/>
          <w:color w:val="auto"/>
          <w:sz w:val="22"/>
          <w:szCs w:val="22"/>
          <w:highlight w:val="none"/>
          <w:lang w:val="en-US" w:eastAsia="zh-CN"/>
        </w:rPr>
        <w:t>首次报价</w:t>
      </w:r>
      <w:r>
        <w:rPr>
          <w:rFonts w:hint="eastAsia" w:ascii="宋体" w:hAnsi="宋体" w:eastAsia="宋体" w:cs="宋体"/>
          <w:b/>
          <w:bCs/>
          <w:color w:val="auto"/>
          <w:sz w:val="22"/>
          <w:szCs w:val="22"/>
          <w:highlight w:val="none"/>
        </w:rPr>
        <w:t>。</w:t>
      </w:r>
    </w:p>
    <w:p w14:paraId="1A030B85">
      <w:pPr>
        <w:keepNext w:val="0"/>
        <w:keepLines w:val="0"/>
        <w:pageBreakBefore w:val="0"/>
        <w:wordWrap/>
        <w:overflowPunct/>
        <w:autoSpaceDE/>
        <w:autoSpaceDN/>
        <w:bidi w:val="0"/>
        <w:adjustRightInd/>
        <w:snapToGrid w:val="0"/>
        <w:spacing w:line="480" w:lineRule="exact"/>
        <w:ind w:firstLine="442" w:firstLineChars="200"/>
        <w:jc w:val="left"/>
        <w:textAlignment w:val="auto"/>
        <w:outlineLvl w:val="9"/>
        <w:rPr>
          <w:rFonts w:hint="eastAsia" w:ascii="宋体" w:hAnsi="宋体" w:cs="宋体"/>
          <w:b/>
          <w:bCs/>
          <w:color w:val="auto"/>
          <w:sz w:val="22"/>
          <w:szCs w:val="22"/>
          <w:highlight w:val="none"/>
          <w:lang w:val="en-US" w:eastAsia="zh-CN"/>
        </w:rPr>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b/>
          <w:bCs/>
          <w:color w:val="auto"/>
          <w:sz w:val="22"/>
          <w:szCs w:val="22"/>
          <w:highlight w:val="none"/>
          <w:lang w:val="en-US" w:eastAsia="zh-CN"/>
        </w:rPr>
        <w:t>（3）最后报价不得高于各自供应商首次报价，否则作无效响应处理。</w:t>
      </w:r>
    </w:p>
    <w:p w14:paraId="22CB1551">
      <w:pPr>
        <w:widowControl/>
        <w:numPr>
          <w:ilvl w:val="0"/>
          <w:numId w:val="0"/>
        </w:numPr>
        <w:shd w:val="clear" w:color="auto" w:fill="FFFFFF"/>
        <w:jc w:val="center"/>
        <w:rPr>
          <w:rFonts w:ascii="宋体"/>
          <w:color w:val="auto"/>
          <w:sz w:val="24"/>
          <w:szCs w:val="24"/>
          <w:highlight w:val="none"/>
        </w:rPr>
      </w:pPr>
      <w:r>
        <w:rPr>
          <w:rFonts w:hint="eastAsia" w:ascii="宋体" w:hAnsi="宋体" w:cs="Times New Roman"/>
          <w:b/>
          <w:color w:val="auto"/>
          <w:sz w:val="32"/>
          <w:szCs w:val="32"/>
          <w:highlight w:val="none"/>
          <w:lang w:val="en-US" w:eastAsia="zh-CN"/>
        </w:rPr>
        <w:t>2、</w:t>
      </w:r>
      <w:r>
        <w:rPr>
          <w:rFonts w:hint="eastAsia" w:ascii="宋体" w:hAnsi="宋体" w:eastAsia="宋体" w:cs="Times New Roman"/>
          <w:b/>
          <w:color w:val="auto"/>
          <w:sz w:val="32"/>
          <w:szCs w:val="32"/>
          <w:highlight w:val="none"/>
          <w:lang w:val="en-US" w:eastAsia="zh-CN"/>
        </w:rPr>
        <w:t>磋商响应报价明细表</w:t>
      </w:r>
      <w:r>
        <w:rPr>
          <w:rFonts w:hint="eastAsia" w:ascii="宋体" w:hAnsi="宋体" w:cs="Times New Roman"/>
          <w:b/>
          <w:color w:val="auto"/>
          <w:sz w:val="32"/>
          <w:szCs w:val="32"/>
          <w:highlight w:val="none"/>
          <w:lang w:val="en-US" w:eastAsia="zh-CN"/>
        </w:rPr>
        <w:t>（首次）</w:t>
      </w:r>
      <w:r>
        <w:rPr>
          <w:rFonts w:ascii="宋体"/>
          <w:color w:val="auto"/>
          <w:sz w:val="24"/>
          <w:szCs w:val="24"/>
          <w:highlight w:val="none"/>
        </w:rPr>
        <w:tab/>
      </w:r>
      <w:r>
        <w:rPr>
          <w:rFonts w:ascii="宋体"/>
          <w:color w:val="auto"/>
          <w:sz w:val="24"/>
          <w:szCs w:val="24"/>
          <w:highlight w:val="none"/>
        </w:rPr>
        <w:tab/>
      </w:r>
    </w:p>
    <w:tbl>
      <w:tblPr>
        <w:tblStyle w:val="14"/>
        <w:tblW w:w="9022" w:type="dxa"/>
        <w:jc w:val="center"/>
        <w:tblLayout w:type="fixed"/>
        <w:tblCellMar>
          <w:top w:w="0" w:type="dxa"/>
          <w:left w:w="108" w:type="dxa"/>
          <w:bottom w:w="0" w:type="dxa"/>
          <w:right w:w="108" w:type="dxa"/>
        </w:tblCellMar>
      </w:tblPr>
      <w:tblGrid>
        <w:gridCol w:w="715"/>
        <w:gridCol w:w="1350"/>
        <w:gridCol w:w="1483"/>
        <w:gridCol w:w="709"/>
        <w:gridCol w:w="992"/>
        <w:gridCol w:w="1276"/>
        <w:gridCol w:w="1276"/>
        <w:gridCol w:w="1221"/>
      </w:tblGrid>
      <w:tr w14:paraId="4DB75932">
        <w:tblPrEx>
          <w:tblCellMar>
            <w:top w:w="0" w:type="dxa"/>
            <w:left w:w="108" w:type="dxa"/>
            <w:bottom w:w="0" w:type="dxa"/>
            <w:right w:w="108" w:type="dxa"/>
          </w:tblCellMar>
        </w:tblPrEx>
        <w:trPr>
          <w:trHeight w:val="720" w:hRule="atLeast"/>
          <w:jc w:val="center"/>
        </w:trPr>
        <w:tc>
          <w:tcPr>
            <w:tcW w:w="715" w:type="dxa"/>
            <w:tcBorders>
              <w:top w:val="single" w:color="auto" w:sz="4" w:space="0"/>
              <w:left w:val="single" w:color="auto" w:sz="4" w:space="0"/>
              <w:bottom w:val="single" w:color="auto" w:sz="4" w:space="0"/>
              <w:right w:val="single" w:color="auto" w:sz="4" w:space="0"/>
            </w:tcBorders>
            <w:shd w:val="clear" w:color="000000" w:fill="FFFFFF"/>
            <w:vAlign w:val="center"/>
          </w:tcPr>
          <w:p w14:paraId="27ED5FF8">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序号</w:t>
            </w:r>
          </w:p>
        </w:tc>
        <w:tc>
          <w:tcPr>
            <w:tcW w:w="1350" w:type="dxa"/>
            <w:tcBorders>
              <w:top w:val="single" w:color="auto" w:sz="4" w:space="0"/>
              <w:left w:val="nil"/>
              <w:bottom w:val="single" w:color="auto" w:sz="4" w:space="0"/>
              <w:right w:val="single" w:color="auto" w:sz="4" w:space="0"/>
            </w:tcBorders>
            <w:shd w:val="clear" w:color="000000" w:fill="FFFFFF"/>
            <w:vAlign w:val="center"/>
          </w:tcPr>
          <w:p w14:paraId="37E139AE">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货物名称</w:t>
            </w:r>
          </w:p>
        </w:tc>
        <w:tc>
          <w:tcPr>
            <w:tcW w:w="1483" w:type="dxa"/>
            <w:tcBorders>
              <w:top w:val="single" w:color="auto" w:sz="4" w:space="0"/>
              <w:left w:val="nil"/>
              <w:bottom w:val="single" w:color="auto" w:sz="4" w:space="0"/>
              <w:right w:val="single" w:color="auto" w:sz="4" w:space="0"/>
            </w:tcBorders>
            <w:shd w:val="clear" w:color="000000" w:fill="FFFFFF"/>
            <w:vAlign w:val="center"/>
          </w:tcPr>
          <w:p w14:paraId="77BEB6E8">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技术参数</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7385BCA">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单位</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25803FE">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数量</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54361364">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单价（元）</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4A29D11C">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总价（元）</w:t>
            </w:r>
          </w:p>
        </w:tc>
        <w:tc>
          <w:tcPr>
            <w:tcW w:w="1221" w:type="dxa"/>
            <w:tcBorders>
              <w:top w:val="single" w:color="auto" w:sz="4" w:space="0"/>
              <w:left w:val="nil"/>
              <w:bottom w:val="single" w:color="auto" w:sz="4" w:space="0"/>
              <w:right w:val="single" w:color="auto" w:sz="4" w:space="0"/>
            </w:tcBorders>
            <w:vAlign w:val="center"/>
          </w:tcPr>
          <w:p w14:paraId="476B6619">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备注</w:t>
            </w:r>
          </w:p>
        </w:tc>
      </w:tr>
      <w:tr w14:paraId="714F99D0">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000000" w:fill="FFFFFF"/>
            <w:vAlign w:val="center"/>
          </w:tcPr>
          <w:p w14:paraId="76F27DD7">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1</w:t>
            </w:r>
          </w:p>
        </w:tc>
        <w:tc>
          <w:tcPr>
            <w:tcW w:w="1350" w:type="dxa"/>
            <w:tcBorders>
              <w:top w:val="nil"/>
              <w:left w:val="nil"/>
              <w:bottom w:val="single" w:color="auto" w:sz="4" w:space="0"/>
              <w:right w:val="single" w:color="auto" w:sz="4" w:space="0"/>
            </w:tcBorders>
            <w:shd w:val="clear" w:color="000000" w:fill="FFFFFF"/>
            <w:vAlign w:val="center"/>
          </w:tcPr>
          <w:p w14:paraId="7F5F103C">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shd w:val="clear" w:color="000000" w:fill="FFFFFF"/>
            <w:vAlign w:val="center"/>
          </w:tcPr>
          <w:p w14:paraId="3FB0E269">
            <w:pPr>
              <w:widowControl/>
              <w:spacing w:line="360" w:lineRule="auto"/>
              <w:jc w:val="center"/>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shd w:val="clear" w:color="000000" w:fill="FFFFFF"/>
            <w:vAlign w:val="center"/>
          </w:tcPr>
          <w:p w14:paraId="7AC04592">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shd w:val="clear" w:color="000000" w:fill="FFFFFF"/>
            <w:vAlign w:val="center"/>
          </w:tcPr>
          <w:p w14:paraId="54F346EA">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2AE7743A">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44295990">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688F27B7">
            <w:pPr>
              <w:widowControl/>
              <w:spacing w:line="360" w:lineRule="auto"/>
              <w:jc w:val="center"/>
              <w:rPr>
                <w:rFonts w:ascii="宋体"/>
                <w:color w:val="auto"/>
                <w:kern w:val="0"/>
                <w:sz w:val="22"/>
                <w:szCs w:val="22"/>
                <w:highlight w:val="none"/>
              </w:rPr>
            </w:pPr>
          </w:p>
        </w:tc>
      </w:tr>
      <w:tr w14:paraId="789282B6">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3FBC62EE">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2</w:t>
            </w:r>
          </w:p>
        </w:tc>
        <w:tc>
          <w:tcPr>
            <w:tcW w:w="1350" w:type="dxa"/>
            <w:tcBorders>
              <w:top w:val="nil"/>
              <w:left w:val="nil"/>
              <w:bottom w:val="single" w:color="auto" w:sz="4" w:space="0"/>
              <w:right w:val="single" w:color="auto" w:sz="4" w:space="0"/>
            </w:tcBorders>
            <w:vAlign w:val="center"/>
          </w:tcPr>
          <w:p w14:paraId="6B3CB902">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78896CE3">
            <w:pPr>
              <w:widowControl/>
              <w:spacing w:line="360" w:lineRule="auto"/>
              <w:jc w:val="left"/>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493657AE">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2F6C9A67">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6E45416E">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6A636214">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6F7E5D52">
            <w:pPr>
              <w:widowControl/>
              <w:spacing w:line="360" w:lineRule="auto"/>
              <w:jc w:val="center"/>
              <w:rPr>
                <w:rFonts w:ascii="宋体"/>
                <w:color w:val="auto"/>
                <w:kern w:val="0"/>
                <w:sz w:val="22"/>
                <w:szCs w:val="22"/>
                <w:highlight w:val="none"/>
              </w:rPr>
            </w:pPr>
          </w:p>
        </w:tc>
      </w:tr>
      <w:tr w14:paraId="40C39B0A">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000000" w:fill="FFFFFF"/>
            <w:vAlign w:val="center"/>
          </w:tcPr>
          <w:p w14:paraId="0BC84405">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3</w:t>
            </w:r>
          </w:p>
        </w:tc>
        <w:tc>
          <w:tcPr>
            <w:tcW w:w="1350" w:type="dxa"/>
            <w:tcBorders>
              <w:top w:val="nil"/>
              <w:left w:val="nil"/>
              <w:bottom w:val="single" w:color="auto" w:sz="4" w:space="0"/>
              <w:right w:val="single" w:color="auto" w:sz="4" w:space="0"/>
            </w:tcBorders>
            <w:vAlign w:val="center"/>
          </w:tcPr>
          <w:p w14:paraId="736C7562">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271ABFF5">
            <w:pPr>
              <w:widowControl/>
              <w:spacing w:line="360" w:lineRule="auto"/>
              <w:jc w:val="left"/>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5F7C22E9">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6F8ECEBA">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7CE046BF">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1E6EA8A2">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10F6FF12">
            <w:pPr>
              <w:widowControl/>
              <w:spacing w:line="360" w:lineRule="auto"/>
              <w:jc w:val="center"/>
              <w:rPr>
                <w:rFonts w:ascii="宋体"/>
                <w:color w:val="auto"/>
                <w:kern w:val="0"/>
                <w:sz w:val="22"/>
                <w:szCs w:val="22"/>
                <w:highlight w:val="none"/>
              </w:rPr>
            </w:pPr>
          </w:p>
        </w:tc>
      </w:tr>
      <w:tr w14:paraId="1383CBB1">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7505FAD5">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4</w:t>
            </w:r>
          </w:p>
        </w:tc>
        <w:tc>
          <w:tcPr>
            <w:tcW w:w="1350" w:type="dxa"/>
            <w:tcBorders>
              <w:top w:val="nil"/>
              <w:left w:val="nil"/>
              <w:bottom w:val="single" w:color="auto" w:sz="4" w:space="0"/>
              <w:right w:val="single" w:color="auto" w:sz="4" w:space="0"/>
            </w:tcBorders>
            <w:vAlign w:val="center"/>
          </w:tcPr>
          <w:p w14:paraId="2C2F95A8">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0AA4B214">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2B451C97">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216212F0">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4F44BD98">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2B3B4003">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5642CCB3">
            <w:pPr>
              <w:widowControl/>
              <w:spacing w:line="360" w:lineRule="auto"/>
              <w:jc w:val="center"/>
              <w:rPr>
                <w:rFonts w:ascii="宋体"/>
                <w:color w:val="auto"/>
                <w:kern w:val="0"/>
                <w:sz w:val="22"/>
                <w:szCs w:val="22"/>
                <w:highlight w:val="none"/>
              </w:rPr>
            </w:pPr>
          </w:p>
        </w:tc>
      </w:tr>
      <w:tr w14:paraId="0654A990">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000000" w:fill="FFFFFF"/>
            <w:vAlign w:val="center"/>
          </w:tcPr>
          <w:p w14:paraId="223373B9">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5</w:t>
            </w:r>
          </w:p>
        </w:tc>
        <w:tc>
          <w:tcPr>
            <w:tcW w:w="1350" w:type="dxa"/>
            <w:tcBorders>
              <w:top w:val="nil"/>
              <w:left w:val="nil"/>
              <w:bottom w:val="single" w:color="auto" w:sz="4" w:space="0"/>
              <w:right w:val="single" w:color="auto" w:sz="4" w:space="0"/>
            </w:tcBorders>
            <w:vAlign w:val="center"/>
          </w:tcPr>
          <w:p w14:paraId="4E347945">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1899417C">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439E8887">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55B1DB34">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24D4ED77">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42D8FF58">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5E394C08">
            <w:pPr>
              <w:widowControl/>
              <w:spacing w:line="360" w:lineRule="auto"/>
              <w:jc w:val="center"/>
              <w:rPr>
                <w:rFonts w:ascii="宋体"/>
                <w:color w:val="auto"/>
                <w:kern w:val="0"/>
                <w:sz w:val="22"/>
                <w:szCs w:val="22"/>
                <w:highlight w:val="none"/>
              </w:rPr>
            </w:pPr>
          </w:p>
        </w:tc>
      </w:tr>
      <w:tr w14:paraId="24F154CC">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38A25B87">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6</w:t>
            </w:r>
          </w:p>
        </w:tc>
        <w:tc>
          <w:tcPr>
            <w:tcW w:w="1350" w:type="dxa"/>
            <w:tcBorders>
              <w:top w:val="nil"/>
              <w:left w:val="nil"/>
              <w:bottom w:val="single" w:color="auto" w:sz="4" w:space="0"/>
              <w:right w:val="single" w:color="auto" w:sz="4" w:space="0"/>
            </w:tcBorders>
            <w:vAlign w:val="center"/>
          </w:tcPr>
          <w:p w14:paraId="621AB9FE">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3BCA0CE2">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11E04A4C">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2B833E08">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3D81B1AA">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11340858">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21A84DC7">
            <w:pPr>
              <w:widowControl/>
              <w:spacing w:line="360" w:lineRule="auto"/>
              <w:jc w:val="center"/>
              <w:rPr>
                <w:rFonts w:ascii="宋体"/>
                <w:color w:val="auto"/>
                <w:kern w:val="0"/>
                <w:sz w:val="22"/>
                <w:szCs w:val="22"/>
                <w:highlight w:val="none"/>
              </w:rPr>
            </w:pPr>
          </w:p>
        </w:tc>
      </w:tr>
      <w:tr w14:paraId="7F7E4DA1">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000000" w:fill="FFFFFF"/>
            <w:vAlign w:val="center"/>
          </w:tcPr>
          <w:p w14:paraId="113A9842">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7</w:t>
            </w:r>
          </w:p>
        </w:tc>
        <w:tc>
          <w:tcPr>
            <w:tcW w:w="1350" w:type="dxa"/>
            <w:tcBorders>
              <w:top w:val="nil"/>
              <w:left w:val="nil"/>
              <w:bottom w:val="single" w:color="auto" w:sz="4" w:space="0"/>
              <w:right w:val="single" w:color="auto" w:sz="4" w:space="0"/>
            </w:tcBorders>
            <w:vAlign w:val="center"/>
          </w:tcPr>
          <w:p w14:paraId="2D1A4318">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389355B0">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1E49BE39">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055C80E0">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37F2D831">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1623E636">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5FBBBCFB">
            <w:pPr>
              <w:widowControl/>
              <w:spacing w:line="360" w:lineRule="auto"/>
              <w:jc w:val="center"/>
              <w:rPr>
                <w:rFonts w:ascii="宋体"/>
                <w:color w:val="auto"/>
                <w:kern w:val="0"/>
                <w:sz w:val="22"/>
                <w:szCs w:val="22"/>
                <w:highlight w:val="none"/>
              </w:rPr>
            </w:pPr>
          </w:p>
        </w:tc>
      </w:tr>
      <w:tr w14:paraId="09799D62">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6A957E9E">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8</w:t>
            </w:r>
          </w:p>
        </w:tc>
        <w:tc>
          <w:tcPr>
            <w:tcW w:w="1350" w:type="dxa"/>
            <w:tcBorders>
              <w:top w:val="nil"/>
              <w:left w:val="nil"/>
              <w:bottom w:val="single" w:color="auto" w:sz="4" w:space="0"/>
              <w:right w:val="single" w:color="auto" w:sz="4" w:space="0"/>
            </w:tcBorders>
            <w:vAlign w:val="center"/>
          </w:tcPr>
          <w:p w14:paraId="643B8EC3">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68545D8F">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2C3353AB">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411F282D">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435C81C3">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659B2649">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2F937EB8">
            <w:pPr>
              <w:widowControl/>
              <w:spacing w:line="360" w:lineRule="auto"/>
              <w:jc w:val="center"/>
              <w:rPr>
                <w:rFonts w:ascii="宋体"/>
                <w:color w:val="auto"/>
                <w:kern w:val="0"/>
                <w:sz w:val="22"/>
                <w:szCs w:val="22"/>
                <w:highlight w:val="none"/>
              </w:rPr>
            </w:pPr>
          </w:p>
        </w:tc>
      </w:tr>
      <w:tr w14:paraId="07E18105">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shd w:val="clear" w:color="000000" w:fill="FFFFFF"/>
            <w:vAlign w:val="center"/>
          </w:tcPr>
          <w:p w14:paraId="27E4038E">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9</w:t>
            </w:r>
          </w:p>
        </w:tc>
        <w:tc>
          <w:tcPr>
            <w:tcW w:w="1350" w:type="dxa"/>
            <w:tcBorders>
              <w:top w:val="nil"/>
              <w:left w:val="nil"/>
              <w:bottom w:val="single" w:color="auto" w:sz="4" w:space="0"/>
              <w:right w:val="single" w:color="auto" w:sz="4" w:space="0"/>
            </w:tcBorders>
            <w:vAlign w:val="center"/>
          </w:tcPr>
          <w:p w14:paraId="5336E39F">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60B3DED3">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235CF6E9">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7B4E673F">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26B12631">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5F98DEC0">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3C3A8B5D">
            <w:pPr>
              <w:widowControl/>
              <w:spacing w:line="360" w:lineRule="auto"/>
              <w:jc w:val="center"/>
              <w:rPr>
                <w:rFonts w:ascii="宋体"/>
                <w:color w:val="auto"/>
                <w:kern w:val="0"/>
                <w:sz w:val="22"/>
                <w:szCs w:val="22"/>
                <w:highlight w:val="none"/>
              </w:rPr>
            </w:pPr>
          </w:p>
        </w:tc>
      </w:tr>
      <w:tr w14:paraId="2C513266">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78612874">
            <w:pPr>
              <w:widowControl/>
              <w:spacing w:line="360" w:lineRule="auto"/>
              <w:jc w:val="center"/>
              <w:rPr>
                <w:rFonts w:ascii="宋体"/>
                <w:color w:val="auto"/>
                <w:kern w:val="0"/>
                <w:sz w:val="22"/>
                <w:szCs w:val="22"/>
                <w:highlight w:val="none"/>
              </w:rPr>
            </w:pPr>
            <w:r>
              <w:rPr>
                <w:rFonts w:ascii="宋体" w:hAnsi="宋体" w:cs="宋体"/>
                <w:color w:val="auto"/>
                <w:kern w:val="0"/>
                <w:sz w:val="22"/>
                <w:szCs w:val="22"/>
                <w:highlight w:val="none"/>
              </w:rPr>
              <w:t>10</w:t>
            </w:r>
          </w:p>
        </w:tc>
        <w:tc>
          <w:tcPr>
            <w:tcW w:w="1350" w:type="dxa"/>
            <w:tcBorders>
              <w:top w:val="nil"/>
              <w:left w:val="nil"/>
              <w:bottom w:val="single" w:color="auto" w:sz="4" w:space="0"/>
              <w:right w:val="single" w:color="auto" w:sz="4" w:space="0"/>
            </w:tcBorders>
            <w:vAlign w:val="center"/>
          </w:tcPr>
          <w:p w14:paraId="57A5CE68">
            <w:pPr>
              <w:widowControl/>
              <w:spacing w:line="360" w:lineRule="auto"/>
              <w:jc w:val="left"/>
              <w:rPr>
                <w:rFonts w:ascii="宋体"/>
                <w:color w:val="auto"/>
                <w:kern w:val="0"/>
                <w:sz w:val="22"/>
                <w:szCs w:val="22"/>
                <w:highlight w:val="none"/>
              </w:rPr>
            </w:pPr>
          </w:p>
        </w:tc>
        <w:tc>
          <w:tcPr>
            <w:tcW w:w="1483" w:type="dxa"/>
            <w:tcBorders>
              <w:top w:val="nil"/>
              <w:left w:val="nil"/>
              <w:bottom w:val="single" w:color="auto" w:sz="4" w:space="0"/>
              <w:right w:val="single" w:color="auto" w:sz="4" w:space="0"/>
            </w:tcBorders>
            <w:vAlign w:val="center"/>
          </w:tcPr>
          <w:p w14:paraId="54F7E0E1">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37C58A2A">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0174BE32">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267E6774">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4F781F51">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7C4D1E84">
            <w:pPr>
              <w:widowControl/>
              <w:spacing w:line="360" w:lineRule="auto"/>
              <w:jc w:val="center"/>
              <w:rPr>
                <w:rFonts w:ascii="宋体"/>
                <w:color w:val="auto"/>
                <w:kern w:val="0"/>
                <w:sz w:val="22"/>
                <w:szCs w:val="22"/>
                <w:highlight w:val="none"/>
              </w:rPr>
            </w:pPr>
          </w:p>
        </w:tc>
      </w:tr>
      <w:tr w14:paraId="2FCB1E26">
        <w:tblPrEx>
          <w:tblCellMar>
            <w:top w:w="0" w:type="dxa"/>
            <w:left w:w="108" w:type="dxa"/>
            <w:bottom w:w="0" w:type="dxa"/>
            <w:right w:w="108" w:type="dxa"/>
          </w:tblCellMar>
        </w:tblPrEx>
        <w:trPr>
          <w:trHeight w:val="510" w:hRule="atLeast"/>
          <w:jc w:val="center"/>
        </w:trPr>
        <w:tc>
          <w:tcPr>
            <w:tcW w:w="715" w:type="dxa"/>
            <w:tcBorders>
              <w:top w:val="nil"/>
              <w:left w:val="single" w:color="auto" w:sz="4" w:space="0"/>
              <w:bottom w:val="single" w:color="auto" w:sz="4" w:space="0"/>
              <w:right w:val="single" w:color="auto" w:sz="4" w:space="0"/>
            </w:tcBorders>
            <w:vAlign w:val="center"/>
          </w:tcPr>
          <w:p w14:paraId="4C613DDB">
            <w:pPr>
              <w:widowControl/>
              <w:spacing w:line="360" w:lineRule="auto"/>
              <w:jc w:val="center"/>
              <w:rPr>
                <w:rFonts w:ascii="宋体"/>
                <w:color w:val="auto"/>
                <w:kern w:val="0"/>
                <w:sz w:val="22"/>
                <w:szCs w:val="22"/>
                <w:highlight w:val="none"/>
              </w:rPr>
            </w:pPr>
          </w:p>
        </w:tc>
        <w:tc>
          <w:tcPr>
            <w:tcW w:w="1350" w:type="dxa"/>
            <w:tcBorders>
              <w:top w:val="nil"/>
              <w:left w:val="nil"/>
              <w:bottom w:val="single" w:color="auto" w:sz="4" w:space="0"/>
              <w:right w:val="single" w:color="auto" w:sz="4" w:space="0"/>
            </w:tcBorders>
            <w:vAlign w:val="center"/>
          </w:tcPr>
          <w:p w14:paraId="1ABBFB05">
            <w:pPr>
              <w:widowControl/>
              <w:spacing w:line="360" w:lineRule="auto"/>
              <w:jc w:val="left"/>
              <w:rPr>
                <w:rFonts w:ascii="宋体" w:cs="宋体"/>
                <w:color w:val="auto"/>
                <w:kern w:val="0"/>
                <w:sz w:val="22"/>
                <w:szCs w:val="22"/>
                <w:highlight w:val="none"/>
              </w:rPr>
            </w:pPr>
            <w:r>
              <w:rPr>
                <w:rFonts w:ascii="宋体" w:cs="宋体"/>
                <w:color w:val="auto"/>
                <w:kern w:val="0"/>
                <w:sz w:val="22"/>
                <w:szCs w:val="22"/>
                <w:highlight w:val="none"/>
              </w:rPr>
              <w:t>......</w:t>
            </w:r>
          </w:p>
        </w:tc>
        <w:tc>
          <w:tcPr>
            <w:tcW w:w="1483" w:type="dxa"/>
            <w:tcBorders>
              <w:top w:val="nil"/>
              <w:left w:val="nil"/>
              <w:bottom w:val="single" w:color="auto" w:sz="4" w:space="0"/>
              <w:right w:val="single" w:color="auto" w:sz="4" w:space="0"/>
            </w:tcBorders>
            <w:vAlign w:val="center"/>
          </w:tcPr>
          <w:p w14:paraId="1FE6AFA9">
            <w:pPr>
              <w:widowControl/>
              <w:spacing w:line="360" w:lineRule="auto"/>
              <w:rPr>
                <w:rFonts w:ascii="宋体"/>
                <w:color w:val="auto"/>
                <w:kern w:val="0"/>
                <w:sz w:val="22"/>
                <w:szCs w:val="22"/>
                <w:highlight w:val="none"/>
              </w:rPr>
            </w:pPr>
          </w:p>
        </w:tc>
        <w:tc>
          <w:tcPr>
            <w:tcW w:w="709" w:type="dxa"/>
            <w:tcBorders>
              <w:top w:val="nil"/>
              <w:left w:val="nil"/>
              <w:bottom w:val="single" w:color="auto" w:sz="4" w:space="0"/>
              <w:right w:val="single" w:color="auto" w:sz="4" w:space="0"/>
            </w:tcBorders>
            <w:vAlign w:val="center"/>
          </w:tcPr>
          <w:p w14:paraId="14E20833">
            <w:pPr>
              <w:widowControl/>
              <w:spacing w:line="360" w:lineRule="auto"/>
              <w:jc w:val="center"/>
              <w:rPr>
                <w:rFonts w:ascii="宋体"/>
                <w:color w:val="auto"/>
                <w:kern w:val="0"/>
                <w:sz w:val="22"/>
                <w:szCs w:val="22"/>
                <w:highlight w:val="none"/>
              </w:rPr>
            </w:pPr>
          </w:p>
        </w:tc>
        <w:tc>
          <w:tcPr>
            <w:tcW w:w="992" w:type="dxa"/>
            <w:tcBorders>
              <w:top w:val="nil"/>
              <w:left w:val="nil"/>
              <w:bottom w:val="single" w:color="auto" w:sz="4" w:space="0"/>
              <w:right w:val="single" w:color="auto" w:sz="4" w:space="0"/>
            </w:tcBorders>
            <w:vAlign w:val="center"/>
          </w:tcPr>
          <w:p w14:paraId="4B90D8E4">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vAlign w:val="center"/>
          </w:tcPr>
          <w:p w14:paraId="1EC64278">
            <w:pPr>
              <w:widowControl/>
              <w:spacing w:line="360" w:lineRule="auto"/>
              <w:jc w:val="center"/>
              <w:rPr>
                <w:rFonts w:ascii="宋体"/>
                <w:color w:val="auto"/>
                <w:kern w:val="0"/>
                <w:sz w:val="22"/>
                <w:szCs w:val="22"/>
                <w:highlight w:val="none"/>
              </w:rPr>
            </w:pPr>
          </w:p>
        </w:tc>
        <w:tc>
          <w:tcPr>
            <w:tcW w:w="1276" w:type="dxa"/>
            <w:tcBorders>
              <w:top w:val="nil"/>
              <w:left w:val="nil"/>
              <w:bottom w:val="single" w:color="auto" w:sz="4" w:space="0"/>
              <w:right w:val="single" w:color="auto" w:sz="4" w:space="0"/>
            </w:tcBorders>
            <w:shd w:val="clear" w:color="000000" w:fill="FFFFFF"/>
            <w:vAlign w:val="center"/>
          </w:tcPr>
          <w:p w14:paraId="37289F9F">
            <w:pPr>
              <w:widowControl/>
              <w:spacing w:line="360" w:lineRule="auto"/>
              <w:jc w:val="center"/>
              <w:rPr>
                <w:rFonts w:ascii="宋体"/>
                <w:color w:val="auto"/>
                <w:kern w:val="0"/>
                <w:sz w:val="22"/>
                <w:szCs w:val="22"/>
                <w:highlight w:val="none"/>
              </w:rPr>
            </w:pPr>
          </w:p>
        </w:tc>
        <w:tc>
          <w:tcPr>
            <w:tcW w:w="1221" w:type="dxa"/>
            <w:tcBorders>
              <w:top w:val="nil"/>
              <w:left w:val="nil"/>
              <w:bottom w:val="single" w:color="auto" w:sz="4" w:space="0"/>
              <w:right w:val="single" w:color="auto" w:sz="4" w:space="0"/>
            </w:tcBorders>
            <w:vAlign w:val="center"/>
          </w:tcPr>
          <w:p w14:paraId="3C655B12">
            <w:pPr>
              <w:widowControl/>
              <w:spacing w:line="360" w:lineRule="auto"/>
              <w:jc w:val="center"/>
              <w:rPr>
                <w:rFonts w:ascii="宋体"/>
                <w:color w:val="auto"/>
                <w:kern w:val="0"/>
                <w:sz w:val="22"/>
                <w:szCs w:val="22"/>
                <w:highlight w:val="none"/>
              </w:rPr>
            </w:pPr>
          </w:p>
        </w:tc>
      </w:tr>
      <w:tr w14:paraId="1BE470AC">
        <w:tblPrEx>
          <w:tblCellMar>
            <w:top w:w="0" w:type="dxa"/>
            <w:left w:w="108" w:type="dxa"/>
            <w:bottom w:w="0" w:type="dxa"/>
            <w:right w:w="108" w:type="dxa"/>
          </w:tblCellMar>
        </w:tblPrEx>
        <w:trPr>
          <w:trHeight w:val="510" w:hRule="atLeast"/>
          <w:jc w:val="center"/>
        </w:trPr>
        <w:tc>
          <w:tcPr>
            <w:tcW w:w="2065" w:type="dxa"/>
            <w:gridSpan w:val="2"/>
            <w:tcBorders>
              <w:top w:val="nil"/>
              <w:left w:val="single" w:color="auto" w:sz="4" w:space="0"/>
              <w:bottom w:val="single" w:color="auto" w:sz="4" w:space="0"/>
              <w:right w:val="single" w:color="auto" w:sz="4" w:space="0"/>
            </w:tcBorders>
            <w:shd w:val="clear" w:color="000000" w:fill="FFFFFF"/>
            <w:vAlign w:val="center"/>
          </w:tcPr>
          <w:p w14:paraId="47D2E47F">
            <w:pPr>
              <w:spacing w:line="360" w:lineRule="auto"/>
              <w:rPr>
                <w:rFonts w:ascii="宋体"/>
                <w:color w:val="auto"/>
                <w:kern w:val="0"/>
                <w:sz w:val="22"/>
                <w:szCs w:val="22"/>
                <w:highlight w:val="none"/>
              </w:rPr>
            </w:pPr>
            <w:r>
              <w:rPr>
                <w:rFonts w:hint="eastAsia" w:ascii="宋体" w:hAnsi="宋体" w:cs="宋体"/>
                <w:color w:val="auto"/>
                <w:kern w:val="0"/>
                <w:sz w:val="22"/>
                <w:szCs w:val="22"/>
                <w:highlight w:val="none"/>
              </w:rPr>
              <w:t>合计</w:t>
            </w:r>
            <w:r>
              <w:rPr>
                <w:rFonts w:ascii="宋体" w:hAnsi="宋体" w:cs="宋体"/>
                <w:color w:val="auto"/>
                <w:kern w:val="0"/>
                <w:sz w:val="22"/>
                <w:szCs w:val="22"/>
                <w:highlight w:val="none"/>
              </w:rPr>
              <w:t>:</w:t>
            </w:r>
          </w:p>
        </w:tc>
        <w:tc>
          <w:tcPr>
            <w:tcW w:w="6957" w:type="dxa"/>
            <w:gridSpan w:val="6"/>
            <w:tcBorders>
              <w:top w:val="nil"/>
              <w:left w:val="single" w:color="auto" w:sz="4" w:space="0"/>
              <w:bottom w:val="single" w:color="auto" w:sz="4" w:space="0"/>
              <w:right w:val="single" w:color="auto" w:sz="4" w:space="0"/>
            </w:tcBorders>
            <w:shd w:val="clear" w:color="000000" w:fill="FFFFFF"/>
            <w:vAlign w:val="center"/>
          </w:tcPr>
          <w:p w14:paraId="612BE0B3">
            <w:pPr>
              <w:widowControl/>
              <w:spacing w:line="360" w:lineRule="auto"/>
              <w:jc w:val="center"/>
              <w:rPr>
                <w:rFonts w:ascii="宋体"/>
                <w:color w:val="auto"/>
                <w:kern w:val="0"/>
                <w:sz w:val="22"/>
                <w:szCs w:val="22"/>
                <w:highlight w:val="none"/>
              </w:rPr>
            </w:pPr>
            <w:r>
              <w:rPr>
                <w:rFonts w:hint="eastAsia" w:ascii="宋体" w:hAnsi="宋体" w:cs="宋体"/>
                <w:color w:val="auto"/>
                <w:kern w:val="0"/>
                <w:sz w:val="22"/>
                <w:szCs w:val="22"/>
                <w:highlight w:val="none"/>
              </w:rPr>
              <w:t>　</w:t>
            </w:r>
          </w:p>
          <w:p w14:paraId="769FC4E7">
            <w:pPr>
              <w:widowControl/>
              <w:spacing w:line="360" w:lineRule="auto"/>
              <w:rPr>
                <w:rFonts w:ascii="宋体"/>
                <w:color w:val="auto"/>
                <w:kern w:val="0"/>
                <w:sz w:val="22"/>
                <w:szCs w:val="22"/>
                <w:highlight w:val="none"/>
                <w:u w:val="single"/>
              </w:rPr>
            </w:pP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元</w:t>
            </w:r>
          </w:p>
        </w:tc>
      </w:tr>
    </w:tbl>
    <w:p w14:paraId="432F405B">
      <w:pPr>
        <w:keepNext w:val="0"/>
        <w:keepLines w:val="0"/>
        <w:pageBreakBefore w:val="0"/>
        <w:widowControl w:val="0"/>
        <w:kinsoku/>
        <w:wordWrap/>
        <w:overflowPunct/>
        <w:topLinePunct w:val="0"/>
        <w:autoSpaceDE/>
        <w:autoSpaceDN/>
        <w:bidi w:val="0"/>
        <w:snapToGrid w:val="0"/>
        <w:spacing w:line="480" w:lineRule="exact"/>
        <w:ind w:left="0" w:firstLine="442" w:firstLineChars="200"/>
        <w:textAlignment w:val="auto"/>
        <w:rPr>
          <w:rFonts w:ascii="宋体"/>
          <w:b/>
          <w:bCs/>
          <w:color w:val="auto"/>
          <w:sz w:val="22"/>
          <w:szCs w:val="22"/>
          <w:highlight w:val="none"/>
        </w:rPr>
      </w:pPr>
      <w:r>
        <w:rPr>
          <w:rFonts w:hint="eastAsia" w:ascii="宋体" w:hAnsi="宋体" w:cs="宋体"/>
          <w:b/>
          <w:bCs/>
          <w:color w:val="auto"/>
          <w:sz w:val="22"/>
          <w:szCs w:val="22"/>
          <w:highlight w:val="none"/>
        </w:rPr>
        <w:t>注：</w:t>
      </w:r>
    </w:p>
    <w:p w14:paraId="134FDE3E">
      <w:pPr>
        <w:keepNext w:val="0"/>
        <w:keepLines w:val="0"/>
        <w:pageBreakBefore w:val="0"/>
        <w:widowControl w:val="0"/>
        <w:kinsoku/>
        <w:wordWrap/>
        <w:overflowPunct/>
        <w:topLinePunct w:val="0"/>
        <w:autoSpaceDE/>
        <w:autoSpaceDN/>
        <w:bidi w:val="0"/>
        <w:snapToGrid w:val="0"/>
        <w:spacing w:line="480" w:lineRule="exact"/>
        <w:ind w:left="0" w:firstLine="440" w:firstLineChars="200"/>
        <w:jc w:val="left"/>
        <w:textAlignment w:val="auto"/>
        <w:rPr>
          <w:rFonts w:ascii="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）供应商须自行分析项目组成后，详细报出响应报价总表内总报价的组成部分的报价，且本表各分项报价合计应当与报价总表内的投标总价相等。</w:t>
      </w:r>
    </w:p>
    <w:p w14:paraId="14DF5676">
      <w:pPr>
        <w:keepNext w:val="0"/>
        <w:keepLines w:val="0"/>
        <w:pageBreakBefore w:val="0"/>
        <w:widowControl w:val="0"/>
        <w:kinsoku/>
        <w:wordWrap/>
        <w:overflowPunct/>
        <w:topLinePunct w:val="0"/>
        <w:autoSpaceDE/>
        <w:autoSpaceDN/>
        <w:bidi w:val="0"/>
        <w:snapToGrid w:val="0"/>
        <w:spacing w:line="480" w:lineRule="exact"/>
        <w:ind w:left="0" w:firstLine="440" w:firstLineChars="200"/>
        <w:jc w:val="left"/>
        <w:textAlignment w:val="auto"/>
        <w:rPr>
          <w:rFonts w:ascii="宋体"/>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）如果不提供详细分项报价将视为未实质性响应竞争性磋商文件要求。</w:t>
      </w:r>
    </w:p>
    <w:p w14:paraId="23DED963">
      <w:pPr>
        <w:keepNext w:val="0"/>
        <w:keepLines w:val="0"/>
        <w:pageBreakBefore w:val="0"/>
        <w:widowControl w:val="0"/>
        <w:kinsoku/>
        <w:wordWrap/>
        <w:overflowPunct/>
        <w:topLinePunct w:val="0"/>
        <w:autoSpaceDE/>
        <w:autoSpaceDN/>
        <w:bidi w:val="0"/>
        <w:adjustRightInd w:val="0"/>
        <w:snapToGrid w:val="0"/>
        <w:spacing w:line="480" w:lineRule="exact"/>
        <w:ind w:left="0" w:firstLine="440" w:firstLineChars="200"/>
        <w:textAlignment w:val="auto"/>
        <w:outlineLvl w:val="1"/>
        <w:rPr>
          <w:rFonts w:ascii="宋体" w:hAnsi="宋体" w:cs="宋体"/>
          <w:b/>
          <w:bCs/>
          <w:color w:val="auto"/>
          <w:sz w:val="22"/>
          <w:szCs w:val="22"/>
          <w:highlight w:val="none"/>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）如果按综合单价计算的结果与总价不一致，以综合单价为准，修正总价。</w:t>
      </w:r>
    </w:p>
    <w:p w14:paraId="39C18E6F">
      <w:pPr>
        <w:keepNext w:val="0"/>
        <w:keepLines w:val="0"/>
        <w:pageBreakBefore w:val="0"/>
        <w:widowControl w:val="0"/>
        <w:numPr>
          <w:ilvl w:val="0"/>
          <w:numId w:val="0"/>
        </w:numPr>
        <w:kinsoku/>
        <w:wordWrap/>
        <w:overflowPunct/>
        <w:topLinePunct w:val="0"/>
        <w:autoSpaceDE/>
        <w:autoSpaceDN/>
        <w:bidi w:val="0"/>
        <w:spacing w:line="480" w:lineRule="exact"/>
        <w:ind w:left="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（4）磋商响应报价明细表中单价报价以最后报价与首次报价的下浮比例进行同比例下浮，具体计算公式如下：</w:t>
      </w:r>
    </w:p>
    <w:p w14:paraId="725C6AC3">
      <w:pPr>
        <w:keepNext w:val="0"/>
        <w:keepLines w:val="0"/>
        <w:pageBreakBefore w:val="0"/>
        <w:widowControl w:val="0"/>
        <w:numPr>
          <w:ilvl w:val="0"/>
          <w:numId w:val="0"/>
        </w:numPr>
        <w:kinsoku/>
        <w:wordWrap/>
        <w:overflowPunct/>
        <w:topLinePunct w:val="0"/>
        <w:autoSpaceDE/>
        <w:autoSpaceDN/>
        <w:bidi w:val="0"/>
        <w:spacing w:line="480" w:lineRule="exact"/>
        <w:ind w:left="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最终单价报价=首次单价报价*（1-下浮率）</w:t>
      </w:r>
    </w:p>
    <w:p w14:paraId="725CB0B1">
      <w:pPr>
        <w:keepNext w:val="0"/>
        <w:keepLines w:val="0"/>
        <w:pageBreakBefore w:val="0"/>
        <w:widowControl w:val="0"/>
        <w:numPr>
          <w:ilvl w:val="0"/>
          <w:numId w:val="0"/>
        </w:numPr>
        <w:kinsoku/>
        <w:wordWrap/>
        <w:overflowPunct/>
        <w:topLinePunct w:val="0"/>
        <w:autoSpaceDE/>
        <w:autoSpaceDN/>
        <w:bidi w:val="0"/>
        <w:spacing w:line="480" w:lineRule="exact"/>
        <w:ind w:left="0" w:firstLine="440" w:firstLineChars="200"/>
        <w:textAlignment w:val="auto"/>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下浮率=[1-最后报价总价/首次报价总价]*100%</w:t>
      </w:r>
    </w:p>
    <w:p w14:paraId="352AF6C9">
      <w:pPr>
        <w:keepNext w:val="0"/>
        <w:keepLines w:val="0"/>
        <w:pageBreakBefore w:val="0"/>
        <w:widowControl w:val="0"/>
        <w:kinsoku/>
        <w:wordWrap/>
        <w:overflowPunct/>
        <w:topLinePunct w:val="0"/>
        <w:autoSpaceDE/>
        <w:autoSpaceDN/>
        <w:bidi w:val="0"/>
        <w:spacing w:line="48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rPr>
        <w:t>盖</w:t>
      </w:r>
      <w:r>
        <w:rPr>
          <w:rFonts w:hint="eastAsia"/>
          <w:b w:val="0"/>
          <w:bCs/>
          <w:color w:val="auto"/>
          <w:sz w:val="22"/>
          <w:szCs w:val="21"/>
          <w:highlight w:val="none"/>
          <w:lang w:val="en-US" w:eastAsia="zh-CN"/>
        </w:rPr>
        <w:t>供应商</w:t>
      </w:r>
      <w:r>
        <w:rPr>
          <w:rFonts w:hint="eastAsia" w:ascii="宋体" w:hAnsi="宋体" w:cs="宋体"/>
          <w:color w:val="auto"/>
          <w:sz w:val="22"/>
          <w:szCs w:val="22"/>
          <w:highlight w:val="none"/>
        </w:rPr>
        <w:t>公章）：</w:t>
      </w:r>
    </w:p>
    <w:p w14:paraId="0016B689">
      <w:pPr>
        <w:keepNext w:val="0"/>
        <w:keepLines w:val="0"/>
        <w:pageBreakBefore w:val="0"/>
        <w:widowControl w:val="0"/>
        <w:kinsoku/>
        <w:wordWrap/>
        <w:overflowPunct/>
        <w:topLinePunct w:val="0"/>
        <w:autoSpaceDE/>
        <w:autoSpaceDN/>
        <w:bidi w:val="0"/>
        <w:spacing w:line="48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8"/>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color w:val="auto"/>
          <w:sz w:val="22"/>
          <w:szCs w:val="22"/>
          <w:highlight w:val="none"/>
        </w:rPr>
        <w:t>法定代表人或被授权人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签字或盖章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28A112F5">
      <w:pPr>
        <w:pStyle w:val="9"/>
        <w:keepNext w:val="0"/>
        <w:keepLines w:val="0"/>
        <w:pageBreakBefore w:val="0"/>
        <w:widowControl w:val="0"/>
        <w:kinsoku/>
        <w:wordWrap/>
        <w:overflowPunct/>
        <w:topLinePunct w:val="0"/>
        <w:autoSpaceDE/>
        <w:autoSpaceDN/>
        <w:bidi w:val="0"/>
        <w:spacing w:line="480" w:lineRule="exact"/>
        <w:ind w:left="0" w:firstLine="440" w:firstLineChars="200"/>
        <w:textAlignment w:val="auto"/>
        <w:rPr>
          <w:color w:val="auto"/>
          <w:sz w:val="22"/>
          <w:szCs w:val="22"/>
          <w:highlight w:val="none"/>
        </w:rPr>
      </w:pPr>
      <w:r>
        <w:rPr>
          <w:rFonts w:hint="eastAsia" w:ascii="宋体" w:hAnsi="宋体" w:eastAsia="宋体" w:cs="宋体"/>
          <w:color w:val="auto"/>
          <w:sz w:val="22"/>
          <w:szCs w:val="22"/>
          <w:highlight w:val="none"/>
        </w:rPr>
        <w:t>日期：         年    月    日</w:t>
      </w:r>
    </w:p>
    <w:sectPr>
      <w:footerReference r:id="rId4"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1826">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3A6E9">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E0698"/>
    <w:multiLevelType w:val="singleLevel"/>
    <w:tmpl w:val="914E0698"/>
    <w:lvl w:ilvl="0" w:tentative="0">
      <w:start w:val="1"/>
      <w:numFmt w:val="decimalEnclosedCircleChinese"/>
      <w:suff w:val="nothing"/>
      <w:lvlText w:val="%1　"/>
      <w:lvlJc w:val="left"/>
      <w:pPr>
        <w:ind w:left="0" w:firstLine="400"/>
      </w:pPr>
      <w:rPr>
        <w:rFonts w:hint="eastAsia"/>
      </w:rPr>
    </w:lvl>
  </w:abstractNum>
  <w:abstractNum w:abstractNumId="1">
    <w:nsid w:val="97CD7D95"/>
    <w:multiLevelType w:val="singleLevel"/>
    <w:tmpl w:val="97CD7D95"/>
    <w:lvl w:ilvl="0" w:tentative="0">
      <w:start w:val="1"/>
      <w:numFmt w:val="decimalEnclosedCircleChinese"/>
      <w:suff w:val="nothing"/>
      <w:lvlText w:val="%1　"/>
      <w:lvlJc w:val="left"/>
      <w:pPr>
        <w:ind w:left="0" w:firstLine="400"/>
      </w:pPr>
      <w:rPr>
        <w:rFonts w:hint="eastAsia"/>
      </w:rPr>
    </w:lvl>
  </w:abstractNum>
  <w:abstractNum w:abstractNumId="2">
    <w:nsid w:val="A8C7FBEB"/>
    <w:multiLevelType w:val="singleLevel"/>
    <w:tmpl w:val="A8C7FBEB"/>
    <w:lvl w:ilvl="0" w:tentative="0">
      <w:start w:val="1"/>
      <w:numFmt w:val="decimalEnclosedCircleChinese"/>
      <w:suff w:val="nothing"/>
      <w:lvlText w:val="%1　"/>
      <w:lvlJc w:val="left"/>
      <w:pPr>
        <w:ind w:left="0" w:firstLine="400"/>
      </w:pPr>
      <w:rPr>
        <w:rFonts w:hint="eastAsia"/>
      </w:rPr>
    </w:lvl>
  </w:abstractNum>
  <w:abstractNum w:abstractNumId="3">
    <w:nsid w:val="A8FE71CD"/>
    <w:multiLevelType w:val="singleLevel"/>
    <w:tmpl w:val="A8FE71CD"/>
    <w:lvl w:ilvl="0" w:tentative="0">
      <w:start w:val="1"/>
      <w:numFmt w:val="decimalEnclosedCircleChinese"/>
      <w:suff w:val="nothing"/>
      <w:lvlText w:val="%1　"/>
      <w:lvlJc w:val="left"/>
      <w:pPr>
        <w:ind w:left="0" w:firstLine="400"/>
      </w:pPr>
      <w:rPr>
        <w:rFonts w:hint="eastAsia"/>
      </w:rPr>
    </w:lvl>
  </w:abstractNum>
  <w:abstractNum w:abstractNumId="4">
    <w:nsid w:val="A96CE557"/>
    <w:multiLevelType w:val="singleLevel"/>
    <w:tmpl w:val="A96CE557"/>
    <w:lvl w:ilvl="0" w:tentative="0">
      <w:start w:val="1"/>
      <w:numFmt w:val="decimalEnclosedCircleChinese"/>
      <w:suff w:val="nothing"/>
      <w:lvlText w:val="%1　"/>
      <w:lvlJc w:val="left"/>
      <w:pPr>
        <w:ind w:left="0" w:firstLine="400"/>
      </w:pPr>
      <w:rPr>
        <w:rFonts w:hint="eastAsia"/>
      </w:rPr>
    </w:lvl>
  </w:abstractNum>
  <w:abstractNum w:abstractNumId="5">
    <w:nsid w:val="C4DE84D4"/>
    <w:multiLevelType w:val="singleLevel"/>
    <w:tmpl w:val="C4DE84D4"/>
    <w:lvl w:ilvl="0" w:tentative="0">
      <w:start w:val="1"/>
      <w:numFmt w:val="decimalEnclosedCircleChinese"/>
      <w:suff w:val="nothing"/>
      <w:lvlText w:val="%1　"/>
      <w:lvlJc w:val="left"/>
      <w:pPr>
        <w:ind w:left="0" w:firstLine="400"/>
      </w:pPr>
      <w:rPr>
        <w:rFonts w:hint="eastAsia"/>
      </w:rPr>
    </w:lvl>
  </w:abstractNum>
  <w:abstractNum w:abstractNumId="6">
    <w:nsid w:val="CEE81908"/>
    <w:multiLevelType w:val="singleLevel"/>
    <w:tmpl w:val="CEE81908"/>
    <w:lvl w:ilvl="0" w:tentative="0">
      <w:start w:val="1"/>
      <w:numFmt w:val="decimalEnclosedCircleChinese"/>
      <w:suff w:val="nothing"/>
      <w:lvlText w:val="%1　"/>
      <w:lvlJc w:val="left"/>
      <w:pPr>
        <w:ind w:left="0" w:firstLine="400"/>
      </w:pPr>
      <w:rPr>
        <w:rFonts w:hint="eastAsia"/>
      </w:rPr>
    </w:lvl>
  </w:abstractNum>
  <w:abstractNum w:abstractNumId="7">
    <w:nsid w:val="DC781F60"/>
    <w:multiLevelType w:val="singleLevel"/>
    <w:tmpl w:val="DC781F60"/>
    <w:lvl w:ilvl="0" w:tentative="0">
      <w:start w:val="1"/>
      <w:numFmt w:val="decimal"/>
      <w:suff w:val="nothing"/>
      <w:lvlText w:val="%1、"/>
      <w:lvlJc w:val="left"/>
    </w:lvl>
  </w:abstractNum>
  <w:abstractNum w:abstractNumId="8">
    <w:nsid w:val="E00634CE"/>
    <w:multiLevelType w:val="singleLevel"/>
    <w:tmpl w:val="E00634CE"/>
    <w:lvl w:ilvl="0" w:tentative="0">
      <w:start w:val="1"/>
      <w:numFmt w:val="decimalEnclosedCircleChinese"/>
      <w:suff w:val="nothing"/>
      <w:lvlText w:val="%1　"/>
      <w:lvlJc w:val="left"/>
      <w:pPr>
        <w:ind w:left="0" w:firstLine="400"/>
      </w:pPr>
      <w:rPr>
        <w:rFonts w:hint="eastAsia"/>
      </w:rPr>
    </w:lvl>
  </w:abstractNum>
  <w:abstractNum w:abstractNumId="9">
    <w:nsid w:val="E0B54F4D"/>
    <w:multiLevelType w:val="singleLevel"/>
    <w:tmpl w:val="E0B54F4D"/>
    <w:lvl w:ilvl="0" w:tentative="0">
      <w:start w:val="1"/>
      <w:numFmt w:val="decimalEnclosedCircleChinese"/>
      <w:suff w:val="nothing"/>
      <w:lvlText w:val="%1　"/>
      <w:lvlJc w:val="left"/>
      <w:pPr>
        <w:ind w:left="0" w:firstLine="400"/>
      </w:pPr>
      <w:rPr>
        <w:rFonts w:hint="eastAsia"/>
      </w:rPr>
    </w:lvl>
  </w:abstractNum>
  <w:abstractNum w:abstractNumId="10">
    <w:nsid w:val="E229A01D"/>
    <w:multiLevelType w:val="singleLevel"/>
    <w:tmpl w:val="E229A01D"/>
    <w:lvl w:ilvl="0" w:tentative="0">
      <w:start w:val="1"/>
      <w:numFmt w:val="decimalEnclosedCircleChinese"/>
      <w:suff w:val="nothing"/>
      <w:lvlText w:val="%1　"/>
      <w:lvlJc w:val="left"/>
      <w:pPr>
        <w:ind w:left="0" w:firstLine="400"/>
      </w:pPr>
      <w:rPr>
        <w:rFonts w:hint="eastAsia"/>
      </w:rPr>
    </w:lvl>
  </w:abstractNum>
  <w:abstractNum w:abstractNumId="11">
    <w:nsid w:val="EEB32E6A"/>
    <w:multiLevelType w:val="multilevel"/>
    <w:tmpl w:val="EEB32E6A"/>
    <w:lvl w:ilvl="0" w:tentative="0">
      <w:start w:val="1"/>
      <w:numFmt w:val="chineseCounting"/>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2">
    <w:nsid w:val="F1919DD2"/>
    <w:multiLevelType w:val="singleLevel"/>
    <w:tmpl w:val="F1919DD2"/>
    <w:lvl w:ilvl="0" w:tentative="0">
      <w:start w:val="1"/>
      <w:numFmt w:val="decimalEnclosedCircleChinese"/>
      <w:suff w:val="nothing"/>
      <w:lvlText w:val="%1　"/>
      <w:lvlJc w:val="left"/>
      <w:pPr>
        <w:ind w:left="0" w:firstLine="400"/>
      </w:pPr>
      <w:rPr>
        <w:rFonts w:hint="eastAsia"/>
      </w:rPr>
    </w:lvl>
  </w:abstractNum>
  <w:abstractNum w:abstractNumId="13">
    <w:nsid w:val="FFAE2813"/>
    <w:multiLevelType w:val="singleLevel"/>
    <w:tmpl w:val="FFAE2813"/>
    <w:lvl w:ilvl="0" w:tentative="0">
      <w:start w:val="1"/>
      <w:numFmt w:val="decimalEnclosedCircleChinese"/>
      <w:suff w:val="nothing"/>
      <w:lvlText w:val="%1　"/>
      <w:lvlJc w:val="left"/>
      <w:pPr>
        <w:ind w:left="0" w:firstLine="400"/>
      </w:pPr>
      <w:rPr>
        <w:rFonts w:hint="eastAsia"/>
      </w:rPr>
    </w:lvl>
  </w:abstractNum>
  <w:abstractNum w:abstractNumId="14">
    <w:nsid w:val="034DBBA3"/>
    <w:multiLevelType w:val="singleLevel"/>
    <w:tmpl w:val="034DBBA3"/>
    <w:lvl w:ilvl="0" w:tentative="0">
      <w:start w:val="1"/>
      <w:numFmt w:val="decimalEnclosedCircleChinese"/>
      <w:suff w:val="nothing"/>
      <w:lvlText w:val="%1　"/>
      <w:lvlJc w:val="left"/>
      <w:pPr>
        <w:ind w:left="0" w:firstLine="400"/>
      </w:pPr>
      <w:rPr>
        <w:rFonts w:hint="eastAsia"/>
      </w:rPr>
    </w:lvl>
  </w:abstractNum>
  <w:abstractNum w:abstractNumId="15">
    <w:nsid w:val="1A734A40"/>
    <w:multiLevelType w:val="singleLevel"/>
    <w:tmpl w:val="1A734A40"/>
    <w:lvl w:ilvl="0" w:tentative="0">
      <w:start w:val="1"/>
      <w:numFmt w:val="decimalEnclosedCircleChinese"/>
      <w:suff w:val="nothing"/>
      <w:lvlText w:val="%1　"/>
      <w:lvlJc w:val="left"/>
      <w:pPr>
        <w:ind w:left="0" w:firstLine="400"/>
      </w:pPr>
      <w:rPr>
        <w:rFonts w:hint="eastAsia"/>
      </w:rPr>
    </w:lvl>
  </w:abstractNum>
  <w:abstractNum w:abstractNumId="16">
    <w:nsid w:val="1E381105"/>
    <w:multiLevelType w:val="multilevel"/>
    <w:tmpl w:val="1E3811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1E73FFE0"/>
    <w:multiLevelType w:val="singleLevel"/>
    <w:tmpl w:val="1E73FFE0"/>
    <w:lvl w:ilvl="0" w:tentative="0">
      <w:start w:val="1"/>
      <w:numFmt w:val="chineseCounting"/>
      <w:suff w:val="nothing"/>
      <w:lvlText w:val="%1、"/>
      <w:lvlJc w:val="left"/>
      <w:rPr>
        <w:rFonts w:hint="eastAsia"/>
      </w:rPr>
    </w:lvl>
  </w:abstractNum>
  <w:abstractNum w:abstractNumId="18">
    <w:nsid w:val="21E7223A"/>
    <w:multiLevelType w:val="singleLevel"/>
    <w:tmpl w:val="21E7223A"/>
    <w:lvl w:ilvl="0" w:tentative="0">
      <w:start w:val="1"/>
      <w:numFmt w:val="decimalEnclosedCircleChinese"/>
      <w:suff w:val="nothing"/>
      <w:lvlText w:val="%1　"/>
      <w:lvlJc w:val="left"/>
      <w:pPr>
        <w:ind w:left="0" w:firstLine="400"/>
      </w:pPr>
      <w:rPr>
        <w:rFonts w:hint="eastAsia"/>
      </w:rPr>
    </w:lvl>
  </w:abstractNum>
  <w:abstractNum w:abstractNumId="19">
    <w:nsid w:val="256060BA"/>
    <w:multiLevelType w:val="singleLevel"/>
    <w:tmpl w:val="256060BA"/>
    <w:lvl w:ilvl="0" w:tentative="0">
      <w:start w:val="1"/>
      <w:numFmt w:val="decimalEnclosedCircleChinese"/>
      <w:suff w:val="nothing"/>
      <w:lvlText w:val="%1　"/>
      <w:lvlJc w:val="left"/>
      <w:pPr>
        <w:ind w:left="0" w:firstLine="400"/>
      </w:pPr>
      <w:rPr>
        <w:rFonts w:hint="eastAsia"/>
      </w:rPr>
    </w:lvl>
  </w:abstractNum>
  <w:abstractNum w:abstractNumId="20">
    <w:nsid w:val="2F8536BE"/>
    <w:multiLevelType w:val="singleLevel"/>
    <w:tmpl w:val="2F8536BE"/>
    <w:lvl w:ilvl="0" w:tentative="0">
      <w:start w:val="1"/>
      <w:numFmt w:val="decimalEnclosedCircleChinese"/>
      <w:suff w:val="nothing"/>
      <w:lvlText w:val="%1　"/>
      <w:lvlJc w:val="left"/>
      <w:pPr>
        <w:ind w:left="0" w:firstLine="400"/>
      </w:pPr>
      <w:rPr>
        <w:rFonts w:hint="eastAsia"/>
      </w:rPr>
    </w:lvl>
  </w:abstractNum>
  <w:abstractNum w:abstractNumId="21">
    <w:nsid w:val="43DCEF84"/>
    <w:multiLevelType w:val="singleLevel"/>
    <w:tmpl w:val="43DCEF84"/>
    <w:lvl w:ilvl="0" w:tentative="0">
      <w:start w:val="1"/>
      <w:numFmt w:val="decimalEnclosedCircleChinese"/>
      <w:suff w:val="nothing"/>
      <w:lvlText w:val="%1　"/>
      <w:lvlJc w:val="left"/>
      <w:pPr>
        <w:ind w:left="0" w:firstLine="400"/>
      </w:pPr>
      <w:rPr>
        <w:rFonts w:hint="eastAsia"/>
      </w:rPr>
    </w:lvl>
  </w:abstractNum>
  <w:abstractNum w:abstractNumId="22">
    <w:nsid w:val="45CC69F5"/>
    <w:multiLevelType w:val="multilevel"/>
    <w:tmpl w:val="45CC69F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58A92F7B"/>
    <w:multiLevelType w:val="singleLevel"/>
    <w:tmpl w:val="58A92F7B"/>
    <w:lvl w:ilvl="0" w:tentative="0">
      <w:start w:val="1"/>
      <w:numFmt w:val="decimalEnclosedCircleChinese"/>
      <w:suff w:val="nothing"/>
      <w:lvlText w:val="%1　"/>
      <w:lvlJc w:val="left"/>
      <w:pPr>
        <w:ind w:left="0" w:firstLine="400"/>
      </w:pPr>
      <w:rPr>
        <w:rFonts w:hint="eastAsia"/>
      </w:rPr>
    </w:lvl>
  </w:abstractNum>
  <w:abstractNum w:abstractNumId="24">
    <w:nsid w:val="620E0052"/>
    <w:multiLevelType w:val="multilevel"/>
    <w:tmpl w:val="620E005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5">
    <w:nsid w:val="70F1C821"/>
    <w:multiLevelType w:val="singleLevel"/>
    <w:tmpl w:val="70F1C821"/>
    <w:lvl w:ilvl="0" w:tentative="0">
      <w:start w:val="1"/>
      <w:numFmt w:val="decimalEnclosedCircleChinese"/>
      <w:suff w:val="nothing"/>
      <w:lvlText w:val="%1　"/>
      <w:lvlJc w:val="left"/>
      <w:pPr>
        <w:ind w:left="0" w:firstLine="400"/>
      </w:pPr>
      <w:rPr>
        <w:rFonts w:hint="eastAsia"/>
      </w:rPr>
    </w:lvl>
  </w:abstractNum>
  <w:abstractNum w:abstractNumId="26">
    <w:nsid w:val="760B4AD0"/>
    <w:multiLevelType w:val="singleLevel"/>
    <w:tmpl w:val="760B4AD0"/>
    <w:lvl w:ilvl="0" w:tentative="0">
      <w:start w:val="1"/>
      <w:numFmt w:val="decimalEnclosedCircleChinese"/>
      <w:suff w:val="nothing"/>
      <w:lvlText w:val="%1　"/>
      <w:lvlJc w:val="left"/>
      <w:pPr>
        <w:ind w:left="0" w:firstLine="400"/>
      </w:pPr>
      <w:rPr>
        <w:rFonts w:hint="eastAsia"/>
      </w:rPr>
    </w:lvl>
  </w:abstractNum>
  <w:abstractNum w:abstractNumId="27">
    <w:nsid w:val="7ADB6377"/>
    <w:multiLevelType w:val="singleLevel"/>
    <w:tmpl w:val="7ADB6377"/>
    <w:lvl w:ilvl="0" w:tentative="0">
      <w:start w:val="1"/>
      <w:numFmt w:val="decimalEnclosedCircleChinese"/>
      <w:suff w:val="nothing"/>
      <w:lvlText w:val="%1　"/>
      <w:lvlJc w:val="left"/>
      <w:pPr>
        <w:ind w:left="0" w:firstLine="400"/>
      </w:pPr>
      <w:rPr>
        <w:rFonts w:hint="eastAsia"/>
      </w:rPr>
    </w:lvl>
  </w:abstractNum>
  <w:abstractNum w:abstractNumId="28">
    <w:nsid w:val="7FEE3A92"/>
    <w:multiLevelType w:val="singleLevel"/>
    <w:tmpl w:val="7FEE3A92"/>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17"/>
  </w:num>
  <w:num w:numId="3">
    <w:abstractNumId w:val="24"/>
  </w:num>
  <w:num w:numId="4">
    <w:abstractNumId w:val="9"/>
  </w:num>
  <w:num w:numId="5">
    <w:abstractNumId w:val="15"/>
  </w:num>
  <w:num w:numId="6">
    <w:abstractNumId w:val="28"/>
  </w:num>
  <w:num w:numId="7">
    <w:abstractNumId w:val="19"/>
  </w:num>
  <w:num w:numId="8">
    <w:abstractNumId w:val="22"/>
  </w:num>
  <w:num w:numId="9">
    <w:abstractNumId w:val="26"/>
  </w:num>
  <w:num w:numId="10">
    <w:abstractNumId w:val="3"/>
  </w:num>
  <w:num w:numId="11">
    <w:abstractNumId w:val="6"/>
  </w:num>
  <w:num w:numId="12">
    <w:abstractNumId w:val="21"/>
  </w:num>
  <w:num w:numId="13">
    <w:abstractNumId w:val="18"/>
  </w:num>
  <w:num w:numId="14">
    <w:abstractNumId w:val="27"/>
  </w:num>
  <w:num w:numId="15">
    <w:abstractNumId w:val="0"/>
  </w:num>
  <w:num w:numId="16">
    <w:abstractNumId w:val="8"/>
  </w:num>
  <w:num w:numId="17">
    <w:abstractNumId w:val="10"/>
  </w:num>
  <w:num w:numId="18">
    <w:abstractNumId w:val="1"/>
  </w:num>
  <w:num w:numId="19">
    <w:abstractNumId w:val="25"/>
  </w:num>
  <w:num w:numId="20">
    <w:abstractNumId w:val="23"/>
  </w:num>
  <w:num w:numId="21">
    <w:abstractNumId w:val="13"/>
  </w:num>
  <w:num w:numId="22">
    <w:abstractNumId w:val="20"/>
  </w:num>
  <w:num w:numId="23">
    <w:abstractNumId w:val="4"/>
  </w:num>
  <w:num w:numId="24">
    <w:abstractNumId w:val="2"/>
  </w:num>
  <w:num w:numId="25">
    <w:abstractNumId w:val="12"/>
  </w:num>
  <w:num w:numId="26">
    <w:abstractNumId w:val="14"/>
  </w:num>
  <w:num w:numId="27">
    <w:abstractNumId w:val="5"/>
  </w:num>
  <w:num w:numId="28">
    <w:abstractNumId w:val="1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mU4ZDRhMzFiYmFkYzNlMjAwOTU1NWNjODY2MGMifQ=="/>
  </w:docVars>
  <w:rsids>
    <w:rsidRoot w:val="64234C61"/>
    <w:rsid w:val="00E80370"/>
    <w:rsid w:val="02A46519"/>
    <w:rsid w:val="02A66735"/>
    <w:rsid w:val="02CA08ED"/>
    <w:rsid w:val="02EB4148"/>
    <w:rsid w:val="02FB185B"/>
    <w:rsid w:val="03392C91"/>
    <w:rsid w:val="036D7252"/>
    <w:rsid w:val="03737821"/>
    <w:rsid w:val="03802AE2"/>
    <w:rsid w:val="03F92894"/>
    <w:rsid w:val="0405748B"/>
    <w:rsid w:val="04E62E18"/>
    <w:rsid w:val="05BE5B43"/>
    <w:rsid w:val="06DC2725"/>
    <w:rsid w:val="06FF6413"/>
    <w:rsid w:val="07367B35"/>
    <w:rsid w:val="07524795"/>
    <w:rsid w:val="07EA47F3"/>
    <w:rsid w:val="08B80F70"/>
    <w:rsid w:val="08E60307"/>
    <w:rsid w:val="08FD2E27"/>
    <w:rsid w:val="09C94AB7"/>
    <w:rsid w:val="0A1514FC"/>
    <w:rsid w:val="0A3463D4"/>
    <w:rsid w:val="0AA3355A"/>
    <w:rsid w:val="0AC37758"/>
    <w:rsid w:val="0AEC6CAF"/>
    <w:rsid w:val="0B925AA8"/>
    <w:rsid w:val="0BA13F3D"/>
    <w:rsid w:val="0BE5207C"/>
    <w:rsid w:val="0BEA7692"/>
    <w:rsid w:val="0CAC4948"/>
    <w:rsid w:val="0CDD4579"/>
    <w:rsid w:val="0D5D20E6"/>
    <w:rsid w:val="0D755681"/>
    <w:rsid w:val="0D815DD4"/>
    <w:rsid w:val="0D865199"/>
    <w:rsid w:val="0DC857B1"/>
    <w:rsid w:val="0DE93979"/>
    <w:rsid w:val="0EE15C74"/>
    <w:rsid w:val="0F225395"/>
    <w:rsid w:val="0FAB4813"/>
    <w:rsid w:val="0FFD54BA"/>
    <w:rsid w:val="104A6951"/>
    <w:rsid w:val="113B0990"/>
    <w:rsid w:val="11407D54"/>
    <w:rsid w:val="11627CCB"/>
    <w:rsid w:val="117A5014"/>
    <w:rsid w:val="11961C45"/>
    <w:rsid w:val="11B322D4"/>
    <w:rsid w:val="123526C9"/>
    <w:rsid w:val="12EA7F78"/>
    <w:rsid w:val="13963C5C"/>
    <w:rsid w:val="13DA5B3A"/>
    <w:rsid w:val="13EC5F71"/>
    <w:rsid w:val="140B76C2"/>
    <w:rsid w:val="147B035D"/>
    <w:rsid w:val="149D101A"/>
    <w:rsid w:val="1528122B"/>
    <w:rsid w:val="15840CB4"/>
    <w:rsid w:val="15D32F45"/>
    <w:rsid w:val="16094BE4"/>
    <w:rsid w:val="16AD19E8"/>
    <w:rsid w:val="1704464D"/>
    <w:rsid w:val="184E0FA9"/>
    <w:rsid w:val="186B56B7"/>
    <w:rsid w:val="19502AFF"/>
    <w:rsid w:val="19B412DF"/>
    <w:rsid w:val="19C15918"/>
    <w:rsid w:val="19C72DC1"/>
    <w:rsid w:val="1A903AFB"/>
    <w:rsid w:val="1ADF473B"/>
    <w:rsid w:val="1B593EEC"/>
    <w:rsid w:val="1C2E5379"/>
    <w:rsid w:val="1CFF2872"/>
    <w:rsid w:val="1D167BBB"/>
    <w:rsid w:val="1D58384E"/>
    <w:rsid w:val="1D862F93"/>
    <w:rsid w:val="1E0345E3"/>
    <w:rsid w:val="1E42335E"/>
    <w:rsid w:val="1E957931"/>
    <w:rsid w:val="1F7F7C9A"/>
    <w:rsid w:val="20120B0E"/>
    <w:rsid w:val="20533818"/>
    <w:rsid w:val="207407CA"/>
    <w:rsid w:val="21AE4866"/>
    <w:rsid w:val="21B53E47"/>
    <w:rsid w:val="22350AE4"/>
    <w:rsid w:val="22421B7E"/>
    <w:rsid w:val="227F2544"/>
    <w:rsid w:val="22B61C24"/>
    <w:rsid w:val="22D84291"/>
    <w:rsid w:val="23A61C99"/>
    <w:rsid w:val="2483647E"/>
    <w:rsid w:val="25146FE6"/>
    <w:rsid w:val="256E2C8A"/>
    <w:rsid w:val="258D40CA"/>
    <w:rsid w:val="25C07B32"/>
    <w:rsid w:val="270D0281"/>
    <w:rsid w:val="27A40BE5"/>
    <w:rsid w:val="27B626C7"/>
    <w:rsid w:val="27D829F6"/>
    <w:rsid w:val="289A78F2"/>
    <w:rsid w:val="28E31299"/>
    <w:rsid w:val="29257B04"/>
    <w:rsid w:val="29782729"/>
    <w:rsid w:val="29DB63AD"/>
    <w:rsid w:val="2B465B0F"/>
    <w:rsid w:val="2B5A6139"/>
    <w:rsid w:val="2B7B3A0B"/>
    <w:rsid w:val="2BF501D3"/>
    <w:rsid w:val="2C9C103F"/>
    <w:rsid w:val="2CED6B8B"/>
    <w:rsid w:val="2CF55A3F"/>
    <w:rsid w:val="2DAF5F38"/>
    <w:rsid w:val="2E876B6B"/>
    <w:rsid w:val="2EAE5EA6"/>
    <w:rsid w:val="2EBB7A83"/>
    <w:rsid w:val="2ED00512"/>
    <w:rsid w:val="2F2B5748"/>
    <w:rsid w:val="2F49732F"/>
    <w:rsid w:val="30C95219"/>
    <w:rsid w:val="315C65F2"/>
    <w:rsid w:val="32226F92"/>
    <w:rsid w:val="323A4620"/>
    <w:rsid w:val="323B3EF4"/>
    <w:rsid w:val="32A47CEB"/>
    <w:rsid w:val="32A821CB"/>
    <w:rsid w:val="32E20814"/>
    <w:rsid w:val="32FB3683"/>
    <w:rsid w:val="335222FD"/>
    <w:rsid w:val="33694A91"/>
    <w:rsid w:val="33802506"/>
    <w:rsid w:val="339D76A0"/>
    <w:rsid w:val="33AC76FC"/>
    <w:rsid w:val="33AD497E"/>
    <w:rsid w:val="33B346CF"/>
    <w:rsid w:val="33CA5530"/>
    <w:rsid w:val="34050C5E"/>
    <w:rsid w:val="346314E0"/>
    <w:rsid w:val="34790D04"/>
    <w:rsid w:val="349124F1"/>
    <w:rsid w:val="34BB30CA"/>
    <w:rsid w:val="359F0C3E"/>
    <w:rsid w:val="36681030"/>
    <w:rsid w:val="372F1B4E"/>
    <w:rsid w:val="37A87383"/>
    <w:rsid w:val="37B24C58"/>
    <w:rsid w:val="384E4371"/>
    <w:rsid w:val="388F0AF6"/>
    <w:rsid w:val="38AF77B2"/>
    <w:rsid w:val="38CB4EB1"/>
    <w:rsid w:val="38E76B84"/>
    <w:rsid w:val="38F66DC7"/>
    <w:rsid w:val="39665CFB"/>
    <w:rsid w:val="39A33FCB"/>
    <w:rsid w:val="39EB129C"/>
    <w:rsid w:val="3A0D5771"/>
    <w:rsid w:val="3A186A59"/>
    <w:rsid w:val="3AAF3AFA"/>
    <w:rsid w:val="3B286FE0"/>
    <w:rsid w:val="3B2D62FA"/>
    <w:rsid w:val="3B6C15C2"/>
    <w:rsid w:val="3B7E433E"/>
    <w:rsid w:val="3B820DE6"/>
    <w:rsid w:val="3BCC3E0F"/>
    <w:rsid w:val="3C047A4D"/>
    <w:rsid w:val="3C1557B6"/>
    <w:rsid w:val="3CA52FDE"/>
    <w:rsid w:val="3DA94408"/>
    <w:rsid w:val="3ED92ACB"/>
    <w:rsid w:val="3EF508F9"/>
    <w:rsid w:val="3F5B5BD6"/>
    <w:rsid w:val="40C477AB"/>
    <w:rsid w:val="40E85247"/>
    <w:rsid w:val="40FC6F44"/>
    <w:rsid w:val="410B53D9"/>
    <w:rsid w:val="42574D74"/>
    <w:rsid w:val="42C43A92"/>
    <w:rsid w:val="42F44377"/>
    <w:rsid w:val="43596017"/>
    <w:rsid w:val="437159C8"/>
    <w:rsid w:val="43851473"/>
    <w:rsid w:val="43D67F21"/>
    <w:rsid w:val="43FB6AB2"/>
    <w:rsid w:val="4448414C"/>
    <w:rsid w:val="44843297"/>
    <w:rsid w:val="44EB4C42"/>
    <w:rsid w:val="44F20D8A"/>
    <w:rsid w:val="454E005F"/>
    <w:rsid w:val="459C0CF6"/>
    <w:rsid w:val="45EA380F"/>
    <w:rsid w:val="465D2233"/>
    <w:rsid w:val="46C94152"/>
    <w:rsid w:val="475F3D89"/>
    <w:rsid w:val="477F442B"/>
    <w:rsid w:val="48147269"/>
    <w:rsid w:val="48B87BF5"/>
    <w:rsid w:val="48CE776B"/>
    <w:rsid w:val="4940652C"/>
    <w:rsid w:val="4A7638C4"/>
    <w:rsid w:val="4A9B40ED"/>
    <w:rsid w:val="4AF15142"/>
    <w:rsid w:val="4B18279A"/>
    <w:rsid w:val="4B6F6E49"/>
    <w:rsid w:val="4BB65B68"/>
    <w:rsid w:val="4BC15012"/>
    <w:rsid w:val="4BDF193C"/>
    <w:rsid w:val="4BE34F89"/>
    <w:rsid w:val="4BE8259F"/>
    <w:rsid w:val="4C085971"/>
    <w:rsid w:val="4CEE62DB"/>
    <w:rsid w:val="4CFB4554"/>
    <w:rsid w:val="4D1F46E6"/>
    <w:rsid w:val="4D6640C3"/>
    <w:rsid w:val="4E1E499E"/>
    <w:rsid w:val="4E656129"/>
    <w:rsid w:val="4E7B76FB"/>
    <w:rsid w:val="4EDB63EB"/>
    <w:rsid w:val="4EE554BC"/>
    <w:rsid w:val="4F42290E"/>
    <w:rsid w:val="4FA9473B"/>
    <w:rsid w:val="4FC357FD"/>
    <w:rsid w:val="500B71A4"/>
    <w:rsid w:val="51823496"/>
    <w:rsid w:val="51AB6549"/>
    <w:rsid w:val="52556F58"/>
    <w:rsid w:val="527A5F1B"/>
    <w:rsid w:val="529956D6"/>
    <w:rsid w:val="52EC6E19"/>
    <w:rsid w:val="53202F66"/>
    <w:rsid w:val="534D3630"/>
    <w:rsid w:val="53C82BA1"/>
    <w:rsid w:val="54EF2BF0"/>
    <w:rsid w:val="54F36F93"/>
    <w:rsid w:val="550D3076"/>
    <w:rsid w:val="55DA73FC"/>
    <w:rsid w:val="55E22755"/>
    <w:rsid w:val="5671683F"/>
    <w:rsid w:val="567C04B4"/>
    <w:rsid w:val="569021B1"/>
    <w:rsid w:val="56DE153B"/>
    <w:rsid w:val="58134E48"/>
    <w:rsid w:val="584D44F4"/>
    <w:rsid w:val="588C0756"/>
    <w:rsid w:val="58C35579"/>
    <w:rsid w:val="58E971B2"/>
    <w:rsid w:val="594A6647"/>
    <w:rsid w:val="59A56854"/>
    <w:rsid w:val="59E051FD"/>
    <w:rsid w:val="5B1A64ED"/>
    <w:rsid w:val="5B280C0A"/>
    <w:rsid w:val="5B37709F"/>
    <w:rsid w:val="5B694D7F"/>
    <w:rsid w:val="5B822296"/>
    <w:rsid w:val="5B974D29"/>
    <w:rsid w:val="5CEB0141"/>
    <w:rsid w:val="5D880229"/>
    <w:rsid w:val="5D944335"/>
    <w:rsid w:val="5E0D06AC"/>
    <w:rsid w:val="5E624433"/>
    <w:rsid w:val="5E7A666D"/>
    <w:rsid w:val="5FB07420"/>
    <w:rsid w:val="5FCD7FD2"/>
    <w:rsid w:val="603B13E0"/>
    <w:rsid w:val="60545FFD"/>
    <w:rsid w:val="606C1599"/>
    <w:rsid w:val="60936B26"/>
    <w:rsid w:val="60E05AE3"/>
    <w:rsid w:val="61F70FAC"/>
    <w:rsid w:val="62C531E2"/>
    <w:rsid w:val="62EA0E9B"/>
    <w:rsid w:val="637F7157"/>
    <w:rsid w:val="63A70B3A"/>
    <w:rsid w:val="63D731CD"/>
    <w:rsid w:val="63EB4ECB"/>
    <w:rsid w:val="64234C61"/>
    <w:rsid w:val="645C7B76"/>
    <w:rsid w:val="6502071E"/>
    <w:rsid w:val="651421FF"/>
    <w:rsid w:val="653463FD"/>
    <w:rsid w:val="65532D27"/>
    <w:rsid w:val="65822468"/>
    <w:rsid w:val="65B31A18"/>
    <w:rsid w:val="66524D8D"/>
    <w:rsid w:val="66A15D14"/>
    <w:rsid w:val="66B11D44"/>
    <w:rsid w:val="67713939"/>
    <w:rsid w:val="681D13CB"/>
    <w:rsid w:val="68D643E7"/>
    <w:rsid w:val="691E189E"/>
    <w:rsid w:val="694766FF"/>
    <w:rsid w:val="696A6892"/>
    <w:rsid w:val="69CE0BCF"/>
    <w:rsid w:val="6A1231B1"/>
    <w:rsid w:val="6A1D1B56"/>
    <w:rsid w:val="6B07083C"/>
    <w:rsid w:val="6B20545A"/>
    <w:rsid w:val="6CB22A29"/>
    <w:rsid w:val="6CD3474E"/>
    <w:rsid w:val="6DE035C6"/>
    <w:rsid w:val="6E0A419F"/>
    <w:rsid w:val="6E3F1995"/>
    <w:rsid w:val="6EC32CCC"/>
    <w:rsid w:val="6F410095"/>
    <w:rsid w:val="6FB42615"/>
    <w:rsid w:val="6FBE7937"/>
    <w:rsid w:val="6FF11ABB"/>
    <w:rsid w:val="7009392D"/>
    <w:rsid w:val="70141305"/>
    <w:rsid w:val="704832EA"/>
    <w:rsid w:val="714B51FB"/>
    <w:rsid w:val="728E35F1"/>
    <w:rsid w:val="728E539F"/>
    <w:rsid w:val="72DF3E4C"/>
    <w:rsid w:val="731D3DBE"/>
    <w:rsid w:val="74393A30"/>
    <w:rsid w:val="74BD640F"/>
    <w:rsid w:val="7500116F"/>
    <w:rsid w:val="7525507B"/>
    <w:rsid w:val="757D16FB"/>
    <w:rsid w:val="758B3E18"/>
    <w:rsid w:val="759E1D9D"/>
    <w:rsid w:val="761C0F14"/>
    <w:rsid w:val="76C173EC"/>
    <w:rsid w:val="77530965"/>
    <w:rsid w:val="77647702"/>
    <w:rsid w:val="77EB6DF0"/>
    <w:rsid w:val="78061E7B"/>
    <w:rsid w:val="78370287"/>
    <w:rsid w:val="78414C61"/>
    <w:rsid w:val="78462278"/>
    <w:rsid w:val="787768D5"/>
    <w:rsid w:val="78EE6389"/>
    <w:rsid w:val="78F97604"/>
    <w:rsid w:val="79132AA2"/>
    <w:rsid w:val="793F73F3"/>
    <w:rsid w:val="7A811C8D"/>
    <w:rsid w:val="7A9B2D4F"/>
    <w:rsid w:val="7ABB519F"/>
    <w:rsid w:val="7B095F0A"/>
    <w:rsid w:val="7B5D0004"/>
    <w:rsid w:val="7C0641F8"/>
    <w:rsid w:val="7C0B180E"/>
    <w:rsid w:val="7C727ADF"/>
    <w:rsid w:val="7CC02BF0"/>
    <w:rsid w:val="7CD460A4"/>
    <w:rsid w:val="7CEC5AE4"/>
    <w:rsid w:val="7D63567A"/>
    <w:rsid w:val="7EB97C47"/>
    <w:rsid w:val="7EF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tLeast"/>
      <w:ind w:left="575" w:hanging="575"/>
      <w:outlineLvl w:val="1"/>
    </w:pPr>
    <w:rPr>
      <w:rFonts w:ascii="Arial" w:hAnsi="Arial" w:eastAsia="Arial" w:cs="Arial"/>
      <w:b/>
      <w:bCs/>
      <w:sz w:val="32"/>
      <w:szCs w:val="32"/>
    </w:rPr>
  </w:style>
  <w:style w:type="paragraph" w:styleId="5">
    <w:name w:val="heading 3"/>
    <w:basedOn w:val="1"/>
    <w:next w:val="2"/>
    <w:unhideWhenUsed/>
    <w:qFormat/>
    <w:uiPriority w:val="0"/>
    <w:pPr>
      <w:keepNext/>
      <w:keepLines/>
      <w:numPr>
        <w:ilvl w:val="2"/>
        <w:numId w:val="1"/>
      </w:numPr>
      <w:ind w:left="720" w:hanging="720"/>
      <w:outlineLvl w:val="2"/>
    </w:pPr>
    <w:rPr>
      <w:rFonts w:eastAsia="黑体"/>
      <w:b/>
      <w:bCs/>
      <w:szCs w:val="32"/>
    </w:rPr>
  </w:style>
  <w:style w:type="paragraph" w:styleId="6">
    <w:name w:val="heading 4"/>
    <w:basedOn w:val="1"/>
    <w:next w:val="2"/>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8">
    <w:name w:val="annotation text"/>
    <w:basedOn w:val="1"/>
    <w:qFormat/>
    <w:uiPriority w:val="99"/>
    <w:pPr>
      <w:spacing w:line="360" w:lineRule="auto"/>
      <w:ind w:firstLine="880" w:firstLineChars="200"/>
      <w:jc w:val="left"/>
    </w:pPr>
    <w:rPr>
      <w:sz w:val="24"/>
    </w:r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autoRedefine/>
    <w:qFormat/>
    <w:uiPriority w:val="34"/>
    <w:pPr>
      <w:ind w:firstLine="420"/>
    </w:pPr>
  </w:style>
  <w:style w:type="paragraph" w:customStyle="1" w:styleId="20">
    <w:name w:val="正文文本样式"/>
    <w:basedOn w:val="1"/>
    <w:autoRedefine/>
    <w:qFormat/>
    <w:uiPriority w:val="0"/>
    <w:pPr>
      <w:spacing w:line="360" w:lineRule="auto"/>
      <w:ind w:firstLine="482"/>
    </w:pPr>
    <w:rPr>
      <w:rFonts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36229</Words>
  <Characters>37484</Characters>
  <Lines>0</Lines>
  <Paragraphs>0</Paragraphs>
  <TotalTime>8</TotalTime>
  <ScaleCrop>false</ScaleCrop>
  <LinksUpToDate>false</LinksUpToDate>
  <CharactersWithSpaces>38561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2024-08-03T07:31:00Z</dcterms:created>
  <dc:creator>梧桐那么伤</dc:creator>
  <cp:lastModifiedBy>wyk</cp:lastModifiedBy>
  <dcterms:modified xsi:type="dcterms:W3CDTF">2024-10-08T06:17:04Z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0FBC76C2CA8E4E589026ACFB1F37EE37_13</vt:lpwstr>
  </property>
</Properties>
</file>