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32F01F">
      <w:pPr>
        <w:autoSpaceDE w:val="0"/>
        <w:autoSpaceDN w:val="0"/>
        <w:adjustRightInd w:val="0"/>
        <w:spacing w:line="1000" w:lineRule="exact"/>
        <w:jc w:val="center"/>
        <w:rPr>
          <w:rFonts w:hint="eastAsia" w:ascii="宋体" w:hAnsi="宋体"/>
          <w:b/>
          <w:color w:val="auto"/>
          <w:spacing w:val="20"/>
          <w:sz w:val="40"/>
          <w:szCs w:val="22"/>
          <w:highlight w:val="none"/>
          <w:u w:val="none"/>
          <w:lang w:val="en-US" w:eastAsia="zh-CN"/>
        </w:rPr>
      </w:pPr>
      <w:r>
        <w:rPr>
          <w:rFonts w:hint="eastAsia" w:ascii="宋体" w:hAnsi="宋体"/>
          <w:b/>
          <w:color w:val="auto"/>
          <w:spacing w:val="20"/>
          <w:sz w:val="40"/>
          <w:szCs w:val="22"/>
          <w:highlight w:val="none"/>
          <w:u w:val="none"/>
          <w:lang w:val="en-US" w:eastAsia="zh-CN"/>
        </w:rPr>
        <w:t>南通报业新闻传媒中心幕墙维护保养项目</w:t>
      </w:r>
    </w:p>
    <w:p w14:paraId="455F74CF">
      <w:pPr>
        <w:autoSpaceDE w:val="0"/>
        <w:autoSpaceDN w:val="0"/>
        <w:adjustRightInd w:val="0"/>
        <w:spacing w:line="1000" w:lineRule="exact"/>
        <w:jc w:val="center"/>
        <w:rPr>
          <w:rFonts w:hint="default" w:ascii="宋体" w:hAnsi="宋体"/>
          <w:b/>
          <w:color w:val="auto"/>
          <w:spacing w:val="20"/>
          <w:sz w:val="40"/>
          <w:szCs w:val="22"/>
          <w:highlight w:val="none"/>
          <w:u w:val="none"/>
          <w:lang w:val="en-US" w:eastAsia="zh-CN"/>
        </w:rPr>
      </w:pPr>
      <w:r>
        <w:rPr>
          <w:rFonts w:hint="eastAsia" w:ascii="宋体" w:hAnsi="宋体"/>
          <w:b/>
          <w:color w:val="auto"/>
          <w:spacing w:val="20"/>
          <w:sz w:val="40"/>
          <w:szCs w:val="22"/>
          <w:highlight w:val="none"/>
          <w:u w:val="none"/>
          <w:lang w:val="en-US" w:eastAsia="zh-CN"/>
        </w:rPr>
        <w:t>（二次）</w:t>
      </w:r>
    </w:p>
    <w:p w14:paraId="5C6ECCCF">
      <w:pPr>
        <w:autoSpaceDE w:val="0"/>
        <w:autoSpaceDN w:val="0"/>
        <w:adjustRightInd w:val="0"/>
        <w:spacing w:line="1000" w:lineRule="exact"/>
        <w:jc w:val="center"/>
        <w:rPr>
          <w:rFonts w:hint="eastAsia" w:ascii="华文新魏" w:eastAsia="华文新魏"/>
          <w:b/>
          <w:bCs/>
          <w:color w:val="auto"/>
          <w:sz w:val="100"/>
          <w:szCs w:val="100"/>
          <w:highlight w:val="none"/>
          <w:lang w:val="zh-CN"/>
        </w:rPr>
      </w:pPr>
      <w:bookmarkStart w:id="4" w:name="_GoBack"/>
      <w:bookmarkEnd w:id="4"/>
    </w:p>
    <w:p w14:paraId="1E90126C">
      <w:pPr>
        <w:autoSpaceDE w:val="0"/>
        <w:autoSpaceDN w:val="0"/>
        <w:adjustRightInd w:val="0"/>
        <w:spacing w:line="1000" w:lineRule="exact"/>
        <w:jc w:val="center"/>
        <w:rPr>
          <w:rFonts w:hint="eastAsia" w:ascii="华文新魏" w:eastAsia="华文新魏"/>
          <w:b/>
          <w:bCs/>
          <w:color w:val="auto"/>
          <w:sz w:val="100"/>
          <w:szCs w:val="100"/>
          <w:highlight w:val="none"/>
          <w:lang w:val="zh-CN"/>
        </w:rPr>
      </w:pPr>
    </w:p>
    <w:p w14:paraId="57F4A0CC">
      <w:pPr>
        <w:autoSpaceDE w:val="0"/>
        <w:autoSpaceDN w:val="0"/>
        <w:adjustRightInd w:val="0"/>
        <w:spacing w:line="1000" w:lineRule="exact"/>
        <w:jc w:val="center"/>
        <w:rPr>
          <w:rFonts w:ascii="华文新魏" w:hAnsi="Arial Narrow" w:eastAsia="华文新魏"/>
          <w:b/>
          <w:bCs/>
          <w:color w:val="auto"/>
          <w:sz w:val="100"/>
          <w:szCs w:val="100"/>
          <w:highlight w:val="none"/>
        </w:rPr>
      </w:pPr>
      <w:r>
        <w:rPr>
          <w:rFonts w:hint="eastAsia" w:ascii="华文新魏" w:eastAsia="华文新魏"/>
          <w:b/>
          <w:bCs/>
          <w:color w:val="auto"/>
          <w:sz w:val="100"/>
          <w:szCs w:val="100"/>
          <w:highlight w:val="none"/>
          <w:lang w:val="zh-CN"/>
        </w:rPr>
        <w:t>竞争性</w:t>
      </w:r>
      <w:r>
        <w:rPr>
          <w:rFonts w:hint="eastAsia" w:ascii="华文新魏" w:hAnsi="Arial Narrow" w:eastAsia="华文新魏"/>
          <w:b/>
          <w:bCs/>
          <w:color w:val="auto"/>
          <w:sz w:val="100"/>
          <w:szCs w:val="100"/>
          <w:highlight w:val="none"/>
          <w:lang w:val="zh-CN"/>
        </w:rPr>
        <w:t>磋商文件</w:t>
      </w:r>
    </w:p>
    <w:p w14:paraId="602EFB3B">
      <w:pPr>
        <w:keepNext/>
        <w:keepLines/>
        <w:autoSpaceDE w:val="0"/>
        <w:autoSpaceDN w:val="0"/>
        <w:adjustRightInd w:val="0"/>
        <w:spacing w:before="260" w:after="260" w:line="600" w:lineRule="exact"/>
        <w:ind w:right="210"/>
        <w:jc w:val="center"/>
        <w:outlineLvl w:val="0"/>
        <w:rPr>
          <w:rFonts w:hint="eastAsia" w:ascii="宋体" w:hAnsi="宋体"/>
          <w:color w:val="auto"/>
          <w:sz w:val="36"/>
          <w:szCs w:val="36"/>
          <w:highlight w:val="none"/>
        </w:rPr>
      </w:pPr>
    </w:p>
    <w:p w14:paraId="1E44E630">
      <w:pPr>
        <w:keepNext/>
        <w:keepLines/>
        <w:autoSpaceDE w:val="0"/>
        <w:autoSpaceDN w:val="0"/>
        <w:adjustRightInd w:val="0"/>
        <w:spacing w:before="260" w:after="260" w:line="600" w:lineRule="exact"/>
        <w:ind w:right="210"/>
        <w:jc w:val="center"/>
        <w:outlineLvl w:val="0"/>
        <w:rPr>
          <w:rFonts w:hint="default" w:ascii="楷体_GB2312" w:eastAsia="宋体"/>
          <w:b/>
          <w:color w:val="auto"/>
          <w:sz w:val="44"/>
          <w:szCs w:val="44"/>
          <w:highlight w:val="none"/>
          <w:lang w:val="en-US" w:eastAsia="zh-CN"/>
        </w:rPr>
      </w:pPr>
      <w:r>
        <w:rPr>
          <w:rFonts w:hint="eastAsia" w:ascii="宋体" w:hAnsi="宋体"/>
          <w:color w:val="auto"/>
          <w:sz w:val="36"/>
          <w:szCs w:val="36"/>
          <w:highlight w:val="none"/>
        </w:rPr>
        <w:t>项目编号：</w:t>
      </w:r>
      <w:r>
        <w:rPr>
          <w:rFonts w:hint="eastAsia" w:ascii="宋体" w:hAnsi="宋体"/>
          <w:color w:val="auto"/>
          <w:sz w:val="36"/>
          <w:szCs w:val="36"/>
          <w:highlight w:val="none"/>
          <w:lang w:val="en-US" w:eastAsia="zh-CN"/>
        </w:rPr>
        <w:t>HSNT202438</w:t>
      </w:r>
    </w:p>
    <w:p w14:paraId="5C0F78FC">
      <w:pPr>
        <w:autoSpaceDE w:val="0"/>
        <w:autoSpaceDN w:val="0"/>
        <w:adjustRightInd w:val="0"/>
        <w:spacing w:line="360" w:lineRule="auto"/>
        <w:ind w:firstLine="420"/>
        <w:jc w:val="center"/>
        <w:rPr>
          <w:rFonts w:eastAsia="黑体"/>
          <w:color w:val="auto"/>
          <w:szCs w:val="21"/>
          <w:highlight w:val="none"/>
        </w:rPr>
      </w:pPr>
    </w:p>
    <w:p w14:paraId="029B0A4C">
      <w:pPr>
        <w:autoSpaceDE w:val="0"/>
        <w:autoSpaceDN w:val="0"/>
        <w:adjustRightInd w:val="0"/>
        <w:spacing w:line="360" w:lineRule="auto"/>
        <w:ind w:firstLine="420"/>
        <w:jc w:val="center"/>
        <w:rPr>
          <w:rFonts w:eastAsia="黑体"/>
          <w:color w:val="auto"/>
          <w:szCs w:val="21"/>
          <w:highlight w:val="none"/>
        </w:rPr>
      </w:pPr>
    </w:p>
    <w:p w14:paraId="193160E6">
      <w:pPr>
        <w:autoSpaceDE w:val="0"/>
        <w:autoSpaceDN w:val="0"/>
        <w:adjustRightInd w:val="0"/>
        <w:jc w:val="center"/>
        <w:rPr>
          <w:color w:val="auto"/>
          <w:szCs w:val="21"/>
          <w:highlight w:val="none"/>
        </w:rPr>
      </w:pPr>
      <w:r>
        <w:rPr>
          <w:rFonts w:hint="eastAsia" w:ascii="宋体"/>
          <w:color w:val="auto"/>
          <w:kern w:val="0"/>
          <w:sz w:val="20"/>
          <w:szCs w:val="20"/>
          <w:highlight w:val="none"/>
          <w:lang w:val="zh-CN"/>
        </w:rPr>
        <w:object>
          <v:shape id="_x0000_i1025" o:spt="75" type="#_x0000_t75" style="height:127.5pt;width:166.5pt;" o:ole="t" filled="f" o:preferrelative="t" stroked="f" coordsize="21600,21600">
            <v:path/>
            <v:fill on="f" focussize="0,0"/>
            <v:stroke on="f" joinstyle="miter"/>
            <v:imagedata r:id="rId6" o:title=""/>
            <o:lock v:ext="edit" aspectratio="t"/>
            <w10:wrap type="none"/>
            <w10:anchorlock/>
          </v:shape>
          <o:OLEObject Type="Embed" ProgID="MS_ClipArt_Gallery.5" ShapeID="_x0000_i1025" DrawAspect="Content" ObjectID="_1468075725" r:id="rId5">
            <o:LockedField>false</o:LockedField>
          </o:OLEObject>
        </w:object>
      </w:r>
    </w:p>
    <w:p w14:paraId="7B8F3817">
      <w:pPr>
        <w:autoSpaceDE w:val="0"/>
        <w:autoSpaceDN w:val="0"/>
        <w:adjustRightInd w:val="0"/>
        <w:spacing w:line="360" w:lineRule="auto"/>
        <w:ind w:firstLine="420"/>
        <w:jc w:val="center"/>
        <w:rPr>
          <w:color w:val="auto"/>
          <w:szCs w:val="21"/>
          <w:highlight w:val="none"/>
        </w:rPr>
      </w:pPr>
    </w:p>
    <w:p w14:paraId="09ECA3C0">
      <w:pPr>
        <w:autoSpaceDE w:val="0"/>
        <w:autoSpaceDN w:val="0"/>
        <w:adjustRightInd w:val="0"/>
        <w:spacing w:line="360" w:lineRule="auto"/>
        <w:ind w:firstLine="420"/>
        <w:jc w:val="center"/>
        <w:rPr>
          <w:color w:val="auto"/>
          <w:szCs w:val="21"/>
          <w:highlight w:val="none"/>
        </w:rPr>
      </w:pPr>
    </w:p>
    <w:p w14:paraId="2EF01230">
      <w:pPr>
        <w:autoSpaceDE w:val="0"/>
        <w:autoSpaceDN w:val="0"/>
        <w:adjustRightInd w:val="0"/>
        <w:spacing w:line="360" w:lineRule="auto"/>
        <w:ind w:firstLine="420"/>
        <w:jc w:val="center"/>
        <w:rPr>
          <w:color w:val="auto"/>
          <w:szCs w:val="21"/>
          <w:highlight w:val="none"/>
        </w:rPr>
      </w:pPr>
    </w:p>
    <w:p w14:paraId="7196FF04">
      <w:pPr>
        <w:autoSpaceDE w:val="0"/>
        <w:autoSpaceDN w:val="0"/>
        <w:adjustRightInd w:val="0"/>
        <w:spacing w:line="360" w:lineRule="auto"/>
        <w:ind w:firstLine="420"/>
        <w:jc w:val="center"/>
        <w:rPr>
          <w:color w:val="auto"/>
          <w:szCs w:val="21"/>
          <w:highlight w:val="none"/>
        </w:rPr>
      </w:pPr>
    </w:p>
    <w:p w14:paraId="50B836FF">
      <w:pPr>
        <w:spacing w:line="500" w:lineRule="exact"/>
        <w:jc w:val="both"/>
        <w:rPr>
          <w:rFonts w:ascii="宋体" w:hAnsi="宋体"/>
          <w:color w:val="auto"/>
          <w:spacing w:val="20"/>
          <w:sz w:val="28"/>
          <w:szCs w:val="28"/>
          <w:highlight w:val="none"/>
        </w:rPr>
      </w:pPr>
    </w:p>
    <w:p w14:paraId="1E50BE60">
      <w:pPr>
        <w:spacing w:line="500" w:lineRule="exact"/>
        <w:ind w:firstLine="1280" w:firstLineChars="400"/>
        <w:rPr>
          <w:rFonts w:hint="eastAsia" w:ascii="宋体" w:hAnsi="宋体" w:eastAsia="宋体"/>
          <w:color w:val="auto"/>
          <w:spacing w:val="20"/>
          <w:sz w:val="28"/>
          <w:szCs w:val="28"/>
          <w:highlight w:val="none"/>
          <w:lang w:eastAsia="zh-CN"/>
        </w:rPr>
      </w:pPr>
      <w:r>
        <w:rPr>
          <w:rFonts w:hint="eastAsia" w:ascii="宋体" w:hAnsi="宋体"/>
          <w:color w:val="auto"/>
          <w:spacing w:val="20"/>
          <w:sz w:val="28"/>
          <w:szCs w:val="28"/>
          <w:highlight w:val="none"/>
        </w:rPr>
        <w:t>采购单位</w:t>
      </w:r>
      <w:r>
        <w:rPr>
          <w:rFonts w:hint="eastAsia" w:ascii="宋体" w:hAnsi="宋体"/>
          <w:color w:val="auto"/>
          <w:spacing w:val="20"/>
          <w:sz w:val="28"/>
          <w:szCs w:val="28"/>
          <w:highlight w:val="none"/>
          <w:u w:val="single"/>
        </w:rPr>
        <w:t>：</w:t>
      </w:r>
      <w:r>
        <w:rPr>
          <w:rFonts w:hint="eastAsia" w:ascii="宋体" w:hAnsi="宋体"/>
          <w:color w:val="auto"/>
          <w:spacing w:val="20"/>
          <w:sz w:val="28"/>
          <w:szCs w:val="28"/>
          <w:highlight w:val="none"/>
          <w:u w:val="single"/>
          <w:lang w:val="en-US" w:eastAsia="zh-CN"/>
        </w:rPr>
        <w:t>南通日报社</w:t>
      </w:r>
    </w:p>
    <w:p w14:paraId="7EA8C837">
      <w:pPr>
        <w:spacing w:line="500" w:lineRule="exact"/>
        <w:ind w:firstLine="1280" w:firstLineChars="400"/>
        <w:jc w:val="both"/>
        <w:rPr>
          <w:rFonts w:hint="eastAsia" w:ascii="宋体" w:hAnsi="宋体" w:eastAsia="宋体"/>
          <w:color w:val="auto"/>
          <w:spacing w:val="20"/>
          <w:sz w:val="28"/>
          <w:szCs w:val="28"/>
          <w:highlight w:val="none"/>
          <w:lang w:eastAsia="zh-CN"/>
        </w:rPr>
      </w:pPr>
      <w:r>
        <w:rPr>
          <w:rFonts w:hint="eastAsia" w:ascii="宋体" w:hAnsi="宋体"/>
          <w:color w:val="auto"/>
          <w:spacing w:val="20"/>
          <w:sz w:val="28"/>
          <w:szCs w:val="28"/>
          <w:highlight w:val="none"/>
        </w:rPr>
        <w:t>代理单位</w:t>
      </w:r>
      <w:r>
        <w:rPr>
          <w:rFonts w:hint="eastAsia" w:ascii="宋体" w:hAnsi="宋体"/>
          <w:color w:val="auto"/>
          <w:spacing w:val="20"/>
          <w:sz w:val="28"/>
          <w:szCs w:val="28"/>
          <w:highlight w:val="none"/>
          <w:u w:val="single"/>
        </w:rPr>
        <w:t>：</w:t>
      </w:r>
      <w:r>
        <w:rPr>
          <w:rFonts w:hint="eastAsia" w:ascii="宋体" w:hAnsi="宋体"/>
          <w:color w:val="auto"/>
          <w:spacing w:val="20"/>
          <w:sz w:val="28"/>
          <w:szCs w:val="28"/>
          <w:highlight w:val="none"/>
          <w:u w:val="single"/>
          <w:lang w:eastAsia="zh-CN"/>
        </w:rPr>
        <w:t>江苏海审工程咨询有限公司</w:t>
      </w:r>
    </w:p>
    <w:p w14:paraId="22CE1926">
      <w:pPr>
        <w:spacing w:line="500" w:lineRule="exact"/>
        <w:ind w:firstLine="1280" w:firstLineChars="400"/>
        <w:rPr>
          <w:rFonts w:ascii="宋体" w:hAnsi="宋体"/>
          <w:color w:val="auto"/>
          <w:spacing w:val="20"/>
          <w:sz w:val="28"/>
          <w:szCs w:val="28"/>
          <w:highlight w:val="none"/>
        </w:rPr>
      </w:pPr>
      <w:r>
        <w:rPr>
          <w:rFonts w:hint="eastAsia" w:ascii="宋体" w:hAnsi="宋体"/>
          <w:color w:val="auto"/>
          <w:spacing w:val="20"/>
          <w:sz w:val="28"/>
          <w:szCs w:val="28"/>
          <w:highlight w:val="none"/>
        </w:rPr>
        <w:t>日    期：</w:t>
      </w:r>
      <w:r>
        <w:rPr>
          <w:rFonts w:hint="eastAsia" w:ascii="宋体" w:hAnsi="宋体"/>
          <w:color w:val="auto"/>
          <w:spacing w:val="20"/>
          <w:sz w:val="28"/>
          <w:szCs w:val="28"/>
          <w:highlight w:val="none"/>
          <w:u w:val="single"/>
        </w:rPr>
        <w:t>202</w:t>
      </w:r>
      <w:r>
        <w:rPr>
          <w:rFonts w:hint="eastAsia" w:ascii="宋体" w:hAnsi="宋体"/>
          <w:color w:val="auto"/>
          <w:spacing w:val="20"/>
          <w:sz w:val="28"/>
          <w:szCs w:val="28"/>
          <w:highlight w:val="none"/>
          <w:u w:val="single"/>
          <w:lang w:val="en-US" w:eastAsia="zh-CN"/>
        </w:rPr>
        <w:t>4</w:t>
      </w:r>
      <w:r>
        <w:rPr>
          <w:rFonts w:hint="eastAsia" w:ascii="宋体" w:hAnsi="宋体"/>
          <w:color w:val="auto"/>
          <w:spacing w:val="20"/>
          <w:sz w:val="28"/>
          <w:szCs w:val="28"/>
          <w:highlight w:val="none"/>
          <w:u w:val="single"/>
        </w:rPr>
        <w:t>年</w:t>
      </w:r>
      <w:r>
        <w:rPr>
          <w:rFonts w:hint="eastAsia" w:ascii="宋体" w:hAnsi="宋体"/>
          <w:color w:val="auto"/>
          <w:spacing w:val="20"/>
          <w:sz w:val="28"/>
          <w:szCs w:val="28"/>
          <w:highlight w:val="none"/>
          <w:u w:val="single"/>
          <w:lang w:val="en-US" w:eastAsia="zh-CN"/>
        </w:rPr>
        <w:t>12</w:t>
      </w:r>
      <w:r>
        <w:rPr>
          <w:rFonts w:hint="eastAsia" w:ascii="宋体" w:hAnsi="宋体"/>
          <w:color w:val="auto"/>
          <w:spacing w:val="20"/>
          <w:sz w:val="28"/>
          <w:szCs w:val="28"/>
          <w:highlight w:val="none"/>
          <w:u w:val="single"/>
        </w:rPr>
        <w:t>月</w:t>
      </w:r>
      <w:r>
        <w:rPr>
          <w:rFonts w:hint="eastAsia" w:ascii="宋体" w:hAnsi="宋体"/>
          <w:color w:val="auto"/>
          <w:spacing w:val="20"/>
          <w:sz w:val="28"/>
          <w:szCs w:val="28"/>
          <w:highlight w:val="none"/>
          <w:u w:val="single"/>
          <w:lang w:val="en-US" w:eastAsia="zh-CN"/>
        </w:rPr>
        <w:t>16</w:t>
      </w:r>
      <w:r>
        <w:rPr>
          <w:rFonts w:hint="eastAsia" w:ascii="宋体" w:hAnsi="宋体"/>
          <w:color w:val="auto"/>
          <w:spacing w:val="20"/>
          <w:sz w:val="28"/>
          <w:szCs w:val="28"/>
          <w:highlight w:val="none"/>
          <w:u w:val="single"/>
        </w:rPr>
        <w:t>日</w:t>
      </w:r>
    </w:p>
    <w:p w14:paraId="466585AB">
      <w:pPr>
        <w:spacing w:line="360" w:lineRule="auto"/>
        <w:jc w:val="center"/>
        <w:rPr>
          <w:rFonts w:asciiTheme="minorEastAsia" w:hAnsiTheme="minorEastAsia" w:eastAsiaTheme="minorEastAsia"/>
          <w:b/>
          <w:bCs/>
          <w:color w:val="auto"/>
          <w:sz w:val="44"/>
          <w:szCs w:val="44"/>
          <w:highlight w:val="none"/>
          <w:lang w:val="zh-CN"/>
        </w:rPr>
      </w:pPr>
      <w:r>
        <w:rPr>
          <w:rFonts w:ascii="楷体_GB2312" w:eastAsia="楷体_GB2312"/>
          <w:b/>
          <w:bCs/>
          <w:color w:val="auto"/>
          <w:sz w:val="44"/>
          <w:szCs w:val="44"/>
          <w:highlight w:val="none"/>
          <w:lang w:val="zh-CN"/>
        </w:rPr>
        <w:br w:type="page"/>
      </w:r>
      <w:r>
        <w:rPr>
          <w:rFonts w:hint="eastAsia" w:asciiTheme="minorEastAsia" w:hAnsiTheme="minorEastAsia" w:eastAsiaTheme="minorEastAsia"/>
          <w:b/>
          <w:bCs/>
          <w:color w:val="auto"/>
          <w:sz w:val="44"/>
          <w:szCs w:val="44"/>
          <w:highlight w:val="none"/>
          <w:lang w:val="zh-CN"/>
        </w:rPr>
        <w:t>目   录</w:t>
      </w:r>
    </w:p>
    <w:p w14:paraId="054AD069">
      <w:pPr>
        <w:autoSpaceDE w:val="0"/>
        <w:autoSpaceDN w:val="0"/>
        <w:adjustRightInd w:val="0"/>
        <w:spacing w:line="480" w:lineRule="auto"/>
        <w:ind w:firstLine="556"/>
        <w:rPr>
          <w:rFonts w:asciiTheme="minorEastAsia" w:hAnsiTheme="minorEastAsia" w:eastAsiaTheme="minorEastAsia"/>
          <w:b/>
          <w:bCs/>
          <w:color w:val="auto"/>
          <w:sz w:val="32"/>
          <w:szCs w:val="32"/>
          <w:highlight w:val="none"/>
        </w:rPr>
      </w:pPr>
    </w:p>
    <w:p w14:paraId="2E31E4C8">
      <w:pPr>
        <w:autoSpaceDE w:val="0"/>
        <w:autoSpaceDN w:val="0"/>
        <w:adjustRightInd w:val="0"/>
        <w:spacing w:line="480" w:lineRule="auto"/>
        <w:ind w:firstLine="556"/>
        <w:rPr>
          <w:rFonts w:hint="eastAsia" w:asciiTheme="minorEastAsia" w:hAnsiTheme="minorEastAsia" w:eastAsiaTheme="minorEastAsia"/>
          <w:bCs/>
          <w:color w:val="auto"/>
          <w:sz w:val="28"/>
          <w:szCs w:val="28"/>
          <w:highlight w:val="none"/>
          <w:lang w:val="zh-CN"/>
        </w:rPr>
      </w:pPr>
      <w:r>
        <w:rPr>
          <w:rFonts w:hint="eastAsia" w:asciiTheme="minorEastAsia" w:hAnsiTheme="minorEastAsia" w:eastAsiaTheme="minorEastAsia"/>
          <w:bCs/>
          <w:color w:val="auto"/>
          <w:sz w:val="28"/>
          <w:szCs w:val="28"/>
          <w:highlight w:val="none"/>
        </w:rPr>
        <w:t>第一部分  竞争性磋商</w:t>
      </w:r>
      <w:r>
        <w:rPr>
          <w:rFonts w:hint="eastAsia" w:asciiTheme="minorEastAsia" w:hAnsiTheme="minorEastAsia" w:eastAsiaTheme="minorEastAsia"/>
          <w:bCs/>
          <w:color w:val="auto"/>
          <w:sz w:val="28"/>
          <w:szCs w:val="28"/>
          <w:highlight w:val="none"/>
          <w:lang w:val="zh-CN"/>
        </w:rPr>
        <w:t>公告</w:t>
      </w:r>
    </w:p>
    <w:p w14:paraId="658CE73C">
      <w:pPr>
        <w:autoSpaceDE w:val="0"/>
        <w:autoSpaceDN w:val="0"/>
        <w:adjustRightInd w:val="0"/>
        <w:spacing w:line="480" w:lineRule="auto"/>
        <w:ind w:firstLine="556"/>
        <w:rPr>
          <w:rFonts w:hint="eastAsia" w:asciiTheme="minorEastAsia" w:hAnsiTheme="minorEastAsia" w:eastAsiaTheme="minorEastAsia"/>
          <w:bCs/>
          <w:color w:val="auto"/>
          <w:sz w:val="28"/>
          <w:szCs w:val="28"/>
          <w:highlight w:val="none"/>
          <w:lang w:val="zh-CN"/>
        </w:rPr>
      </w:pPr>
      <w:r>
        <w:rPr>
          <w:rFonts w:hint="eastAsia" w:asciiTheme="minorEastAsia" w:hAnsiTheme="minorEastAsia" w:eastAsiaTheme="minorEastAsia"/>
          <w:bCs/>
          <w:color w:val="auto"/>
          <w:sz w:val="28"/>
          <w:szCs w:val="28"/>
          <w:highlight w:val="none"/>
        </w:rPr>
        <w:t>第二部分  磋商</w:t>
      </w:r>
      <w:r>
        <w:rPr>
          <w:rFonts w:hint="eastAsia" w:asciiTheme="minorEastAsia" w:hAnsiTheme="minorEastAsia" w:eastAsiaTheme="minorEastAsia"/>
          <w:bCs/>
          <w:color w:val="auto"/>
          <w:sz w:val="28"/>
          <w:szCs w:val="28"/>
          <w:highlight w:val="none"/>
          <w:lang w:val="zh-CN"/>
        </w:rPr>
        <w:t>须知</w:t>
      </w:r>
    </w:p>
    <w:p w14:paraId="2BDA7156">
      <w:pPr>
        <w:autoSpaceDE w:val="0"/>
        <w:autoSpaceDN w:val="0"/>
        <w:adjustRightInd w:val="0"/>
        <w:spacing w:line="480" w:lineRule="auto"/>
        <w:ind w:firstLine="556"/>
        <w:rPr>
          <w:rFonts w:hint="eastAsia" w:asciiTheme="minorEastAsia" w:hAnsiTheme="minorEastAsia" w:eastAsiaTheme="minorEastAsia"/>
          <w:bCs/>
          <w:color w:val="auto"/>
          <w:sz w:val="28"/>
          <w:szCs w:val="28"/>
          <w:highlight w:val="none"/>
          <w:lang w:val="zh-CN"/>
        </w:rPr>
      </w:pPr>
      <w:r>
        <w:rPr>
          <w:rFonts w:hint="eastAsia" w:asciiTheme="minorEastAsia" w:hAnsiTheme="minorEastAsia" w:eastAsiaTheme="minorEastAsia"/>
          <w:bCs/>
          <w:color w:val="auto"/>
          <w:sz w:val="28"/>
          <w:szCs w:val="28"/>
          <w:highlight w:val="none"/>
        </w:rPr>
        <w:t xml:space="preserve">第三部分  </w:t>
      </w:r>
      <w:r>
        <w:rPr>
          <w:rFonts w:hint="eastAsia" w:asciiTheme="minorEastAsia" w:hAnsiTheme="minorEastAsia" w:eastAsiaTheme="minorEastAsia"/>
          <w:bCs/>
          <w:color w:val="auto"/>
          <w:sz w:val="28"/>
          <w:szCs w:val="28"/>
          <w:highlight w:val="none"/>
          <w:lang w:val="zh-CN"/>
        </w:rPr>
        <w:t>项目需求</w:t>
      </w:r>
    </w:p>
    <w:p w14:paraId="589C3ECE">
      <w:pPr>
        <w:autoSpaceDE w:val="0"/>
        <w:autoSpaceDN w:val="0"/>
        <w:adjustRightInd w:val="0"/>
        <w:spacing w:line="480" w:lineRule="auto"/>
        <w:ind w:firstLine="556"/>
        <w:rPr>
          <w:rFonts w:hint="eastAsia" w:asciiTheme="minorEastAsia" w:hAnsiTheme="minorEastAsia" w:eastAsiaTheme="minorEastAsia"/>
          <w:bCs/>
          <w:color w:val="auto"/>
          <w:sz w:val="28"/>
          <w:szCs w:val="28"/>
          <w:highlight w:val="none"/>
          <w:lang w:val="zh-CN"/>
        </w:rPr>
      </w:pPr>
      <w:r>
        <w:rPr>
          <w:rFonts w:hint="eastAsia" w:asciiTheme="minorEastAsia" w:hAnsiTheme="minorEastAsia" w:eastAsiaTheme="minorEastAsia"/>
          <w:bCs/>
          <w:color w:val="auto"/>
          <w:sz w:val="28"/>
          <w:szCs w:val="28"/>
          <w:highlight w:val="none"/>
        </w:rPr>
        <w:t>第四部分  磋商</w:t>
      </w:r>
      <w:r>
        <w:rPr>
          <w:rFonts w:hint="eastAsia" w:asciiTheme="minorEastAsia" w:hAnsiTheme="minorEastAsia" w:eastAsiaTheme="minorEastAsia"/>
          <w:bCs/>
          <w:color w:val="auto"/>
          <w:sz w:val="28"/>
          <w:szCs w:val="28"/>
          <w:highlight w:val="none"/>
          <w:lang w:val="zh-CN"/>
        </w:rPr>
        <w:t>程序和内容</w:t>
      </w:r>
    </w:p>
    <w:p w14:paraId="0453FDBA">
      <w:pPr>
        <w:autoSpaceDE w:val="0"/>
        <w:autoSpaceDN w:val="0"/>
        <w:adjustRightInd w:val="0"/>
        <w:spacing w:line="480" w:lineRule="auto"/>
        <w:ind w:firstLine="556"/>
        <w:rPr>
          <w:rFonts w:asciiTheme="minorEastAsia" w:hAnsiTheme="minorEastAsia" w:eastAsiaTheme="minorEastAsia"/>
          <w:bCs/>
          <w:color w:val="auto"/>
          <w:sz w:val="28"/>
          <w:szCs w:val="28"/>
          <w:highlight w:val="none"/>
        </w:rPr>
      </w:pPr>
      <w:r>
        <w:rPr>
          <w:rFonts w:hint="eastAsia" w:asciiTheme="minorEastAsia" w:hAnsiTheme="minorEastAsia" w:eastAsiaTheme="minorEastAsia"/>
          <w:bCs/>
          <w:color w:val="auto"/>
          <w:sz w:val="28"/>
          <w:szCs w:val="28"/>
          <w:highlight w:val="none"/>
        </w:rPr>
        <w:t>第五部分  合同签订与验收付款</w:t>
      </w:r>
    </w:p>
    <w:p w14:paraId="792D1720">
      <w:pPr>
        <w:autoSpaceDE w:val="0"/>
        <w:autoSpaceDN w:val="0"/>
        <w:adjustRightInd w:val="0"/>
        <w:spacing w:line="480" w:lineRule="auto"/>
        <w:ind w:firstLine="556"/>
        <w:rPr>
          <w:rFonts w:asciiTheme="minorEastAsia" w:hAnsiTheme="minorEastAsia" w:eastAsiaTheme="minorEastAsia"/>
          <w:bCs/>
          <w:color w:val="auto"/>
          <w:sz w:val="28"/>
          <w:szCs w:val="28"/>
          <w:highlight w:val="none"/>
        </w:rPr>
      </w:pPr>
      <w:r>
        <w:rPr>
          <w:rFonts w:hint="eastAsia" w:asciiTheme="minorEastAsia" w:hAnsiTheme="minorEastAsia" w:eastAsiaTheme="minorEastAsia"/>
          <w:bCs/>
          <w:color w:val="auto"/>
          <w:sz w:val="28"/>
          <w:szCs w:val="28"/>
          <w:highlight w:val="none"/>
        </w:rPr>
        <w:t>第六部分  质疑提出和处理</w:t>
      </w:r>
    </w:p>
    <w:p w14:paraId="0F4AC912">
      <w:pPr>
        <w:autoSpaceDE w:val="0"/>
        <w:autoSpaceDN w:val="0"/>
        <w:adjustRightInd w:val="0"/>
        <w:spacing w:line="480" w:lineRule="auto"/>
        <w:ind w:firstLine="556" w:firstLineChars="0"/>
        <w:rPr>
          <w:rFonts w:hint="eastAsia" w:asciiTheme="minorEastAsia" w:hAnsiTheme="minorEastAsia" w:eastAsiaTheme="minorEastAsia"/>
          <w:bCs/>
          <w:color w:val="auto"/>
          <w:spacing w:val="0"/>
          <w:sz w:val="28"/>
          <w:szCs w:val="28"/>
          <w:highlight w:val="none"/>
        </w:rPr>
      </w:pPr>
      <w:r>
        <w:rPr>
          <w:rFonts w:hint="eastAsia" w:asciiTheme="minorEastAsia" w:hAnsiTheme="minorEastAsia" w:eastAsiaTheme="minorEastAsia"/>
          <w:bCs/>
          <w:color w:val="auto"/>
          <w:sz w:val="28"/>
          <w:szCs w:val="28"/>
          <w:highlight w:val="none"/>
        </w:rPr>
        <w:t>第七部分  响应</w:t>
      </w:r>
      <w:r>
        <w:rPr>
          <w:rFonts w:hint="eastAsia" w:asciiTheme="minorEastAsia" w:hAnsiTheme="minorEastAsia" w:eastAsiaTheme="minorEastAsia"/>
          <w:bCs/>
          <w:color w:val="auto"/>
          <w:sz w:val="28"/>
          <w:szCs w:val="28"/>
          <w:highlight w:val="none"/>
          <w:lang w:val="zh-CN"/>
        </w:rPr>
        <w:t>文件</w:t>
      </w:r>
      <w:r>
        <w:rPr>
          <w:rFonts w:hint="eastAsia" w:asciiTheme="minorEastAsia" w:hAnsiTheme="minorEastAsia" w:eastAsiaTheme="minorEastAsia"/>
          <w:bCs/>
          <w:color w:val="auto"/>
          <w:sz w:val="28"/>
          <w:szCs w:val="28"/>
          <w:highlight w:val="none"/>
        </w:rPr>
        <w:t>组成</w:t>
      </w:r>
    </w:p>
    <w:p w14:paraId="2D947A82">
      <w:pPr>
        <w:autoSpaceDE w:val="0"/>
        <w:autoSpaceDN w:val="0"/>
        <w:adjustRightInd w:val="0"/>
        <w:snapToGrid w:val="0"/>
        <w:spacing w:line="300" w:lineRule="auto"/>
        <w:jc w:val="center"/>
        <w:outlineLvl w:val="0"/>
        <w:rPr>
          <w:rFonts w:asciiTheme="minorEastAsia" w:hAnsiTheme="minorEastAsia" w:eastAsiaTheme="minorEastAsia"/>
          <w:b/>
          <w:bCs/>
          <w:color w:val="auto"/>
          <w:sz w:val="36"/>
          <w:szCs w:val="36"/>
          <w:highlight w:val="none"/>
          <w:lang w:val="zh-CN"/>
        </w:rPr>
      </w:pPr>
      <w:r>
        <w:rPr>
          <w:rFonts w:ascii="仿宋_GB2312" w:eastAsia="仿宋_GB2312"/>
          <w:b/>
          <w:bCs/>
          <w:color w:val="auto"/>
          <w:sz w:val="36"/>
          <w:szCs w:val="36"/>
          <w:highlight w:val="none"/>
          <w:lang w:val="zh-CN"/>
        </w:rPr>
        <w:br w:type="page"/>
      </w:r>
      <w:r>
        <w:rPr>
          <w:rFonts w:hint="eastAsia" w:asciiTheme="minorEastAsia" w:hAnsiTheme="minorEastAsia" w:eastAsiaTheme="minorEastAsia"/>
          <w:b/>
          <w:bCs/>
          <w:color w:val="auto"/>
          <w:sz w:val="36"/>
          <w:szCs w:val="36"/>
          <w:highlight w:val="none"/>
          <w:lang w:val="zh-CN"/>
        </w:rPr>
        <w:t xml:space="preserve">第一部分  </w:t>
      </w:r>
      <w:bookmarkStart w:id="0" w:name="OLE_LINK1"/>
      <w:r>
        <w:rPr>
          <w:rFonts w:hint="eastAsia" w:asciiTheme="minorEastAsia" w:hAnsiTheme="minorEastAsia" w:eastAsiaTheme="minorEastAsia"/>
          <w:b/>
          <w:bCs/>
          <w:color w:val="auto"/>
          <w:sz w:val="36"/>
          <w:szCs w:val="36"/>
          <w:highlight w:val="none"/>
          <w:lang w:val="zh-CN"/>
        </w:rPr>
        <w:t>竞争性磋商公告</w:t>
      </w:r>
    </w:p>
    <w:p w14:paraId="7EF9845A">
      <w:pPr>
        <w:widowControl/>
        <w:shd w:val="clear" w:color="auto" w:fill="FFFFFF"/>
        <w:rPr>
          <w:rFonts w:ascii="Microsoft YaHei UI" w:hAnsi="Microsoft YaHei UI" w:eastAsia="Microsoft YaHei UI" w:cs="宋体"/>
          <w:color w:val="auto"/>
          <w:spacing w:val="7"/>
          <w:kern w:val="0"/>
          <w:sz w:val="23"/>
          <w:szCs w:val="23"/>
          <w:highlight w:val="none"/>
        </w:rPr>
      </w:pPr>
    </w:p>
    <w:p w14:paraId="02958284">
      <w:pPr>
        <w:snapToGrid w:val="0"/>
        <w:spacing w:line="480" w:lineRule="exact"/>
        <w:ind w:firstLine="480" w:firstLineChars="200"/>
        <w:rPr>
          <w:color w:val="auto"/>
          <w:sz w:val="24"/>
          <w:highlight w:val="none"/>
        </w:rPr>
      </w:pPr>
      <w:r>
        <w:rPr>
          <w:bCs/>
          <w:color w:val="auto"/>
          <w:sz w:val="24"/>
          <w:highlight w:val="none"/>
        </w:rPr>
        <w:t>项目概况</w:t>
      </w:r>
      <w:r>
        <w:rPr>
          <w:rFonts w:hint="eastAsia"/>
          <w:bCs/>
          <w:color w:val="auto"/>
          <w:sz w:val="24"/>
          <w:highlight w:val="none"/>
        </w:rPr>
        <w:t>：</w:t>
      </w:r>
      <w:r>
        <w:rPr>
          <w:rFonts w:hint="eastAsia"/>
          <w:b/>
          <w:bCs w:val="0"/>
          <w:color w:val="auto"/>
          <w:sz w:val="24"/>
          <w:highlight w:val="none"/>
          <w:u w:val="single"/>
          <w:lang w:val="en-US" w:eastAsia="zh-CN"/>
        </w:rPr>
        <w:t>南通报业新闻传媒中心幕墙维护保养项目（二次）</w:t>
      </w:r>
      <w:r>
        <w:rPr>
          <w:color w:val="auto"/>
          <w:sz w:val="24"/>
          <w:highlight w:val="none"/>
        </w:rPr>
        <w:t>的潜在</w:t>
      </w:r>
      <w:r>
        <w:rPr>
          <w:rFonts w:hint="eastAsia"/>
          <w:color w:val="auto"/>
          <w:sz w:val="24"/>
          <w:highlight w:val="none"/>
        </w:rPr>
        <w:t>供应商</w:t>
      </w:r>
      <w:r>
        <w:rPr>
          <w:color w:val="auto"/>
          <w:sz w:val="24"/>
          <w:highlight w:val="none"/>
        </w:rPr>
        <w:t>应</w:t>
      </w:r>
      <w:r>
        <w:rPr>
          <w:b w:val="0"/>
          <w:bCs w:val="0"/>
          <w:color w:val="auto"/>
          <w:sz w:val="24"/>
          <w:highlight w:val="none"/>
        </w:rPr>
        <w:t>在</w:t>
      </w:r>
      <w:r>
        <w:rPr>
          <w:rFonts w:hint="eastAsia"/>
          <w:b/>
          <w:bCs/>
          <w:color w:val="auto"/>
          <w:sz w:val="24"/>
          <w:highlight w:val="none"/>
          <w:u w:val="single"/>
          <w:lang w:val="en-US" w:eastAsia="zh-CN"/>
        </w:rPr>
        <w:t>南通网、南通市公共资源交易网</w:t>
      </w:r>
      <w:r>
        <w:rPr>
          <w:b w:val="0"/>
          <w:bCs w:val="0"/>
          <w:color w:val="auto"/>
          <w:sz w:val="24"/>
          <w:highlight w:val="none"/>
        </w:rPr>
        <w:t>获</w:t>
      </w:r>
      <w:r>
        <w:rPr>
          <w:color w:val="auto"/>
          <w:sz w:val="24"/>
          <w:highlight w:val="none"/>
        </w:rPr>
        <w:t>取</w:t>
      </w:r>
      <w:r>
        <w:rPr>
          <w:rFonts w:hint="eastAsia"/>
          <w:color w:val="auto"/>
          <w:sz w:val="24"/>
          <w:highlight w:val="none"/>
        </w:rPr>
        <w:t>采购</w:t>
      </w:r>
      <w:r>
        <w:rPr>
          <w:color w:val="auto"/>
          <w:sz w:val="24"/>
          <w:highlight w:val="none"/>
        </w:rPr>
        <w:t>文件，并于</w:t>
      </w:r>
      <w:r>
        <w:rPr>
          <w:rFonts w:hint="eastAsia"/>
          <w:b/>
          <w:bCs/>
          <w:color w:val="auto"/>
          <w:sz w:val="24"/>
          <w:highlight w:val="none"/>
          <w:u w:val="single"/>
        </w:rPr>
        <w:t>20</w:t>
      </w:r>
      <w:r>
        <w:rPr>
          <w:rFonts w:hint="eastAsia"/>
          <w:b/>
          <w:bCs/>
          <w:color w:val="auto"/>
          <w:sz w:val="24"/>
          <w:highlight w:val="none"/>
          <w:u w:val="single"/>
          <w:lang w:val="en-US" w:eastAsia="zh-CN"/>
        </w:rPr>
        <w:t>24</w:t>
      </w:r>
      <w:r>
        <w:rPr>
          <w:b/>
          <w:bCs/>
          <w:color w:val="auto"/>
          <w:sz w:val="24"/>
          <w:highlight w:val="none"/>
          <w:u w:val="single"/>
        </w:rPr>
        <w:t>年</w:t>
      </w:r>
      <w:r>
        <w:rPr>
          <w:rFonts w:hint="eastAsia"/>
          <w:b/>
          <w:bCs/>
          <w:color w:val="auto"/>
          <w:sz w:val="24"/>
          <w:highlight w:val="none"/>
          <w:u w:val="single"/>
          <w:lang w:val="en-US" w:eastAsia="zh-CN"/>
        </w:rPr>
        <w:t>12</w:t>
      </w:r>
      <w:r>
        <w:rPr>
          <w:b/>
          <w:bCs/>
          <w:color w:val="auto"/>
          <w:sz w:val="24"/>
          <w:highlight w:val="none"/>
          <w:u w:val="single"/>
        </w:rPr>
        <w:t>月</w:t>
      </w:r>
      <w:r>
        <w:rPr>
          <w:rFonts w:hint="eastAsia"/>
          <w:b/>
          <w:bCs/>
          <w:color w:val="auto"/>
          <w:sz w:val="24"/>
          <w:highlight w:val="none"/>
          <w:u w:val="single"/>
          <w:lang w:val="en-US" w:eastAsia="zh-CN"/>
        </w:rPr>
        <w:t>26</w:t>
      </w:r>
      <w:r>
        <w:rPr>
          <w:b/>
          <w:bCs/>
          <w:color w:val="auto"/>
          <w:sz w:val="24"/>
          <w:highlight w:val="none"/>
          <w:u w:val="single"/>
        </w:rPr>
        <w:t>日</w:t>
      </w:r>
      <w:r>
        <w:rPr>
          <w:rFonts w:hint="eastAsia"/>
          <w:b/>
          <w:bCs/>
          <w:color w:val="auto"/>
          <w:sz w:val="24"/>
          <w:highlight w:val="none"/>
          <w:u w:val="single"/>
          <w:lang w:val="en-US" w:eastAsia="zh-CN"/>
        </w:rPr>
        <w:t>14</w:t>
      </w:r>
      <w:r>
        <w:rPr>
          <w:b/>
          <w:bCs/>
          <w:color w:val="auto"/>
          <w:sz w:val="24"/>
          <w:highlight w:val="none"/>
          <w:u w:val="single"/>
        </w:rPr>
        <w:t>点</w:t>
      </w:r>
      <w:r>
        <w:rPr>
          <w:rFonts w:hint="eastAsia"/>
          <w:b/>
          <w:bCs/>
          <w:color w:val="auto"/>
          <w:sz w:val="24"/>
          <w:highlight w:val="none"/>
          <w:u w:val="single"/>
          <w:lang w:val="en-US" w:eastAsia="zh-CN"/>
        </w:rPr>
        <w:t>00</w:t>
      </w:r>
      <w:r>
        <w:rPr>
          <w:b/>
          <w:bCs/>
          <w:color w:val="auto"/>
          <w:sz w:val="24"/>
          <w:highlight w:val="none"/>
          <w:u w:val="single"/>
        </w:rPr>
        <w:t>分</w:t>
      </w:r>
      <w:r>
        <w:rPr>
          <w:color w:val="auto"/>
          <w:sz w:val="24"/>
          <w:highlight w:val="none"/>
        </w:rPr>
        <w:t>（北京时间）前递交</w:t>
      </w:r>
      <w:r>
        <w:rPr>
          <w:rFonts w:hint="eastAsia"/>
          <w:color w:val="auto"/>
          <w:sz w:val="24"/>
          <w:highlight w:val="none"/>
        </w:rPr>
        <w:t>响应</w:t>
      </w:r>
      <w:r>
        <w:rPr>
          <w:color w:val="auto"/>
          <w:sz w:val="24"/>
          <w:highlight w:val="none"/>
        </w:rPr>
        <w:t>文件。</w:t>
      </w:r>
    </w:p>
    <w:p w14:paraId="37A16939">
      <w:pPr>
        <w:snapToGrid w:val="0"/>
        <w:spacing w:line="480" w:lineRule="exact"/>
        <w:ind w:firstLine="482" w:firstLineChars="200"/>
        <w:rPr>
          <w:b/>
          <w:color w:val="auto"/>
          <w:sz w:val="24"/>
          <w:highlight w:val="none"/>
        </w:rPr>
      </w:pPr>
      <w:r>
        <w:rPr>
          <w:b/>
          <w:color w:val="auto"/>
          <w:sz w:val="24"/>
          <w:highlight w:val="none"/>
        </w:rPr>
        <w:t xml:space="preserve"> 一、项目基本情况</w:t>
      </w:r>
    </w:p>
    <w:p w14:paraId="6445B086">
      <w:pPr>
        <w:snapToGrid w:val="0"/>
        <w:spacing w:line="480" w:lineRule="exact"/>
        <w:ind w:firstLine="480" w:firstLineChars="200"/>
        <w:rPr>
          <w:rFonts w:hint="default" w:eastAsia="宋体"/>
          <w:color w:val="auto"/>
          <w:sz w:val="24"/>
          <w:highlight w:val="none"/>
          <w:lang w:val="en-US" w:eastAsia="zh-CN"/>
        </w:rPr>
      </w:pPr>
      <w:r>
        <w:rPr>
          <w:color w:val="auto"/>
          <w:sz w:val="24"/>
          <w:highlight w:val="none"/>
        </w:rPr>
        <w:t>项目编号：</w:t>
      </w:r>
      <w:r>
        <w:rPr>
          <w:rFonts w:hint="eastAsia"/>
          <w:color w:val="auto"/>
          <w:sz w:val="24"/>
          <w:highlight w:val="none"/>
          <w:lang w:val="en-US" w:eastAsia="zh-CN"/>
        </w:rPr>
        <w:t>HSNT202438</w:t>
      </w:r>
    </w:p>
    <w:p w14:paraId="14F91AD9">
      <w:pPr>
        <w:snapToGrid w:val="0"/>
        <w:spacing w:line="480" w:lineRule="exact"/>
        <w:ind w:firstLine="480" w:firstLineChars="200"/>
        <w:rPr>
          <w:rFonts w:hint="eastAsia"/>
          <w:color w:val="auto"/>
          <w:sz w:val="24"/>
          <w:highlight w:val="none"/>
          <w:lang w:val="en-US" w:eastAsia="zh-CN"/>
        </w:rPr>
      </w:pPr>
      <w:r>
        <w:rPr>
          <w:color w:val="auto"/>
          <w:sz w:val="24"/>
          <w:highlight w:val="none"/>
        </w:rPr>
        <w:t>项目名称：</w:t>
      </w:r>
      <w:r>
        <w:rPr>
          <w:rFonts w:hint="eastAsia"/>
          <w:color w:val="auto"/>
          <w:sz w:val="24"/>
          <w:highlight w:val="none"/>
          <w:lang w:val="en-US" w:eastAsia="zh-CN"/>
        </w:rPr>
        <w:t>南通报业新闻传媒中心幕墙维护保养项目（二次）</w:t>
      </w:r>
    </w:p>
    <w:p w14:paraId="2BDBA7EE">
      <w:pPr>
        <w:snapToGrid w:val="0"/>
        <w:spacing w:line="480" w:lineRule="exact"/>
        <w:ind w:firstLine="480" w:firstLineChars="200"/>
        <w:rPr>
          <w:color w:val="auto"/>
          <w:sz w:val="24"/>
          <w:highlight w:val="none"/>
        </w:rPr>
      </w:pPr>
      <w:r>
        <w:rPr>
          <w:rFonts w:hint="eastAsia"/>
          <w:color w:val="auto"/>
          <w:sz w:val="24"/>
          <w:highlight w:val="none"/>
        </w:rPr>
        <w:t>采购方式：竞争性磋商</w:t>
      </w:r>
    </w:p>
    <w:p w14:paraId="6AB5A7C2">
      <w:pPr>
        <w:snapToGrid w:val="0"/>
        <w:spacing w:line="480" w:lineRule="exact"/>
        <w:ind w:firstLine="480" w:firstLineChars="200"/>
        <w:rPr>
          <w:rFonts w:hint="default" w:eastAsia="宋体"/>
          <w:color w:val="auto"/>
          <w:sz w:val="24"/>
          <w:highlight w:val="none"/>
          <w:lang w:val="en-US" w:eastAsia="zh-CN"/>
        </w:rPr>
      </w:pPr>
      <w:r>
        <w:rPr>
          <w:color w:val="auto"/>
          <w:sz w:val="24"/>
          <w:highlight w:val="none"/>
        </w:rPr>
        <w:t>预算金额：</w:t>
      </w:r>
      <w:r>
        <w:rPr>
          <w:rFonts w:hint="eastAsia"/>
          <w:color w:val="auto"/>
          <w:sz w:val="24"/>
          <w:highlight w:val="none"/>
          <w:lang w:val="en-US" w:eastAsia="zh-CN"/>
        </w:rPr>
        <w:t>75</w:t>
      </w:r>
      <w:r>
        <w:rPr>
          <w:rFonts w:hint="eastAsia"/>
          <w:color w:val="auto"/>
          <w:sz w:val="24"/>
          <w:highlight w:val="none"/>
        </w:rPr>
        <w:t>万元</w:t>
      </w:r>
      <w:r>
        <w:rPr>
          <w:rFonts w:hint="eastAsia"/>
          <w:color w:val="auto"/>
          <w:sz w:val="24"/>
          <w:highlight w:val="none"/>
          <w:lang w:val="en-US" w:eastAsia="zh-CN"/>
        </w:rPr>
        <w:t>/3年</w:t>
      </w:r>
    </w:p>
    <w:p w14:paraId="0937322F">
      <w:pPr>
        <w:snapToGrid w:val="0"/>
        <w:spacing w:line="480" w:lineRule="exact"/>
        <w:ind w:firstLine="480" w:firstLineChars="200"/>
        <w:rPr>
          <w:color w:val="auto"/>
          <w:sz w:val="24"/>
          <w:highlight w:val="none"/>
        </w:rPr>
      </w:pPr>
      <w:r>
        <w:rPr>
          <w:rFonts w:hint="eastAsia"/>
          <w:color w:val="auto"/>
          <w:sz w:val="24"/>
          <w:highlight w:val="none"/>
        </w:rPr>
        <w:t>最高限价：</w:t>
      </w:r>
      <w:r>
        <w:rPr>
          <w:rFonts w:hint="eastAsia"/>
          <w:color w:val="auto"/>
          <w:sz w:val="24"/>
          <w:highlight w:val="none"/>
          <w:lang w:val="en-US" w:eastAsia="zh-CN"/>
        </w:rPr>
        <w:t>75</w:t>
      </w:r>
      <w:r>
        <w:rPr>
          <w:rFonts w:hint="eastAsia"/>
          <w:color w:val="auto"/>
          <w:sz w:val="24"/>
          <w:highlight w:val="none"/>
        </w:rPr>
        <w:t>万元/3年</w:t>
      </w:r>
    </w:p>
    <w:p w14:paraId="278A5F25">
      <w:pPr>
        <w:snapToGrid w:val="0"/>
        <w:spacing w:line="480" w:lineRule="exact"/>
        <w:ind w:firstLine="480" w:firstLineChars="200"/>
        <w:rPr>
          <w:color w:val="auto"/>
          <w:sz w:val="24"/>
          <w:highlight w:val="none"/>
        </w:rPr>
      </w:pPr>
      <w:r>
        <w:rPr>
          <w:color w:val="auto"/>
          <w:sz w:val="24"/>
          <w:highlight w:val="none"/>
        </w:rPr>
        <w:t>采购需求：详见</w:t>
      </w:r>
      <w:r>
        <w:rPr>
          <w:color w:val="auto"/>
          <w:spacing w:val="7"/>
          <w:kern w:val="0"/>
          <w:sz w:val="24"/>
          <w:highlight w:val="none"/>
        </w:rPr>
        <w:t>第三部分</w:t>
      </w:r>
      <w:r>
        <w:rPr>
          <w:color w:val="auto"/>
          <w:sz w:val="24"/>
          <w:highlight w:val="none"/>
        </w:rPr>
        <w:t>项目需求。</w:t>
      </w:r>
    </w:p>
    <w:p w14:paraId="3B2D0938">
      <w:pPr>
        <w:snapToGrid w:val="0"/>
        <w:spacing w:line="480" w:lineRule="exact"/>
        <w:ind w:firstLine="508" w:firstLineChars="200"/>
        <w:rPr>
          <w:color w:val="auto"/>
          <w:sz w:val="24"/>
          <w:highlight w:val="none"/>
        </w:rPr>
      </w:pPr>
      <w:r>
        <w:rPr>
          <w:rFonts w:hint="eastAsia" w:ascii="宋体" w:hAnsi="宋体"/>
          <w:color w:val="auto"/>
          <w:spacing w:val="7"/>
          <w:kern w:val="0"/>
          <w:sz w:val="24"/>
          <w:highlight w:val="none"/>
          <w:shd w:val="clear" w:color="auto" w:fill="FFFFFF"/>
          <w:lang w:val="en-US" w:eastAsia="zh-CN"/>
        </w:rPr>
        <w:t>本项目服务期限：3年，服务期内对幕墙内部结构进行日常维护，每月不少于两次巡查。特殊季节或遇特殊天气需驻场服务，具体</w:t>
      </w:r>
      <w:r>
        <w:rPr>
          <w:color w:val="auto"/>
          <w:sz w:val="24"/>
          <w:highlight w:val="none"/>
        </w:rPr>
        <w:t>详见</w:t>
      </w:r>
      <w:r>
        <w:rPr>
          <w:color w:val="auto"/>
          <w:spacing w:val="7"/>
          <w:kern w:val="0"/>
          <w:sz w:val="24"/>
          <w:highlight w:val="none"/>
        </w:rPr>
        <w:t>第三部分</w:t>
      </w:r>
      <w:r>
        <w:rPr>
          <w:color w:val="auto"/>
          <w:sz w:val="24"/>
          <w:highlight w:val="none"/>
        </w:rPr>
        <w:t>项目需求。</w:t>
      </w:r>
    </w:p>
    <w:p w14:paraId="409225FB">
      <w:pPr>
        <w:snapToGrid w:val="0"/>
        <w:spacing w:line="480" w:lineRule="exact"/>
        <w:ind w:firstLine="480" w:firstLineChars="200"/>
        <w:rPr>
          <w:color w:val="auto"/>
          <w:sz w:val="24"/>
          <w:highlight w:val="none"/>
        </w:rPr>
      </w:pPr>
      <w:r>
        <w:rPr>
          <w:color w:val="auto"/>
          <w:sz w:val="24"/>
          <w:highlight w:val="none"/>
        </w:rPr>
        <w:t>本项目不接受联合体</w:t>
      </w:r>
      <w:r>
        <w:rPr>
          <w:rFonts w:hint="eastAsia"/>
          <w:color w:val="auto"/>
          <w:sz w:val="24"/>
          <w:highlight w:val="none"/>
        </w:rPr>
        <w:t>响应</w:t>
      </w:r>
      <w:r>
        <w:rPr>
          <w:color w:val="auto"/>
          <w:sz w:val="24"/>
          <w:highlight w:val="none"/>
        </w:rPr>
        <w:t>。</w:t>
      </w:r>
    </w:p>
    <w:p w14:paraId="3175605E">
      <w:pPr>
        <w:snapToGrid w:val="0"/>
        <w:spacing w:line="480" w:lineRule="exact"/>
        <w:ind w:firstLine="482" w:firstLineChars="200"/>
        <w:rPr>
          <w:b/>
          <w:color w:val="auto"/>
          <w:sz w:val="24"/>
          <w:highlight w:val="none"/>
        </w:rPr>
      </w:pPr>
      <w:r>
        <w:rPr>
          <w:b/>
          <w:color w:val="auto"/>
          <w:sz w:val="24"/>
          <w:highlight w:val="none"/>
        </w:rPr>
        <w:t>二、申请人的资格要求：</w:t>
      </w:r>
    </w:p>
    <w:p w14:paraId="6AFA63BD">
      <w:pPr>
        <w:snapToGrid w:val="0"/>
        <w:spacing w:line="480" w:lineRule="exact"/>
        <w:ind w:firstLine="480" w:firstLineChars="200"/>
        <w:rPr>
          <w:color w:val="auto"/>
          <w:sz w:val="24"/>
          <w:highlight w:val="none"/>
        </w:rPr>
      </w:pPr>
      <w:r>
        <w:rPr>
          <w:rFonts w:hint="eastAsia"/>
          <w:color w:val="auto"/>
          <w:sz w:val="24"/>
          <w:highlight w:val="none"/>
        </w:rPr>
        <w:t>1.</w:t>
      </w:r>
      <w:r>
        <w:rPr>
          <w:rFonts w:hint="eastAsia"/>
          <w:color w:val="auto"/>
          <w:sz w:val="24"/>
          <w:highlight w:val="none"/>
          <w:lang w:val="en-US" w:eastAsia="zh-CN"/>
        </w:rPr>
        <w:t>供应商</w:t>
      </w:r>
      <w:r>
        <w:rPr>
          <w:rFonts w:hint="eastAsia"/>
          <w:color w:val="auto"/>
          <w:sz w:val="24"/>
          <w:highlight w:val="none"/>
        </w:rPr>
        <w:t>须为在中华人民共和国境内注册，具有独立承担民事责任能力的主体；具有良好的商业信誉和健全的财务会计制度；具有履行合同所必需的设备和专业技术能力</w:t>
      </w:r>
      <w:r>
        <w:rPr>
          <w:rFonts w:hint="eastAsia"/>
          <w:color w:val="auto"/>
          <w:sz w:val="24"/>
          <w:highlight w:val="none"/>
          <w:lang w:eastAsia="zh-CN"/>
        </w:rPr>
        <w:t>；具</w:t>
      </w:r>
      <w:r>
        <w:rPr>
          <w:rFonts w:hint="eastAsia"/>
          <w:color w:val="auto"/>
          <w:sz w:val="24"/>
          <w:highlight w:val="none"/>
        </w:rPr>
        <w:t>有依法缴纳税收和社会保障资金的良好记录；参加采购活动前三年内，在经营活动中没有重大违法记录；</w:t>
      </w:r>
    </w:p>
    <w:p w14:paraId="1A50F0CC">
      <w:pPr>
        <w:snapToGrid w:val="0"/>
        <w:spacing w:line="480" w:lineRule="exact"/>
        <w:ind w:firstLine="480" w:firstLineChars="200"/>
        <w:rPr>
          <w:color w:val="auto"/>
          <w:sz w:val="24"/>
          <w:highlight w:val="none"/>
        </w:rPr>
      </w:pPr>
      <w:r>
        <w:rPr>
          <w:rFonts w:hint="eastAsia"/>
          <w:color w:val="auto"/>
          <w:sz w:val="24"/>
          <w:highlight w:val="none"/>
        </w:rPr>
        <w:t>2.未被“信用中国”网站（www.creditchina.gov.cn）列入失信被执行人、重大税收违法案件当事人名单；</w:t>
      </w:r>
    </w:p>
    <w:p w14:paraId="6046D133">
      <w:pPr>
        <w:snapToGrid w:val="0"/>
        <w:spacing w:line="480" w:lineRule="exact"/>
        <w:ind w:firstLine="482" w:firstLineChars="200"/>
        <w:rPr>
          <w:rFonts w:hint="eastAsia" w:eastAsia="宋体"/>
          <w:b/>
          <w:bCs/>
          <w:color w:val="auto"/>
          <w:sz w:val="24"/>
          <w:highlight w:val="none"/>
          <w:u w:val="single"/>
          <w:lang w:eastAsia="zh-CN"/>
        </w:rPr>
      </w:pPr>
      <w:r>
        <w:rPr>
          <w:rFonts w:hint="eastAsia"/>
          <w:b/>
          <w:bCs/>
          <w:color w:val="auto"/>
          <w:sz w:val="24"/>
          <w:highlight w:val="none"/>
        </w:rPr>
        <w:t>3.本项目的特定资格要求：</w:t>
      </w:r>
      <w:r>
        <w:rPr>
          <w:rFonts w:hint="eastAsia"/>
          <w:b/>
          <w:bCs/>
          <w:color w:val="auto"/>
          <w:sz w:val="24"/>
          <w:highlight w:val="none"/>
          <w:u w:val="single"/>
          <w:lang w:val="en-US" w:eastAsia="zh-CN"/>
        </w:rPr>
        <w:t>投标人自2021年6月1日以来（以合同签订时间为准）承担过玻璃幕墙施工</w:t>
      </w:r>
      <w:r>
        <w:rPr>
          <w:rFonts w:hint="eastAsia"/>
          <w:b/>
          <w:bCs/>
          <w:color w:val="auto"/>
          <w:sz w:val="24"/>
          <w:highlight w:val="none"/>
          <w:u w:val="single"/>
        </w:rPr>
        <w:t>或维保业绩，提供合同及对应业绩发票复印件</w:t>
      </w:r>
      <w:r>
        <w:rPr>
          <w:rFonts w:hint="eastAsia"/>
          <w:b/>
          <w:bCs/>
          <w:color w:val="auto"/>
          <w:sz w:val="24"/>
          <w:highlight w:val="none"/>
          <w:u w:val="single"/>
          <w:lang w:eastAsia="zh-CN"/>
        </w:rPr>
        <w:t>。</w:t>
      </w:r>
    </w:p>
    <w:p w14:paraId="59DCD321">
      <w:pPr>
        <w:snapToGrid w:val="0"/>
        <w:spacing w:line="480" w:lineRule="exact"/>
        <w:ind w:firstLine="482" w:firstLineChars="200"/>
        <w:rPr>
          <w:b/>
          <w:color w:val="auto"/>
          <w:sz w:val="24"/>
          <w:highlight w:val="none"/>
        </w:rPr>
      </w:pPr>
      <w:r>
        <w:rPr>
          <w:b/>
          <w:color w:val="auto"/>
          <w:sz w:val="24"/>
          <w:highlight w:val="none"/>
        </w:rPr>
        <w:t>三、获取</w:t>
      </w:r>
      <w:r>
        <w:rPr>
          <w:rFonts w:hint="eastAsia"/>
          <w:b/>
          <w:color w:val="auto"/>
          <w:sz w:val="24"/>
          <w:highlight w:val="none"/>
        </w:rPr>
        <w:t>采购</w:t>
      </w:r>
      <w:r>
        <w:rPr>
          <w:b/>
          <w:color w:val="auto"/>
          <w:sz w:val="24"/>
          <w:highlight w:val="none"/>
        </w:rPr>
        <w:t>文件</w:t>
      </w:r>
    </w:p>
    <w:p w14:paraId="3AAF6A55">
      <w:pPr>
        <w:snapToGrid w:val="0"/>
        <w:spacing w:line="480" w:lineRule="exact"/>
        <w:ind w:firstLine="482" w:firstLineChars="200"/>
        <w:rPr>
          <w:b/>
          <w:bCs/>
          <w:color w:val="auto"/>
          <w:sz w:val="24"/>
          <w:highlight w:val="none"/>
        </w:rPr>
      </w:pPr>
      <w:r>
        <w:rPr>
          <w:b/>
          <w:bCs/>
          <w:color w:val="auto"/>
          <w:sz w:val="24"/>
          <w:highlight w:val="none"/>
        </w:rPr>
        <w:t>时间：</w:t>
      </w:r>
      <w:r>
        <w:rPr>
          <w:rFonts w:hint="eastAsia"/>
          <w:b/>
          <w:bCs/>
          <w:color w:val="auto"/>
          <w:sz w:val="24"/>
          <w:highlight w:val="none"/>
          <w:u w:val="single"/>
          <w:lang w:val="en-US" w:eastAsia="zh-CN"/>
        </w:rPr>
        <w:t>公告发布之日起五个工作日</w:t>
      </w:r>
      <w:r>
        <w:rPr>
          <w:b/>
          <w:bCs/>
          <w:color w:val="auto"/>
          <w:sz w:val="24"/>
          <w:highlight w:val="none"/>
        </w:rPr>
        <w:t>。</w:t>
      </w:r>
    </w:p>
    <w:p w14:paraId="6D92A745">
      <w:pPr>
        <w:snapToGrid w:val="0"/>
        <w:spacing w:line="480" w:lineRule="exact"/>
        <w:ind w:firstLine="482" w:firstLineChars="200"/>
        <w:rPr>
          <w:rFonts w:hint="default" w:eastAsia="宋体"/>
          <w:b/>
          <w:bCs/>
          <w:color w:val="auto"/>
          <w:sz w:val="24"/>
          <w:highlight w:val="none"/>
          <w:lang w:val="en-US" w:eastAsia="zh-CN"/>
        </w:rPr>
      </w:pPr>
      <w:r>
        <w:rPr>
          <w:rFonts w:hint="eastAsia"/>
          <w:b/>
          <w:bCs/>
          <w:color w:val="auto"/>
          <w:sz w:val="24"/>
          <w:highlight w:val="none"/>
        </w:rPr>
        <w:t>地点：南通网</w:t>
      </w:r>
      <w:r>
        <w:rPr>
          <w:rFonts w:hint="eastAsia"/>
          <w:b/>
          <w:bCs/>
          <w:color w:val="auto"/>
          <w:sz w:val="24"/>
          <w:highlight w:val="none"/>
          <w:lang w:eastAsia="zh-CN"/>
        </w:rPr>
        <w:t>、</w:t>
      </w:r>
      <w:r>
        <w:rPr>
          <w:rFonts w:hint="eastAsia"/>
          <w:b/>
          <w:bCs/>
          <w:color w:val="auto"/>
          <w:sz w:val="24"/>
          <w:highlight w:val="none"/>
          <w:lang w:val="en-US" w:eastAsia="zh-CN"/>
        </w:rPr>
        <w:t>南通市公共资源交易网</w:t>
      </w:r>
    </w:p>
    <w:p w14:paraId="46052DC0">
      <w:pPr>
        <w:snapToGrid w:val="0"/>
        <w:spacing w:line="480" w:lineRule="exact"/>
        <w:ind w:firstLine="482" w:firstLineChars="200"/>
        <w:rPr>
          <w:rFonts w:hint="default" w:eastAsia="宋体"/>
          <w:b/>
          <w:bCs/>
          <w:color w:val="auto"/>
          <w:sz w:val="24"/>
          <w:highlight w:val="none"/>
          <w:lang w:val="en-US" w:eastAsia="zh-CN"/>
        </w:rPr>
      </w:pPr>
      <w:r>
        <w:rPr>
          <w:rFonts w:hint="eastAsia"/>
          <w:b/>
          <w:bCs/>
          <w:color w:val="auto"/>
          <w:sz w:val="24"/>
          <w:highlight w:val="none"/>
        </w:rPr>
        <w:t>方式：</w:t>
      </w:r>
      <w:r>
        <w:rPr>
          <w:rFonts w:hint="eastAsia"/>
          <w:b/>
          <w:bCs/>
          <w:color w:val="auto"/>
          <w:sz w:val="24"/>
          <w:highlight w:val="none"/>
          <w:lang w:val="en-US" w:eastAsia="zh-CN"/>
        </w:rPr>
        <w:t>自行下载</w:t>
      </w:r>
    </w:p>
    <w:p w14:paraId="6D0BB673">
      <w:pPr>
        <w:snapToGrid w:val="0"/>
        <w:spacing w:line="480" w:lineRule="exact"/>
        <w:ind w:firstLine="482" w:firstLineChars="200"/>
        <w:rPr>
          <w:rFonts w:hint="default" w:eastAsia="宋体"/>
          <w:b/>
          <w:bCs/>
          <w:color w:val="auto"/>
          <w:sz w:val="24"/>
          <w:highlight w:val="none"/>
          <w:lang w:val="en-US" w:eastAsia="zh-CN"/>
        </w:rPr>
      </w:pPr>
      <w:r>
        <w:rPr>
          <w:b/>
          <w:bCs/>
          <w:color w:val="auto"/>
          <w:sz w:val="24"/>
          <w:highlight w:val="none"/>
        </w:rPr>
        <w:t>售价：</w:t>
      </w:r>
      <w:r>
        <w:rPr>
          <w:rFonts w:hint="eastAsia"/>
          <w:b/>
          <w:bCs/>
          <w:color w:val="auto"/>
          <w:sz w:val="24"/>
          <w:highlight w:val="none"/>
          <w:lang w:val="en-US" w:eastAsia="zh-CN"/>
        </w:rPr>
        <w:t>免费</w:t>
      </w:r>
    </w:p>
    <w:p w14:paraId="310EDF35">
      <w:pPr>
        <w:snapToGrid w:val="0"/>
        <w:spacing w:line="480" w:lineRule="exact"/>
        <w:ind w:firstLine="482" w:firstLineChars="200"/>
        <w:rPr>
          <w:b/>
          <w:color w:val="auto"/>
          <w:sz w:val="24"/>
          <w:highlight w:val="none"/>
        </w:rPr>
      </w:pPr>
      <w:r>
        <w:rPr>
          <w:b/>
          <w:color w:val="auto"/>
          <w:sz w:val="24"/>
          <w:highlight w:val="none"/>
        </w:rPr>
        <w:t>四、</w:t>
      </w:r>
      <w:r>
        <w:rPr>
          <w:rFonts w:hint="eastAsia"/>
          <w:b/>
          <w:color w:val="auto"/>
          <w:sz w:val="24"/>
          <w:highlight w:val="none"/>
        </w:rPr>
        <w:t>响应</w:t>
      </w:r>
      <w:r>
        <w:rPr>
          <w:b/>
          <w:color w:val="auto"/>
          <w:sz w:val="24"/>
          <w:highlight w:val="none"/>
        </w:rPr>
        <w:t>文件</w:t>
      </w:r>
      <w:r>
        <w:rPr>
          <w:rFonts w:hint="eastAsia"/>
          <w:b/>
          <w:color w:val="auto"/>
          <w:sz w:val="24"/>
          <w:highlight w:val="none"/>
        </w:rPr>
        <w:t>提交</w:t>
      </w:r>
    </w:p>
    <w:p w14:paraId="7FD2366A">
      <w:pPr>
        <w:snapToGrid w:val="0"/>
        <w:spacing w:line="480" w:lineRule="exact"/>
        <w:ind w:firstLine="480" w:firstLineChars="200"/>
        <w:rPr>
          <w:color w:val="auto"/>
          <w:sz w:val="24"/>
          <w:highlight w:val="none"/>
        </w:rPr>
      </w:pPr>
      <w:r>
        <w:rPr>
          <w:rFonts w:hint="eastAsia"/>
          <w:color w:val="auto"/>
          <w:sz w:val="24"/>
          <w:highlight w:val="none"/>
        </w:rPr>
        <w:t>截止时间：</w:t>
      </w:r>
      <w:r>
        <w:rPr>
          <w:rFonts w:hint="eastAsia"/>
          <w:b/>
          <w:bCs/>
          <w:color w:val="auto"/>
          <w:sz w:val="24"/>
          <w:highlight w:val="none"/>
          <w:u w:val="single"/>
        </w:rPr>
        <w:t>202</w:t>
      </w:r>
      <w:r>
        <w:rPr>
          <w:rFonts w:hint="eastAsia"/>
          <w:b/>
          <w:bCs/>
          <w:color w:val="auto"/>
          <w:sz w:val="24"/>
          <w:highlight w:val="none"/>
          <w:u w:val="single"/>
          <w:lang w:val="en-US" w:eastAsia="zh-CN"/>
        </w:rPr>
        <w:t>4</w:t>
      </w:r>
      <w:r>
        <w:rPr>
          <w:b/>
          <w:bCs/>
          <w:color w:val="auto"/>
          <w:sz w:val="24"/>
          <w:highlight w:val="none"/>
          <w:u w:val="single"/>
        </w:rPr>
        <w:t>年</w:t>
      </w:r>
      <w:r>
        <w:rPr>
          <w:rFonts w:hint="eastAsia"/>
          <w:b/>
          <w:bCs/>
          <w:color w:val="auto"/>
          <w:sz w:val="24"/>
          <w:highlight w:val="none"/>
          <w:u w:val="single"/>
          <w:lang w:val="en-US" w:eastAsia="zh-CN"/>
        </w:rPr>
        <w:t>12</w:t>
      </w:r>
      <w:r>
        <w:rPr>
          <w:b/>
          <w:bCs/>
          <w:color w:val="auto"/>
          <w:sz w:val="24"/>
          <w:highlight w:val="none"/>
          <w:u w:val="single"/>
        </w:rPr>
        <w:t>月</w:t>
      </w:r>
      <w:r>
        <w:rPr>
          <w:rFonts w:hint="eastAsia"/>
          <w:b/>
          <w:bCs/>
          <w:color w:val="auto"/>
          <w:sz w:val="24"/>
          <w:highlight w:val="none"/>
          <w:u w:val="single"/>
          <w:lang w:val="en-US" w:eastAsia="zh-CN"/>
        </w:rPr>
        <w:t>26</w:t>
      </w:r>
      <w:r>
        <w:rPr>
          <w:b/>
          <w:bCs/>
          <w:color w:val="auto"/>
          <w:sz w:val="24"/>
          <w:highlight w:val="none"/>
          <w:u w:val="single"/>
        </w:rPr>
        <w:t>日</w:t>
      </w:r>
      <w:r>
        <w:rPr>
          <w:rFonts w:hint="eastAsia"/>
          <w:b/>
          <w:bCs/>
          <w:color w:val="auto"/>
          <w:sz w:val="24"/>
          <w:highlight w:val="none"/>
          <w:u w:val="single"/>
          <w:lang w:val="en-US" w:eastAsia="zh-CN"/>
        </w:rPr>
        <w:t>14</w:t>
      </w:r>
      <w:r>
        <w:rPr>
          <w:b/>
          <w:bCs/>
          <w:color w:val="auto"/>
          <w:sz w:val="24"/>
          <w:highlight w:val="none"/>
          <w:u w:val="single"/>
        </w:rPr>
        <w:t>点</w:t>
      </w:r>
      <w:r>
        <w:rPr>
          <w:rFonts w:hint="eastAsia"/>
          <w:b/>
          <w:bCs/>
          <w:color w:val="auto"/>
          <w:sz w:val="24"/>
          <w:highlight w:val="none"/>
          <w:u w:val="single"/>
          <w:lang w:val="en-US" w:eastAsia="zh-CN"/>
        </w:rPr>
        <w:t>00</w:t>
      </w:r>
      <w:r>
        <w:rPr>
          <w:b/>
          <w:bCs/>
          <w:color w:val="auto"/>
          <w:sz w:val="24"/>
          <w:highlight w:val="none"/>
          <w:u w:val="single"/>
        </w:rPr>
        <w:t>分</w:t>
      </w:r>
      <w:r>
        <w:rPr>
          <w:rFonts w:hint="eastAsia"/>
          <w:b/>
          <w:bCs/>
          <w:color w:val="auto"/>
          <w:sz w:val="24"/>
          <w:highlight w:val="none"/>
          <w:u w:val="single"/>
          <w:lang w:val="en-US" w:eastAsia="zh-CN"/>
        </w:rPr>
        <w:t>00秒</w:t>
      </w:r>
      <w:r>
        <w:rPr>
          <w:color w:val="auto"/>
          <w:sz w:val="24"/>
          <w:highlight w:val="none"/>
        </w:rPr>
        <w:t>（北京时间）</w:t>
      </w:r>
      <w:r>
        <w:rPr>
          <w:rFonts w:hint="eastAsia"/>
          <w:color w:val="auto"/>
          <w:sz w:val="24"/>
          <w:highlight w:val="none"/>
        </w:rPr>
        <w:t>，</w:t>
      </w:r>
      <w:r>
        <w:rPr>
          <w:color w:val="auto"/>
          <w:sz w:val="24"/>
          <w:highlight w:val="none"/>
        </w:rPr>
        <w:t>逾时拒绝接收</w:t>
      </w:r>
      <w:r>
        <w:rPr>
          <w:rFonts w:hint="eastAsia"/>
          <w:color w:val="auto"/>
          <w:sz w:val="24"/>
          <w:highlight w:val="none"/>
        </w:rPr>
        <w:t>磋商</w:t>
      </w:r>
      <w:r>
        <w:rPr>
          <w:color w:val="auto"/>
          <w:sz w:val="24"/>
          <w:highlight w:val="none"/>
        </w:rPr>
        <w:t>响应文件</w:t>
      </w:r>
      <w:r>
        <w:rPr>
          <w:rFonts w:hint="eastAsia"/>
          <w:color w:val="auto"/>
          <w:sz w:val="24"/>
          <w:highlight w:val="none"/>
        </w:rPr>
        <w:t>。</w:t>
      </w:r>
    </w:p>
    <w:p w14:paraId="21F2ED72">
      <w:pPr>
        <w:snapToGrid w:val="0"/>
        <w:spacing w:line="480" w:lineRule="exact"/>
        <w:ind w:firstLine="480" w:firstLineChars="200"/>
        <w:rPr>
          <w:color w:val="auto"/>
          <w:sz w:val="24"/>
          <w:highlight w:val="none"/>
        </w:rPr>
      </w:pPr>
      <w:r>
        <w:rPr>
          <w:color w:val="auto"/>
          <w:sz w:val="24"/>
          <w:highlight w:val="none"/>
        </w:rPr>
        <w:t>地点：</w:t>
      </w:r>
      <w:r>
        <w:rPr>
          <w:rFonts w:hint="eastAsia"/>
          <w:b/>
          <w:bCs/>
          <w:color w:val="auto"/>
          <w:sz w:val="24"/>
          <w:highlight w:val="none"/>
          <w:u w:val="single"/>
        </w:rPr>
        <w:t>南通世纪大道8号，南通报业大厦2415会议室</w:t>
      </w:r>
      <w:r>
        <w:rPr>
          <w:color w:val="auto"/>
          <w:sz w:val="24"/>
          <w:highlight w:val="none"/>
        </w:rPr>
        <w:t>，如有变动另行通知。</w:t>
      </w:r>
    </w:p>
    <w:p w14:paraId="598E6722">
      <w:pPr>
        <w:snapToGrid w:val="0"/>
        <w:spacing w:line="480" w:lineRule="exact"/>
        <w:ind w:firstLine="482" w:firstLineChars="200"/>
        <w:rPr>
          <w:b/>
          <w:color w:val="auto"/>
          <w:sz w:val="24"/>
          <w:highlight w:val="none"/>
        </w:rPr>
      </w:pPr>
      <w:r>
        <w:rPr>
          <w:rFonts w:hint="eastAsia"/>
          <w:b/>
          <w:color w:val="auto"/>
          <w:sz w:val="24"/>
          <w:highlight w:val="none"/>
        </w:rPr>
        <w:t>五、开启</w:t>
      </w:r>
    </w:p>
    <w:p w14:paraId="7F4FC957">
      <w:pPr>
        <w:snapToGrid w:val="0"/>
        <w:spacing w:line="480" w:lineRule="exact"/>
        <w:ind w:firstLine="480" w:firstLineChars="200"/>
        <w:rPr>
          <w:color w:val="auto"/>
          <w:sz w:val="24"/>
          <w:highlight w:val="none"/>
        </w:rPr>
      </w:pPr>
      <w:r>
        <w:rPr>
          <w:rFonts w:hint="eastAsia"/>
          <w:color w:val="auto"/>
          <w:sz w:val="24"/>
          <w:highlight w:val="none"/>
        </w:rPr>
        <w:t>时间：</w:t>
      </w:r>
      <w:r>
        <w:rPr>
          <w:rFonts w:hint="eastAsia"/>
          <w:b/>
          <w:bCs/>
          <w:color w:val="auto"/>
          <w:sz w:val="24"/>
          <w:highlight w:val="none"/>
          <w:u w:val="single"/>
        </w:rPr>
        <w:t>202</w:t>
      </w:r>
      <w:r>
        <w:rPr>
          <w:rFonts w:hint="eastAsia"/>
          <w:b/>
          <w:bCs/>
          <w:color w:val="auto"/>
          <w:sz w:val="24"/>
          <w:highlight w:val="none"/>
          <w:u w:val="single"/>
          <w:lang w:val="en-US" w:eastAsia="zh-CN"/>
        </w:rPr>
        <w:t>4</w:t>
      </w:r>
      <w:r>
        <w:rPr>
          <w:b/>
          <w:bCs/>
          <w:color w:val="auto"/>
          <w:sz w:val="24"/>
          <w:highlight w:val="none"/>
          <w:u w:val="single"/>
        </w:rPr>
        <w:t>年</w:t>
      </w:r>
      <w:r>
        <w:rPr>
          <w:rFonts w:hint="eastAsia"/>
          <w:b/>
          <w:bCs/>
          <w:color w:val="auto"/>
          <w:sz w:val="24"/>
          <w:highlight w:val="none"/>
          <w:u w:val="single"/>
          <w:lang w:val="en-US" w:eastAsia="zh-CN"/>
        </w:rPr>
        <w:t>12</w:t>
      </w:r>
      <w:r>
        <w:rPr>
          <w:b/>
          <w:bCs/>
          <w:color w:val="auto"/>
          <w:sz w:val="24"/>
          <w:highlight w:val="none"/>
          <w:u w:val="single"/>
        </w:rPr>
        <w:t>月</w:t>
      </w:r>
      <w:r>
        <w:rPr>
          <w:rFonts w:hint="eastAsia"/>
          <w:b/>
          <w:bCs/>
          <w:color w:val="auto"/>
          <w:sz w:val="24"/>
          <w:highlight w:val="none"/>
          <w:u w:val="single"/>
          <w:lang w:val="en-US" w:eastAsia="zh-CN"/>
        </w:rPr>
        <w:t>26</w:t>
      </w:r>
      <w:r>
        <w:rPr>
          <w:b/>
          <w:bCs/>
          <w:color w:val="auto"/>
          <w:sz w:val="24"/>
          <w:highlight w:val="none"/>
          <w:u w:val="single"/>
        </w:rPr>
        <w:t>日</w:t>
      </w:r>
      <w:r>
        <w:rPr>
          <w:rFonts w:hint="eastAsia"/>
          <w:b/>
          <w:bCs/>
          <w:color w:val="auto"/>
          <w:sz w:val="24"/>
          <w:highlight w:val="none"/>
          <w:u w:val="single"/>
          <w:lang w:val="en-US" w:eastAsia="zh-CN"/>
        </w:rPr>
        <w:t>14</w:t>
      </w:r>
      <w:r>
        <w:rPr>
          <w:b/>
          <w:bCs/>
          <w:color w:val="auto"/>
          <w:sz w:val="24"/>
          <w:highlight w:val="none"/>
          <w:u w:val="single"/>
        </w:rPr>
        <w:t>点</w:t>
      </w:r>
      <w:r>
        <w:rPr>
          <w:rFonts w:hint="eastAsia"/>
          <w:b/>
          <w:bCs/>
          <w:color w:val="auto"/>
          <w:sz w:val="24"/>
          <w:highlight w:val="none"/>
          <w:u w:val="single"/>
          <w:lang w:val="en-US" w:eastAsia="zh-CN"/>
        </w:rPr>
        <w:t>00</w:t>
      </w:r>
      <w:r>
        <w:rPr>
          <w:b/>
          <w:bCs/>
          <w:color w:val="auto"/>
          <w:sz w:val="24"/>
          <w:highlight w:val="none"/>
          <w:u w:val="single"/>
        </w:rPr>
        <w:t>分</w:t>
      </w:r>
      <w:r>
        <w:rPr>
          <w:rFonts w:hint="eastAsia"/>
          <w:b/>
          <w:bCs/>
          <w:color w:val="auto"/>
          <w:sz w:val="24"/>
          <w:highlight w:val="none"/>
          <w:u w:val="single"/>
          <w:lang w:val="en-US" w:eastAsia="zh-CN"/>
        </w:rPr>
        <w:t>00秒</w:t>
      </w:r>
      <w:r>
        <w:rPr>
          <w:color w:val="auto"/>
          <w:sz w:val="24"/>
          <w:highlight w:val="none"/>
        </w:rPr>
        <w:t>（北京时间）</w:t>
      </w:r>
    </w:p>
    <w:p w14:paraId="783D10E7">
      <w:pPr>
        <w:snapToGrid w:val="0"/>
        <w:spacing w:line="480" w:lineRule="exact"/>
        <w:ind w:firstLine="480" w:firstLineChars="200"/>
        <w:rPr>
          <w:color w:val="auto"/>
          <w:sz w:val="24"/>
          <w:highlight w:val="none"/>
        </w:rPr>
      </w:pPr>
      <w:r>
        <w:rPr>
          <w:rFonts w:hint="eastAsia"/>
          <w:color w:val="auto"/>
          <w:sz w:val="24"/>
          <w:highlight w:val="none"/>
        </w:rPr>
        <w:t>地点：</w:t>
      </w:r>
      <w:r>
        <w:rPr>
          <w:rFonts w:hint="eastAsia"/>
          <w:b/>
          <w:bCs/>
          <w:color w:val="auto"/>
          <w:sz w:val="24"/>
          <w:highlight w:val="none"/>
          <w:u w:val="single"/>
        </w:rPr>
        <w:t>南通世纪大道8号，南通报业大厦2415会议室</w:t>
      </w:r>
      <w:r>
        <w:rPr>
          <w:color w:val="auto"/>
          <w:sz w:val="24"/>
          <w:highlight w:val="none"/>
        </w:rPr>
        <w:t>。</w:t>
      </w:r>
    </w:p>
    <w:p w14:paraId="2E042FC6">
      <w:pPr>
        <w:snapToGrid w:val="0"/>
        <w:spacing w:line="480" w:lineRule="exact"/>
        <w:ind w:firstLine="482" w:firstLineChars="200"/>
        <w:rPr>
          <w:b/>
          <w:color w:val="auto"/>
          <w:sz w:val="24"/>
          <w:highlight w:val="none"/>
        </w:rPr>
      </w:pPr>
      <w:r>
        <w:rPr>
          <w:rFonts w:hint="eastAsia"/>
          <w:b/>
          <w:color w:val="auto"/>
          <w:sz w:val="24"/>
          <w:highlight w:val="none"/>
        </w:rPr>
        <w:t>六</w:t>
      </w:r>
      <w:r>
        <w:rPr>
          <w:b/>
          <w:color w:val="auto"/>
          <w:sz w:val="24"/>
          <w:highlight w:val="none"/>
        </w:rPr>
        <w:t>、公告期限</w:t>
      </w:r>
    </w:p>
    <w:p w14:paraId="32546660">
      <w:pPr>
        <w:snapToGrid w:val="0"/>
        <w:spacing w:line="480" w:lineRule="exact"/>
        <w:ind w:firstLine="480" w:firstLineChars="200"/>
        <w:rPr>
          <w:color w:val="auto"/>
          <w:sz w:val="24"/>
          <w:highlight w:val="none"/>
        </w:rPr>
      </w:pPr>
      <w:r>
        <w:rPr>
          <w:color w:val="auto"/>
          <w:sz w:val="24"/>
          <w:highlight w:val="none"/>
        </w:rPr>
        <w:t>自本公告发布之日起</w:t>
      </w:r>
      <w:r>
        <w:rPr>
          <w:rFonts w:hint="eastAsia"/>
          <w:color w:val="auto"/>
          <w:sz w:val="24"/>
          <w:highlight w:val="none"/>
        </w:rPr>
        <w:t>3</w:t>
      </w:r>
      <w:r>
        <w:rPr>
          <w:color w:val="auto"/>
          <w:sz w:val="24"/>
          <w:highlight w:val="none"/>
        </w:rPr>
        <w:t>个工作日。</w:t>
      </w:r>
    </w:p>
    <w:p w14:paraId="4938E7A2">
      <w:pPr>
        <w:snapToGrid w:val="0"/>
        <w:spacing w:line="480" w:lineRule="exact"/>
        <w:ind w:firstLine="482" w:firstLineChars="200"/>
        <w:rPr>
          <w:b/>
          <w:color w:val="auto"/>
          <w:sz w:val="24"/>
          <w:highlight w:val="none"/>
        </w:rPr>
      </w:pPr>
      <w:r>
        <w:rPr>
          <w:rFonts w:hint="eastAsia"/>
          <w:b/>
          <w:color w:val="auto"/>
          <w:sz w:val="24"/>
          <w:highlight w:val="none"/>
        </w:rPr>
        <w:t>七</w:t>
      </w:r>
      <w:r>
        <w:rPr>
          <w:b/>
          <w:color w:val="auto"/>
          <w:sz w:val="24"/>
          <w:highlight w:val="none"/>
        </w:rPr>
        <w:t>、其他补充事宜</w:t>
      </w:r>
    </w:p>
    <w:p w14:paraId="6FBBF2AF">
      <w:pPr>
        <w:snapToGrid w:val="0"/>
        <w:spacing w:line="480" w:lineRule="exact"/>
        <w:ind w:firstLine="480" w:firstLineChars="200"/>
        <w:rPr>
          <w:color w:val="auto"/>
          <w:sz w:val="24"/>
          <w:highlight w:val="none"/>
        </w:rPr>
      </w:pPr>
      <w:r>
        <w:rPr>
          <w:color w:val="auto"/>
          <w:sz w:val="24"/>
          <w:highlight w:val="none"/>
        </w:rPr>
        <w:t>1</w:t>
      </w:r>
      <w:r>
        <w:rPr>
          <w:rFonts w:hint="eastAsia"/>
          <w:color w:val="auto"/>
          <w:sz w:val="24"/>
          <w:highlight w:val="none"/>
        </w:rPr>
        <w:t>.</w:t>
      </w:r>
      <w:r>
        <w:rPr>
          <w:color w:val="auto"/>
          <w:sz w:val="24"/>
          <w:highlight w:val="none"/>
        </w:rPr>
        <w:t>保证金：免收</w:t>
      </w:r>
    </w:p>
    <w:p w14:paraId="0455E9B0">
      <w:pPr>
        <w:snapToGrid w:val="0"/>
        <w:spacing w:line="480" w:lineRule="exact"/>
        <w:ind w:firstLine="480" w:firstLineChars="200"/>
        <w:rPr>
          <w:b/>
          <w:color w:val="auto"/>
          <w:sz w:val="24"/>
          <w:highlight w:val="none"/>
        </w:rPr>
      </w:pPr>
      <w:r>
        <w:rPr>
          <w:color w:val="auto"/>
          <w:sz w:val="24"/>
          <w:highlight w:val="none"/>
        </w:rPr>
        <w:t>2</w:t>
      </w:r>
      <w:r>
        <w:rPr>
          <w:rFonts w:hint="eastAsia"/>
          <w:color w:val="auto"/>
          <w:sz w:val="24"/>
          <w:highlight w:val="none"/>
        </w:rPr>
        <w:t>.</w:t>
      </w:r>
      <w:r>
        <w:rPr>
          <w:color w:val="auto"/>
          <w:sz w:val="24"/>
          <w:highlight w:val="none"/>
        </w:rPr>
        <w:t>项目</w:t>
      </w:r>
      <w:r>
        <w:rPr>
          <w:rFonts w:hint="eastAsia"/>
          <w:color w:val="auto"/>
          <w:sz w:val="24"/>
          <w:highlight w:val="none"/>
        </w:rPr>
        <w:t>磋商</w:t>
      </w:r>
      <w:r>
        <w:rPr>
          <w:color w:val="auto"/>
          <w:sz w:val="24"/>
          <w:highlight w:val="none"/>
        </w:rPr>
        <w:t>活动模式：</w:t>
      </w:r>
      <w:r>
        <w:rPr>
          <w:bCs/>
          <w:color w:val="auto"/>
          <w:sz w:val="24"/>
          <w:highlight w:val="none"/>
        </w:rPr>
        <w:t>现场模式</w:t>
      </w:r>
    </w:p>
    <w:p w14:paraId="7A6B0F06">
      <w:pPr>
        <w:snapToGrid w:val="0"/>
        <w:spacing w:line="480" w:lineRule="exact"/>
        <w:ind w:firstLine="480" w:firstLineChars="200"/>
        <w:rPr>
          <w:color w:val="auto"/>
          <w:sz w:val="24"/>
          <w:highlight w:val="none"/>
        </w:rPr>
      </w:pPr>
      <w:r>
        <w:rPr>
          <w:color w:val="auto"/>
          <w:sz w:val="24"/>
          <w:highlight w:val="none"/>
        </w:rPr>
        <w:t>3</w:t>
      </w:r>
      <w:r>
        <w:rPr>
          <w:rFonts w:hint="eastAsia"/>
          <w:color w:val="auto"/>
          <w:sz w:val="24"/>
          <w:highlight w:val="none"/>
        </w:rPr>
        <w:t>.</w:t>
      </w:r>
      <w:r>
        <w:rPr>
          <w:color w:val="auto"/>
          <w:sz w:val="24"/>
          <w:highlight w:val="none"/>
        </w:rPr>
        <w:t>项目演示、样品、答辩等：无</w:t>
      </w:r>
    </w:p>
    <w:p w14:paraId="107D3655">
      <w:pPr>
        <w:snapToGrid w:val="0"/>
        <w:spacing w:line="480" w:lineRule="exact"/>
        <w:ind w:firstLine="480" w:firstLineChars="200"/>
        <w:rPr>
          <w:color w:val="auto"/>
          <w:sz w:val="24"/>
          <w:highlight w:val="none"/>
        </w:rPr>
      </w:pPr>
      <w:r>
        <w:rPr>
          <w:color w:val="auto"/>
          <w:sz w:val="24"/>
          <w:highlight w:val="none"/>
        </w:rPr>
        <w:t>4</w:t>
      </w:r>
      <w:r>
        <w:rPr>
          <w:rFonts w:hint="eastAsia"/>
          <w:color w:val="auto"/>
          <w:sz w:val="24"/>
          <w:highlight w:val="none"/>
        </w:rPr>
        <w:t>.</w:t>
      </w:r>
      <w:r>
        <w:rPr>
          <w:color w:val="auto"/>
          <w:sz w:val="24"/>
          <w:highlight w:val="none"/>
        </w:rPr>
        <w:t>对项目需求部分（供应商其他资格要求、项目需求、评分标准）的询问、质疑请向采购人提出，由采购人负责答复；对项目</w:t>
      </w:r>
      <w:r>
        <w:rPr>
          <w:rFonts w:hint="eastAsia"/>
          <w:color w:val="auto"/>
          <w:sz w:val="24"/>
          <w:highlight w:val="none"/>
        </w:rPr>
        <w:t>采购</w:t>
      </w:r>
      <w:r>
        <w:rPr>
          <w:color w:val="auto"/>
          <w:sz w:val="24"/>
          <w:highlight w:val="none"/>
        </w:rPr>
        <w:t>文件其它部分的询问请向</w:t>
      </w:r>
      <w:r>
        <w:rPr>
          <w:rFonts w:hint="eastAsia"/>
          <w:color w:val="auto"/>
          <w:sz w:val="24"/>
          <w:highlight w:val="none"/>
        </w:rPr>
        <w:t>采购</w:t>
      </w:r>
      <w:r>
        <w:rPr>
          <w:color w:val="auto"/>
          <w:sz w:val="24"/>
          <w:highlight w:val="none"/>
        </w:rPr>
        <w:t>人或项目</w:t>
      </w:r>
      <w:r>
        <w:rPr>
          <w:rFonts w:hint="eastAsia"/>
          <w:color w:val="auto"/>
          <w:sz w:val="24"/>
          <w:highlight w:val="none"/>
        </w:rPr>
        <w:t>联系</w:t>
      </w:r>
      <w:r>
        <w:rPr>
          <w:color w:val="auto"/>
          <w:sz w:val="24"/>
          <w:highlight w:val="none"/>
        </w:rPr>
        <w:t>人提出。</w:t>
      </w:r>
    </w:p>
    <w:p w14:paraId="721AB723">
      <w:pPr>
        <w:snapToGrid w:val="0"/>
        <w:spacing w:line="480" w:lineRule="exact"/>
        <w:ind w:firstLine="480" w:firstLineChars="200"/>
        <w:rPr>
          <w:rFonts w:hint="eastAsia"/>
          <w:color w:val="auto"/>
          <w:sz w:val="24"/>
          <w:highlight w:val="none"/>
        </w:rPr>
      </w:pPr>
      <w:r>
        <w:rPr>
          <w:rFonts w:hint="eastAsia"/>
          <w:color w:val="auto"/>
          <w:sz w:val="24"/>
          <w:highlight w:val="none"/>
        </w:rPr>
        <w:t>5.</w:t>
      </w:r>
      <w:r>
        <w:rPr>
          <w:color w:val="auto"/>
          <w:sz w:val="24"/>
          <w:highlight w:val="none"/>
        </w:rPr>
        <w:t>供应商应依照规定提交各类声明函、承诺函，不再同时提供原件备查或提供有关部门出具的相关证明文件。但成交供应商，应做好提交声明函、承诺</w:t>
      </w:r>
      <w:r>
        <w:rPr>
          <w:rFonts w:hint="eastAsia"/>
          <w:color w:val="auto"/>
          <w:sz w:val="24"/>
          <w:highlight w:val="none"/>
          <w:lang w:eastAsia="zh-CN"/>
        </w:rPr>
        <w:t>函等</w:t>
      </w:r>
      <w:r>
        <w:rPr>
          <w:color w:val="auto"/>
          <w:sz w:val="24"/>
          <w:highlight w:val="none"/>
        </w:rPr>
        <w:t>相应原</w:t>
      </w:r>
      <w:r>
        <w:rPr>
          <w:rFonts w:hint="eastAsia"/>
          <w:color w:val="auto"/>
          <w:sz w:val="24"/>
          <w:highlight w:val="none"/>
        </w:rPr>
        <w:t>件的核查准备；核查后发现虚假或违背承诺的，依照相关法律法规规定处理。</w:t>
      </w:r>
    </w:p>
    <w:p w14:paraId="755A8DB4">
      <w:pPr>
        <w:snapToGrid w:val="0"/>
        <w:spacing w:line="480" w:lineRule="exact"/>
        <w:ind w:firstLine="482" w:firstLineChars="200"/>
        <w:rPr>
          <w:rFonts w:hint="default"/>
          <w:b/>
          <w:bCs/>
          <w:color w:val="auto"/>
          <w:sz w:val="24"/>
          <w:highlight w:val="none"/>
          <w:lang w:val="en-US" w:eastAsia="zh-CN"/>
        </w:rPr>
      </w:pPr>
      <w:r>
        <w:rPr>
          <w:rFonts w:hint="eastAsia"/>
          <w:b/>
          <w:bCs/>
          <w:color w:val="auto"/>
          <w:sz w:val="24"/>
          <w:highlight w:val="none"/>
          <w:lang w:val="en-US" w:eastAsia="zh-CN"/>
        </w:rPr>
        <w:t>6.项目踏勘联系人：</w:t>
      </w:r>
      <w:r>
        <w:rPr>
          <w:rFonts w:hint="eastAsia"/>
          <w:b/>
          <w:bCs/>
          <w:color w:val="auto"/>
          <w:sz w:val="24"/>
          <w:highlight w:val="none"/>
          <w:u w:val="single"/>
          <w:lang w:val="en-US" w:eastAsia="zh-CN"/>
        </w:rPr>
        <w:t>朱兵</w:t>
      </w:r>
      <w:r>
        <w:rPr>
          <w:rFonts w:hint="eastAsia"/>
          <w:b/>
          <w:bCs/>
          <w:color w:val="auto"/>
          <w:sz w:val="24"/>
          <w:highlight w:val="none"/>
          <w:lang w:val="en-US" w:eastAsia="zh-CN"/>
        </w:rPr>
        <w:t>，电话：</w:t>
      </w:r>
      <w:r>
        <w:rPr>
          <w:rFonts w:hint="eastAsia"/>
          <w:b/>
          <w:bCs/>
          <w:color w:val="auto"/>
          <w:sz w:val="24"/>
          <w:highlight w:val="none"/>
          <w:u w:val="single"/>
          <w:lang w:val="en-US" w:eastAsia="zh-CN"/>
        </w:rPr>
        <w:t>13962900197</w:t>
      </w:r>
      <w:r>
        <w:rPr>
          <w:rFonts w:hint="eastAsia"/>
          <w:b/>
          <w:bCs/>
          <w:color w:val="auto"/>
          <w:sz w:val="24"/>
          <w:highlight w:val="none"/>
          <w:u w:val="none"/>
          <w:lang w:val="en-US" w:eastAsia="zh-CN"/>
        </w:rPr>
        <w:t>。</w:t>
      </w:r>
    </w:p>
    <w:p w14:paraId="6E1B95E7">
      <w:pPr>
        <w:snapToGrid w:val="0"/>
        <w:spacing w:line="480" w:lineRule="exact"/>
        <w:ind w:firstLine="482" w:firstLineChars="200"/>
        <w:rPr>
          <w:rFonts w:hint="default" w:eastAsia="宋体"/>
          <w:b/>
          <w:color w:val="auto"/>
          <w:sz w:val="24"/>
          <w:highlight w:val="none"/>
          <w:lang w:val="en-US" w:eastAsia="zh-CN"/>
        </w:rPr>
      </w:pPr>
      <w:r>
        <w:rPr>
          <w:rFonts w:hint="eastAsia"/>
          <w:b/>
          <w:color w:val="auto"/>
          <w:sz w:val="24"/>
          <w:highlight w:val="none"/>
          <w:lang w:val="en-US" w:eastAsia="zh-CN"/>
        </w:rPr>
        <w:t>本次为第二次采购，已在前次采购中进行过踏勘的单位，可以提供前次</w:t>
      </w:r>
      <w:r>
        <w:rPr>
          <w:rFonts w:hint="eastAsia" w:ascii="宋体" w:hAnsi="宋体" w:eastAsia="宋体" w:cs="宋体"/>
          <w:b/>
          <w:bCs/>
          <w:color w:val="auto"/>
          <w:sz w:val="24"/>
          <w:highlight w:val="none"/>
        </w:rPr>
        <w:t>现场勘察承诺函</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lang w:val="en-US" w:eastAsia="zh-CN"/>
        </w:rPr>
        <w:t>无需再次踏勘。</w:t>
      </w:r>
    </w:p>
    <w:p w14:paraId="7740A0C6">
      <w:pPr>
        <w:snapToGrid w:val="0"/>
        <w:spacing w:line="480" w:lineRule="exact"/>
        <w:ind w:firstLine="482" w:firstLineChars="200"/>
        <w:rPr>
          <w:b/>
          <w:color w:val="auto"/>
          <w:sz w:val="24"/>
          <w:highlight w:val="none"/>
        </w:rPr>
      </w:pPr>
      <w:r>
        <w:rPr>
          <w:rFonts w:hint="eastAsia"/>
          <w:b/>
          <w:color w:val="auto"/>
          <w:sz w:val="24"/>
          <w:highlight w:val="none"/>
        </w:rPr>
        <w:t>八</w:t>
      </w:r>
      <w:r>
        <w:rPr>
          <w:b/>
          <w:color w:val="auto"/>
          <w:sz w:val="24"/>
          <w:highlight w:val="none"/>
        </w:rPr>
        <w:t>、</w:t>
      </w:r>
      <w:r>
        <w:rPr>
          <w:rFonts w:hint="eastAsia"/>
          <w:b/>
          <w:color w:val="auto"/>
          <w:sz w:val="24"/>
          <w:highlight w:val="none"/>
        </w:rPr>
        <w:t>凡</w:t>
      </w:r>
      <w:r>
        <w:rPr>
          <w:b/>
          <w:color w:val="auto"/>
          <w:sz w:val="24"/>
          <w:highlight w:val="none"/>
        </w:rPr>
        <w:t>对本次</w:t>
      </w:r>
      <w:r>
        <w:rPr>
          <w:rFonts w:hint="eastAsia"/>
          <w:b/>
          <w:color w:val="auto"/>
          <w:sz w:val="24"/>
          <w:highlight w:val="none"/>
        </w:rPr>
        <w:t>采购</w:t>
      </w:r>
      <w:r>
        <w:rPr>
          <w:b/>
          <w:color w:val="auto"/>
          <w:sz w:val="24"/>
          <w:highlight w:val="none"/>
        </w:rPr>
        <w:t>提出询问，请按以下方式联系。</w:t>
      </w:r>
    </w:p>
    <w:bookmarkEnd w:id="0"/>
    <w:p w14:paraId="7C5DD067">
      <w:pPr>
        <w:snapToGrid w:val="0"/>
        <w:spacing w:line="480" w:lineRule="exact"/>
        <w:ind w:firstLine="480" w:firstLineChars="200"/>
        <w:rPr>
          <w:color w:val="auto"/>
          <w:sz w:val="24"/>
          <w:highlight w:val="none"/>
        </w:rPr>
      </w:pPr>
      <w:r>
        <w:rPr>
          <w:color w:val="auto"/>
          <w:sz w:val="24"/>
          <w:highlight w:val="none"/>
        </w:rPr>
        <w:t>1. 采购人信息</w:t>
      </w:r>
    </w:p>
    <w:p w14:paraId="32042384">
      <w:pPr>
        <w:snapToGrid w:val="0"/>
        <w:spacing w:line="480" w:lineRule="exact"/>
        <w:ind w:firstLine="480" w:firstLineChars="200"/>
        <w:rPr>
          <w:rFonts w:hint="default" w:eastAsia="宋体"/>
          <w:color w:val="auto"/>
          <w:sz w:val="24"/>
          <w:highlight w:val="none"/>
          <w:u w:val="single"/>
          <w:lang w:val="en-US" w:eastAsia="zh-CN"/>
        </w:rPr>
      </w:pPr>
      <w:r>
        <w:rPr>
          <w:color w:val="auto"/>
          <w:sz w:val="24"/>
          <w:highlight w:val="none"/>
        </w:rPr>
        <w:t>名 称：</w:t>
      </w:r>
      <w:r>
        <w:rPr>
          <w:rFonts w:hint="eastAsia"/>
          <w:color w:val="auto"/>
          <w:sz w:val="24"/>
          <w:highlight w:val="none"/>
        </w:rPr>
        <w:t>南通</w:t>
      </w:r>
      <w:r>
        <w:rPr>
          <w:rFonts w:hint="eastAsia"/>
          <w:color w:val="auto"/>
          <w:sz w:val="24"/>
          <w:highlight w:val="none"/>
          <w:lang w:val="en-US" w:eastAsia="zh-CN"/>
        </w:rPr>
        <w:t>日报社</w:t>
      </w:r>
    </w:p>
    <w:p w14:paraId="60286E56">
      <w:pPr>
        <w:adjustRightInd w:val="0"/>
        <w:snapToGrid w:val="0"/>
        <w:spacing w:line="480" w:lineRule="exact"/>
        <w:ind w:firstLine="480" w:firstLineChars="200"/>
        <w:rPr>
          <w:color w:val="auto"/>
          <w:sz w:val="24"/>
          <w:highlight w:val="none"/>
        </w:rPr>
      </w:pPr>
      <w:r>
        <w:rPr>
          <w:color w:val="auto"/>
          <w:sz w:val="24"/>
          <w:highlight w:val="none"/>
        </w:rPr>
        <w:t>联系方式：</w:t>
      </w:r>
      <w:r>
        <w:rPr>
          <w:rFonts w:hint="eastAsia"/>
          <w:color w:val="auto"/>
          <w:sz w:val="24"/>
          <w:highlight w:val="none"/>
          <w:lang w:val="en-US" w:eastAsia="zh-CN"/>
        </w:rPr>
        <w:t>张先生，</w:t>
      </w:r>
      <w:r>
        <w:rPr>
          <w:rFonts w:hint="eastAsia"/>
          <w:color w:val="auto"/>
          <w:sz w:val="24"/>
          <w:highlight w:val="none"/>
        </w:rPr>
        <w:t>0513-68218829</w:t>
      </w:r>
    </w:p>
    <w:p w14:paraId="0C362BA6">
      <w:pPr>
        <w:widowControl/>
        <w:shd w:val="clear" w:color="auto" w:fill="FFFFFF"/>
        <w:adjustRightInd w:val="0"/>
        <w:snapToGrid w:val="0"/>
        <w:spacing w:line="480" w:lineRule="exact"/>
        <w:ind w:firstLine="480" w:firstLineChars="200"/>
        <w:jc w:val="left"/>
        <w:rPr>
          <w:color w:val="auto"/>
          <w:sz w:val="24"/>
          <w:highlight w:val="none"/>
        </w:rPr>
      </w:pPr>
      <w:r>
        <w:rPr>
          <w:color w:val="auto"/>
          <w:sz w:val="24"/>
          <w:highlight w:val="none"/>
        </w:rPr>
        <w:t>2. 采购代理机构信息</w:t>
      </w:r>
    </w:p>
    <w:p w14:paraId="17635D37">
      <w:pPr>
        <w:widowControl/>
        <w:shd w:val="clear" w:color="auto" w:fill="FFFFFF"/>
        <w:adjustRightInd w:val="0"/>
        <w:snapToGrid w:val="0"/>
        <w:spacing w:line="480" w:lineRule="exact"/>
        <w:ind w:firstLine="480" w:firstLineChars="200"/>
        <w:jc w:val="left"/>
        <w:rPr>
          <w:color w:val="auto"/>
          <w:sz w:val="24"/>
          <w:highlight w:val="none"/>
        </w:rPr>
      </w:pPr>
      <w:r>
        <w:rPr>
          <w:color w:val="auto"/>
          <w:sz w:val="24"/>
          <w:highlight w:val="none"/>
        </w:rPr>
        <w:t>名 称：</w:t>
      </w:r>
      <w:r>
        <w:rPr>
          <w:rFonts w:hint="eastAsia"/>
          <w:color w:val="auto"/>
          <w:sz w:val="24"/>
          <w:highlight w:val="none"/>
        </w:rPr>
        <w:t>江苏海审工程咨询有限公司</w:t>
      </w:r>
    </w:p>
    <w:p w14:paraId="228CF368">
      <w:pPr>
        <w:widowControl/>
        <w:shd w:val="clear" w:color="auto" w:fill="FFFFFF"/>
        <w:adjustRightInd w:val="0"/>
        <w:snapToGrid w:val="0"/>
        <w:spacing w:line="480" w:lineRule="exact"/>
        <w:ind w:firstLine="480" w:firstLineChars="200"/>
        <w:jc w:val="left"/>
        <w:rPr>
          <w:color w:val="auto"/>
          <w:sz w:val="24"/>
          <w:highlight w:val="none"/>
        </w:rPr>
      </w:pPr>
      <w:r>
        <w:rPr>
          <w:color w:val="auto"/>
          <w:sz w:val="24"/>
          <w:highlight w:val="none"/>
        </w:rPr>
        <w:t>地 址：</w:t>
      </w:r>
      <w:r>
        <w:rPr>
          <w:rFonts w:hint="eastAsia"/>
          <w:color w:val="auto"/>
          <w:sz w:val="24"/>
          <w:highlight w:val="none"/>
        </w:rPr>
        <w:t>南通市崇川区星城路299号创源科技园3号楼501室</w:t>
      </w:r>
    </w:p>
    <w:p w14:paraId="35B2BAD8">
      <w:pPr>
        <w:widowControl/>
        <w:shd w:val="clear" w:color="auto" w:fill="FFFFFF"/>
        <w:adjustRightInd w:val="0"/>
        <w:snapToGrid w:val="0"/>
        <w:spacing w:line="480" w:lineRule="exact"/>
        <w:ind w:firstLine="480" w:firstLineChars="200"/>
        <w:jc w:val="left"/>
        <w:rPr>
          <w:rFonts w:hint="default" w:eastAsia="宋体"/>
          <w:color w:val="auto"/>
          <w:sz w:val="24"/>
          <w:highlight w:val="none"/>
          <w:lang w:val="en-US" w:eastAsia="zh-CN"/>
        </w:rPr>
      </w:pPr>
      <w:r>
        <w:rPr>
          <w:color w:val="auto"/>
          <w:sz w:val="24"/>
          <w:highlight w:val="none"/>
        </w:rPr>
        <w:t>联系方式：</w:t>
      </w:r>
      <w:r>
        <w:rPr>
          <w:rFonts w:hint="eastAsia"/>
          <w:color w:val="auto"/>
          <w:sz w:val="24"/>
          <w:highlight w:val="none"/>
          <w:lang w:val="en-US" w:eastAsia="zh-CN"/>
        </w:rPr>
        <w:t>王银珂，18012222810；朱一仁，18068996360。</w:t>
      </w:r>
    </w:p>
    <w:p w14:paraId="56654A21">
      <w:pPr>
        <w:snapToGrid w:val="0"/>
        <w:spacing w:line="480" w:lineRule="exact"/>
        <w:contextualSpacing/>
        <w:jc w:val="center"/>
        <w:rPr>
          <w:rFonts w:asciiTheme="minorEastAsia" w:hAnsiTheme="minorEastAsia" w:eastAsiaTheme="minorEastAsia"/>
          <w:b/>
          <w:color w:val="auto"/>
          <w:sz w:val="28"/>
          <w:szCs w:val="28"/>
          <w:highlight w:val="none"/>
        </w:rPr>
      </w:pPr>
      <w:r>
        <w:rPr>
          <w:rFonts w:ascii="仿宋_GB2312" w:eastAsia="仿宋_GB2312"/>
          <w:b/>
          <w:bCs/>
          <w:color w:val="auto"/>
          <w:sz w:val="36"/>
          <w:szCs w:val="36"/>
          <w:highlight w:val="none"/>
          <w:lang w:val="zh-CN"/>
        </w:rPr>
        <w:br w:type="page"/>
      </w:r>
      <w:r>
        <w:rPr>
          <w:rFonts w:hint="eastAsia" w:asciiTheme="minorEastAsia" w:hAnsiTheme="minorEastAsia" w:eastAsiaTheme="minorEastAsia"/>
          <w:b/>
          <w:bCs/>
          <w:color w:val="auto"/>
          <w:sz w:val="36"/>
          <w:szCs w:val="36"/>
          <w:highlight w:val="none"/>
          <w:lang w:val="zh-CN"/>
        </w:rPr>
        <w:t>第二部分 磋商须知</w:t>
      </w:r>
    </w:p>
    <w:p w14:paraId="329EB055">
      <w:pPr>
        <w:autoSpaceDE w:val="0"/>
        <w:autoSpaceDN w:val="0"/>
        <w:adjustRightInd w:val="0"/>
        <w:snapToGrid w:val="0"/>
        <w:spacing w:line="300" w:lineRule="auto"/>
        <w:contextualSpacing/>
        <w:rPr>
          <w:rFonts w:ascii="黑体" w:eastAsia="黑体"/>
          <w:b/>
          <w:bCs/>
          <w:color w:val="auto"/>
          <w:sz w:val="28"/>
          <w:szCs w:val="28"/>
          <w:highlight w:val="none"/>
          <w:lang w:val="zh-CN"/>
        </w:rPr>
      </w:pPr>
    </w:p>
    <w:p w14:paraId="0CA5A843">
      <w:pPr>
        <w:snapToGrid w:val="0"/>
        <w:spacing w:line="480" w:lineRule="exact"/>
        <w:ind w:firstLine="482" w:firstLineChars="200"/>
        <w:contextualSpacing/>
        <w:outlineLvl w:val="0"/>
        <w:rPr>
          <w:b/>
          <w:color w:val="auto"/>
          <w:sz w:val="24"/>
          <w:highlight w:val="none"/>
        </w:rPr>
      </w:pPr>
      <w:r>
        <w:rPr>
          <w:b/>
          <w:color w:val="auto"/>
          <w:sz w:val="24"/>
          <w:highlight w:val="none"/>
        </w:rPr>
        <w:t>一、本磋商文件由采购人或采购代理机构解释。</w:t>
      </w:r>
    </w:p>
    <w:p w14:paraId="40C7170A">
      <w:pPr>
        <w:snapToGrid w:val="0"/>
        <w:spacing w:line="480" w:lineRule="exact"/>
        <w:ind w:firstLine="480" w:firstLineChars="200"/>
        <w:contextualSpacing/>
        <w:rPr>
          <w:b/>
          <w:color w:val="auto"/>
          <w:sz w:val="24"/>
          <w:highlight w:val="none"/>
        </w:rPr>
      </w:pPr>
      <w:r>
        <w:rPr>
          <w:color w:val="auto"/>
          <w:sz w:val="24"/>
          <w:highlight w:val="none"/>
        </w:rPr>
        <w:t>1、供应商在</w:t>
      </w:r>
      <w:r>
        <w:rPr>
          <w:rFonts w:hint="eastAsia"/>
          <w:color w:val="auto"/>
          <w:sz w:val="24"/>
          <w:highlight w:val="none"/>
          <w:lang w:val="en-US" w:eastAsia="zh-CN"/>
        </w:rPr>
        <w:t>获取</w:t>
      </w:r>
      <w:r>
        <w:rPr>
          <w:color w:val="auto"/>
          <w:sz w:val="24"/>
          <w:highlight w:val="none"/>
        </w:rPr>
        <w:t>磋商文件后，应仔细检查磋商文件的所有内容，如对采购活动事项有疑问的，应向采购人或采购代理机构以书面形式提出，否则视同供应商理解并接受本磋商文件所有内容，并由此引起的损失自负。供应商不得在磋商结束后针对磋商文件所有内容提出质疑事项。</w:t>
      </w:r>
    </w:p>
    <w:p w14:paraId="3571ECAB">
      <w:pPr>
        <w:snapToGrid w:val="0"/>
        <w:spacing w:line="480" w:lineRule="exact"/>
        <w:ind w:firstLine="480" w:firstLineChars="200"/>
        <w:contextualSpacing/>
        <w:rPr>
          <w:color w:val="auto"/>
          <w:sz w:val="24"/>
          <w:highlight w:val="none"/>
        </w:rPr>
      </w:pPr>
      <w:r>
        <w:rPr>
          <w:color w:val="auto"/>
          <w:sz w:val="24"/>
          <w:highlight w:val="none"/>
        </w:rPr>
        <w:t>2、供应商应认真审阅磋商文件中所有的事项、格式、条款和规范要求等，如果供应商没有按照磋商文件要求提交响应文件，或者响应文件没有对磋商文件做出实质性响应，将被拒绝参与磋商。</w:t>
      </w:r>
    </w:p>
    <w:p w14:paraId="3F37F42A">
      <w:pPr>
        <w:snapToGrid w:val="0"/>
        <w:spacing w:line="480" w:lineRule="exact"/>
        <w:ind w:firstLine="482" w:firstLineChars="200"/>
        <w:contextualSpacing/>
        <w:rPr>
          <w:b/>
          <w:color w:val="auto"/>
          <w:sz w:val="24"/>
          <w:highlight w:val="none"/>
        </w:rPr>
      </w:pPr>
      <w:r>
        <w:rPr>
          <w:b/>
          <w:color w:val="auto"/>
          <w:sz w:val="24"/>
          <w:highlight w:val="none"/>
        </w:rPr>
        <w:t>二、磋商文件的澄清、修改、答疑</w:t>
      </w:r>
    </w:p>
    <w:p w14:paraId="4CF8E53A">
      <w:pPr>
        <w:pStyle w:val="8"/>
        <w:snapToGrid w:val="0"/>
        <w:spacing w:line="480" w:lineRule="exact"/>
        <w:ind w:left="0" w:leftChars="0" w:firstLine="480" w:firstLineChars="200"/>
        <w:contextualSpacing/>
        <w:rPr>
          <w:color w:val="auto"/>
          <w:sz w:val="24"/>
          <w:highlight w:val="none"/>
        </w:rPr>
      </w:pPr>
      <w:r>
        <w:rPr>
          <w:color w:val="auto"/>
          <w:sz w:val="24"/>
          <w:highlight w:val="none"/>
        </w:rPr>
        <w:t>采购人可以对已发出的磋商文件进行必要的澄清或者修改，澄清或者修改的内容作为磋商文件的组成部分。澄清或者修改的内容可能影响响应文件编制的，采购人将在提交首次响应文件截止之日5日前，以网上公告</w:t>
      </w:r>
      <w:r>
        <w:rPr>
          <w:rFonts w:hint="eastAsia"/>
          <w:color w:val="auto"/>
          <w:sz w:val="24"/>
          <w:highlight w:val="none"/>
          <w:lang w:val="en-US" w:eastAsia="zh-CN"/>
        </w:rPr>
        <w:t>或</w:t>
      </w:r>
      <w:r>
        <w:rPr>
          <w:color w:val="auto"/>
          <w:sz w:val="24"/>
          <w:highlight w:val="none"/>
        </w:rPr>
        <w:t>书面形式</w:t>
      </w:r>
      <w:r>
        <w:rPr>
          <w:rFonts w:hint="eastAsia"/>
          <w:color w:val="auto"/>
          <w:sz w:val="24"/>
          <w:highlight w:val="none"/>
          <w:lang w:eastAsia="zh-CN"/>
        </w:rPr>
        <w:t>（</w:t>
      </w:r>
      <w:r>
        <w:rPr>
          <w:rFonts w:hint="eastAsia"/>
          <w:color w:val="auto"/>
          <w:sz w:val="24"/>
          <w:highlight w:val="none"/>
          <w:lang w:val="en-US" w:eastAsia="zh-CN"/>
        </w:rPr>
        <w:t>邮件</w:t>
      </w:r>
      <w:r>
        <w:rPr>
          <w:rFonts w:hint="eastAsia"/>
          <w:color w:val="auto"/>
          <w:sz w:val="24"/>
          <w:highlight w:val="none"/>
          <w:lang w:eastAsia="zh-CN"/>
        </w:rPr>
        <w:t>）</w:t>
      </w:r>
      <w:r>
        <w:rPr>
          <w:color w:val="auto"/>
          <w:sz w:val="24"/>
          <w:highlight w:val="none"/>
        </w:rPr>
        <w:t>通知所有接收磋商文件的供应商，不足5日的，应当顺延提交首次响应文件截止之日。</w:t>
      </w:r>
    </w:p>
    <w:p w14:paraId="2ABFE877">
      <w:pPr>
        <w:pStyle w:val="8"/>
        <w:snapToGrid w:val="0"/>
        <w:spacing w:line="480" w:lineRule="exact"/>
        <w:ind w:left="0" w:leftChars="0" w:firstLine="480" w:firstLineChars="200"/>
        <w:contextualSpacing/>
        <w:rPr>
          <w:color w:val="auto"/>
          <w:sz w:val="24"/>
          <w:highlight w:val="none"/>
          <w:lang w:val="zh-CN"/>
        </w:rPr>
      </w:pPr>
      <w:r>
        <w:rPr>
          <w:color w:val="auto"/>
          <w:sz w:val="24"/>
          <w:highlight w:val="none"/>
        </w:rPr>
        <w:t>供应商由于对磋商文件的任何推论和误解以及采购人或采购代理机构对有</w:t>
      </w:r>
      <w:r>
        <w:rPr>
          <w:color w:val="auto"/>
          <w:sz w:val="24"/>
          <w:highlight w:val="none"/>
          <w:lang w:val="zh-CN"/>
        </w:rPr>
        <w:t>关问题的口头解释所造成的后果，均由供应商自负。</w:t>
      </w:r>
    </w:p>
    <w:p w14:paraId="403B879B">
      <w:pPr>
        <w:pStyle w:val="8"/>
        <w:snapToGrid w:val="0"/>
        <w:spacing w:line="480" w:lineRule="exact"/>
        <w:ind w:left="0" w:leftChars="0" w:firstLine="480" w:firstLineChars="200"/>
        <w:contextualSpacing/>
        <w:rPr>
          <w:color w:val="auto"/>
          <w:sz w:val="24"/>
          <w:highlight w:val="none"/>
        </w:rPr>
      </w:pPr>
      <w:r>
        <w:rPr>
          <w:color w:val="auto"/>
          <w:sz w:val="24"/>
          <w:highlight w:val="none"/>
          <w:lang w:val="zh-CN"/>
        </w:rPr>
        <w:t>采购单位可视情组织答疑会。</w:t>
      </w:r>
    </w:p>
    <w:p w14:paraId="4D67AFFD">
      <w:pPr>
        <w:autoSpaceDE w:val="0"/>
        <w:autoSpaceDN w:val="0"/>
        <w:adjustRightInd w:val="0"/>
        <w:snapToGrid w:val="0"/>
        <w:spacing w:after="120" w:line="480" w:lineRule="exact"/>
        <w:ind w:firstLine="562"/>
        <w:contextualSpacing/>
        <w:rPr>
          <w:b/>
          <w:bCs/>
          <w:color w:val="auto"/>
          <w:sz w:val="24"/>
          <w:highlight w:val="none"/>
        </w:rPr>
      </w:pPr>
      <w:r>
        <w:rPr>
          <w:b/>
          <w:bCs/>
          <w:color w:val="auto"/>
          <w:sz w:val="24"/>
          <w:highlight w:val="none"/>
          <w:lang w:val="zh-CN"/>
        </w:rPr>
        <w:t>三、响应文件的编写、递交</w:t>
      </w:r>
    </w:p>
    <w:p w14:paraId="1A647DDE">
      <w:pPr>
        <w:autoSpaceDE w:val="0"/>
        <w:autoSpaceDN w:val="0"/>
        <w:adjustRightInd w:val="0"/>
        <w:snapToGrid w:val="0"/>
        <w:spacing w:line="480" w:lineRule="exact"/>
        <w:ind w:right="210" w:firstLine="560"/>
        <w:rPr>
          <w:b/>
          <w:color w:val="auto"/>
          <w:sz w:val="24"/>
          <w:highlight w:val="none"/>
        </w:rPr>
      </w:pPr>
      <w:r>
        <w:rPr>
          <w:b/>
          <w:color w:val="auto"/>
          <w:sz w:val="24"/>
          <w:highlight w:val="none"/>
        </w:rPr>
        <w:t>（一）响应文件的编写</w:t>
      </w:r>
    </w:p>
    <w:p w14:paraId="03ED7561">
      <w:pPr>
        <w:autoSpaceDE w:val="0"/>
        <w:autoSpaceDN w:val="0"/>
        <w:adjustRightInd w:val="0"/>
        <w:snapToGrid w:val="0"/>
        <w:spacing w:line="480" w:lineRule="exact"/>
        <w:ind w:firstLine="480" w:firstLineChars="200"/>
        <w:contextualSpacing/>
        <w:jc w:val="left"/>
        <w:rPr>
          <w:color w:val="auto"/>
          <w:sz w:val="24"/>
          <w:highlight w:val="none"/>
        </w:rPr>
      </w:pPr>
      <w:r>
        <w:rPr>
          <w:color w:val="auto"/>
          <w:sz w:val="24"/>
          <w:highlight w:val="none"/>
          <w:lang w:val="zh-CN"/>
        </w:rPr>
        <w:t>供应商按</w:t>
      </w:r>
      <w:r>
        <w:rPr>
          <w:rFonts w:ascii="宋体" w:hAnsi="宋体"/>
          <w:color w:val="auto"/>
          <w:sz w:val="24"/>
          <w:highlight w:val="none"/>
          <w:lang w:val="zh-CN"/>
        </w:rPr>
        <w:t>“第七部分 响应文件组成”</w:t>
      </w:r>
      <w:r>
        <w:rPr>
          <w:color w:val="auto"/>
          <w:sz w:val="24"/>
          <w:highlight w:val="none"/>
          <w:lang w:val="zh-CN"/>
        </w:rPr>
        <w:t>要求编写响应文件。</w:t>
      </w:r>
    </w:p>
    <w:p w14:paraId="331A671E">
      <w:pPr>
        <w:snapToGrid w:val="0"/>
        <w:spacing w:line="480" w:lineRule="exact"/>
        <w:ind w:firstLine="482" w:firstLineChars="200"/>
        <w:contextualSpacing/>
        <w:rPr>
          <w:b/>
          <w:color w:val="auto"/>
          <w:sz w:val="24"/>
          <w:highlight w:val="none"/>
        </w:rPr>
      </w:pPr>
      <w:r>
        <w:rPr>
          <w:b/>
          <w:color w:val="auto"/>
          <w:sz w:val="24"/>
          <w:highlight w:val="none"/>
        </w:rPr>
        <w:t>（二）响应文件的递交</w:t>
      </w:r>
    </w:p>
    <w:p w14:paraId="23732D9B">
      <w:pPr>
        <w:snapToGrid w:val="0"/>
        <w:spacing w:line="480" w:lineRule="exact"/>
        <w:ind w:firstLine="480" w:firstLineChars="200"/>
        <w:contextualSpacing/>
        <w:rPr>
          <w:color w:val="auto"/>
          <w:sz w:val="24"/>
          <w:highlight w:val="none"/>
        </w:rPr>
      </w:pPr>
      <w:r>
        <w:rPr>
          <w:color w:val="auto"/>
          <w:sz w:val="24"/>
          <w:highlight w:val="none"/>
        </w:rPr>
        <w:t>1、响应文件</w:t>
      </w:r>
      <w:r>
        <w:rPr>
          <w:rFonts w:hint="eastAsia"/>
          <w:color w:val="auto"/>
          <w:sz w:val="24"/>
          <w:highlight w:val="none"/>
          <w:lang w:val="en-US" w:eastAsia="zh-CN"/>
        </w:rPr>
        <w:t>三</w:t>
      </w:r>
      <w:r>
        <w:rPr>
          <w:color w:val="auto"/>
          <w:sz w:val="24"/>
          <w:highlight w:val="none"/>
        </w:rPr>
        <w:t>部分内容（资格审查文件、商务技术文件、报价文件）须分别单独密封，</w:t>
      </w:r>
      <w:r>
        <w:rPr>
          <w:color w:val="auto"/>
          <w:sz w:val="24"/>
          <w:highlight w:val="none"/>
          <w:lang w:val="zh-CN"/>
        </w:rPr>
        <w:t>并牢</w:t>
      </w:r>
      <w:r>
        <w:rPr>
          <w:color w:val="auto"/>
          <w:sz w:val="24"/>
          <w:highlight w:val="none"/>
        </w:rPr>
        <w:t>固装订成册，不得相互混淆，文件自编目录，不得将内容拆开。报价文件不得出现于其他磋商</w:t>
      </w:r>
      <w:r>
        <w:rPr>
          <w:rFonts w:hint="eastAsia"/>
          <w:color w:val="auto"/>
          <w:sz w:val="24"/>
          <w:highlight w:val="none"/>
          <w:lang w:val="en-US" w:eastAsia="zh-CN"/>
        </w:rPr>
        <w:t>响应</w:t>
      </w:r>
      <w:r>
        <w:rPr>
          <w:color w:val="auto"/>
          <w:sz w:val="24"/>
          <w:highlight w:val="none"/>
        </w:rPr>
        <w:t>文件中。</w:t>
      </w:r>
    </w:p>
    <w:p w14:paraId="10D32A20">
      <w:pPr>
        <w:snapToGrid w:val="0"/>
        <w:spacing w:line="480" w:lineRule="exact"/>
        <w:ind w:firstLine="480" w:firstLineChars="200"/>
        <w:rPr>
          <w:rFonts w:hint="eastAsia"/>
          <w:color w:val="auto"/>
          <w:sz w:val="24"/>
          <w:highlight w:val="none"/>
          <w:lang w:eastAsia="zh-CN"/>
        </w:rPr>
      </w:pPr>
      <w:r>
        <w:rPr>
          <w:color w:val="auto"/>
          <w:sz w:val="24"/>
          <w:highlight w:val="none"/>
        </w:rPr>
        <w:t>2、响应文件每一部分内容均须提供“</w:t>
      </w:r>
      <w:r>
        <w:rPr>
          <w:b/>
          <w:color w:val="auto"/>
          <w:sz w:val="24"/>
          <w:highlight w:val="none"/>
        </w:rPr>
        <w:t>一正、</w:t>
      </w:r>
      <w:r>
        <w:rPr>
          <w:rFonts w:hint="eastAsia"/>
          <w:b/>
          <w:color w:val="auto"/>
          <w:sz w:val="24"/>
          <w:highlight w:val="none"/>
          <w:lang w:val="en-US" w:eastAsia="zh-CN"/>
        </w:rPr>
        <w:t>贰</w:t>
      </w:r>
      <w:r>
        <w:rPr>
          <w:b/>
          <w:color w:val="auto"/>
          <w:sz w:val="24"/>
          <w:highlight w:val="none"/>
        </w:rPr>
        <w:t>副”</w:t>
      </w:r>
      <w:r>
        <w:rPr>
          <w:color w:val="auto"/>
          <w:sz w:val="24"/>
          <w:highlight w:val="none"/>
        </w:rPr>
        <w:t>纸质响应文件</w:t>
      </w:r>
      <w:r>
        <w:rPr>
          <w:rFonts w:hint="eastAsia"/>
          <w:color w:val="auto"/>
          <w:sz w:val="24"/>
          <w:highlight w:val="none"/>
          <w:lang w:eastAsia="zh-CN"/>
        </w:rPr>
        <w:t>。</w:t>
      </w:r>
    </w:p>
    <w:p w14:paraId="0682CD1D">
      <w:pPr>
        <w:snapToGrid w:val="0"/>
        <w:spacing w:line="480" w:lineRule="exact"/>
        <w:ind w:firstLine="480" w:firstLineChars="200"/>
        <w:rPr>
          <w:rFonts w:hint="eastAsia" w:eastAsia="宋体"/>
          <w:color w:val="auto"/>
          <w:sz w:val="24"/>
          <w:highlight w:val="none"/>
          <w:lang w:val="en-US" w:eastAsia="zh-CN"/>
        </w:rPr>
      </w:pPr>
      <w:r>
        <w:rPr>
          <w:rFonts w:hint="eastAsia"/>
          <w:color w:val="auto"/>
          <w:sz w:val="24"/>
          <w:highlight w:val="none"/>
          <w:lang w:val="en-US" w:eastAsia="zh-CN"/>
        </w:rPr>
        <w:t>①</w:t>
      </w:r>
      <w:r>
        <w:rPr>
          <w:color w:val="auto"/>
          <w:sz w:val="24"/>
          <w:highlight w:val="none"/>
        </w:rPr>
        <w:t>资格审查文件</w:t>
      </w:r>
      <w:r>
        <w:rPr>
          <w:rFonts w:hint="eastAsia"/>
          <w:color w:val="auto"/>
          <w:sz w:val="24"/>
          <w:highlight w:val="none"/>
          <w:lang w:eastAsia="zh-CN"/>
        </w:rPr>
        <w:t>。正本、副本合并密封，统一装在一个密封袋或密封箱内。</w:t>
      </w:r>
    </w:p>
    <w:p w14:paraId="1CCC14CE">
      <w:pPr>
        <w:snapToGrid w:val="0"/>
        <w:spacing w:line="48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②</w:t>
      </w:r>
      <w:r>
        <w:rPr>
          <w:color w:val="auto"/>
          <w:sz w:val="24"/>
          <w:highlight w:val="none"/>
        </w:rPr>
        <w:t>商务技术文件</w:t>
      </w:r>
      <w:r>
        <w:rPr>
          <w:rFonts w:hint="eastAsia"/>
          <w:color w:val="auto"/>
          <w:sz w:val="24"/>
          <w:highlight w:val="none"/>
          <w:lang w:eastAsia="zh-CN"/>
        </w:rPr>
        <w:t>。</w:t>
      </w:r>
      <w:r>
        <w:rPr>
          <w:rFonts w:hint="eastAsia"/>
          <w:color w:val="auto"/>
          <w:sz w:val="24"/>
          <w:highlight w:val="none"/>
          <w:lang w:val="en-US" w:eastAsia="zh-CN"/>
        </w:rPr>
        <w:t>正本、副本合并密封，统一装在一个密封袋或密封箱内。</w:t>
      </w:r>
    </w:p>
    <w:p w14:paraId="46870619">
      <w:pPr>
        <w:snapToGrid w:val="0"/>
        <w:spacing w:line="48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③</w:t>
      </w:r>
      <w:r>
        <w:rPr>
          <w:color w:val="auto"/>
          <w:sz w:val="24"/>
          <w:highlight w:val="none"/>
        </w:rPr>
        <w:t>报价文件</w:t>
      </w:r>
      <w:r>
        <w:rPr>
          <w:rFonts w:hint="eastAsia"/>
          <w:color w:val="auto"/>
          <w:sz w:val="24"/>
          <w:highlight w:val="none"/>
          <w:lang w:eastAsia="zh-CN"/>
        </w:rPr>
        <w:t>。</w:t>
      </w:r>
      <w:r>
        <w:rPr>
          <w:rFonts w:hint="eastAsia"/>
          <w:color w:val="auto"/>
          <w:sz w:val="24"/>
          <w:highlight w:val="none"/>
          <w:lang w:val="en-US" w:eastAsia="zh-CN"/>
        </w:rPr>
        <w:t>正本、副本合并密封，统一装在一个密封袋或密封箱内。</w:t>
      </w:r>
    </w:p>
    <w:p w14:paraId="5A5DA159">
      <w:pPr>
        <w:snapToGrid w:val="0"/>
        <w:spacing w:line="480" w:lineRule="exact"/>
        <w:ind w:firstLine="480" w:firstLineChars="200"/>
        <w:contextualSpacing/>
        <w:rPr>
          <w:color w:val="auto"/>
          <w:sz w:val="24"/>
          <w:highlight w:val="none"/>
        </w:rPr>
      </w:pPr>
      <w:r>
        <w:rPr>
          <w:color w:val="auto"/>
          <w:sz w:val="24"/>
          <w:highlight w:val="none"/>
        </w:rPr>
        <w:t>3、纸质响应文件须</w:t>
      </w:r>
      <w:r>
        <w:rPr>
          <w:color w:val="auto"/>
          <w:sz w:val="24"/>
          <w:highlight w:val="none"/>
          <w:lang w:val="zh-CN"/>
        </w:rPr>
        <w:t>采用A4纸（</w:t>
      </w:r>
      <w:r>
        <w:rPr>
          <w:color w:val="auto"/>
          <w:sz w:val="24"/>
          <w:highlight w:val="none"/>
        </w:rPr>
        <w:t>图纸等除外），正本须打印并由法定代表人或授权人签字并加盖单位印章。副本可复印，但须加盖单位印章。文件内容中不得行间插字、涂改、增删，如修补错漏处，须由响应文件签署人签字并加盖</w:t>
      </w:r>
      <w:r>
        <w:rPr>
          <w:rFonts w:hint="eastAsia"/>
          <w:color w:val="auto"/>
          <w:sz w:val="24"/>
          <w:highlight w:val="none"/>
          <w:lang w:val="en-US" w:eastAsia="zh-CN"/>
        </w:rPr>
        <w:t>投标单位</w:t>
      </w:r>
      <w:r>
        <w:rPr>
          <w:color w:val="auto"/>
          <w:sz w:val="24"/>
          <w:highlight w:val="none"/>
        </w:rPr>
        <w:t>公章。</w:t>
      </w:r>
    </w:p>
    <w:p w14:paraId="4F2F13C4">
      <w:pPr>
        <w:snapToGrid w:val="0"/>
        <w:spacing w:line="480" w:lineRule="exact"/>
        <w:ind w:firstLine="480" w:firstLineChars="200"/>
        <w:contextualSpacing/>
        <w:rPr>
          <w:color w:val="auto"/>
          <w:sz w:val="24"/>
          <w:highlight w:val="none"/>
        </w:rPr>
      </w:pPr>
      <w:r>
        <w:rPr>
          <w:color w:val="auto"/>
          <w:sz w:val="24"/>
          <w:highlight w:val="none"/>
        </w:rPr>
        <w:t>4、响应文件密封后应标明响应文件项目名称、项目编号、边缝处加盖单位骑缝章。</w:t>
      </w:r>
    </w:p>
    <w:p w14:paraId="5D50AEE7">
      <w:pPr>
        <w:snapToGrid w:val="0"/>
        <w:spacing w:line="480" w:lineRule="exact"/>
        <w:ind w:firstLine="480" w:firstLineChars="200"/>
        <w:contextualSpacing/>
        <w:rPr>
          <w:color w:val="auto"/>
          <w:sz w:val="24"/>
          <w:highlight w:val="none"/>
        </w:rPr>
      </w:pPr>
      <w:r>
        <w:rPr>
          <w:color w:val="auto"/>
          <w:sz w:val="24"/>
          <w:highlight w:val="none"/>
        </w:rPr>
        <w:t>5、递交时间：供应商须在规定的响应文件接收截止时间前送达指定地点。供应商递交磋商文件，即视为已响应参加采购活动。</w:t>
      </w:r>
    </w:p>
    <w:p w14:paraId="78EF2DC3">
      <w:pPr>
        <w:snapToGrid w:val="0"/>
        <w:spacing w:line="480" w:lineRule="exact"/>
        <w:ind w:firstLine="482" w:firstLineChars="200"/>
        <w:contextualSpacing/>
        <w:rPr>
          <w:b/>
          <w:color w:val="auto"/>
          <w:sz w:val="24"/>
          <w:highlight w:val="none"/>
        </w:rPr>
      </w:pPr>
      <w:r>
        <w:rPr>
          <w:b/>
          <w:color w:val="auto"/>
          <w:sz w:val="24"/>
          <w:highlight w:val="none"/>
        </w:rPr>
        <w:t>友情提醒：采购代理机构将拒绝接收未按照磋商文件要求密封的响应文件，拒绝接收在响应文件接收截止时间后递交的响应文件。如果供应商无故不到现场递交纸质磋商响应文件或者故意迟到，影响</w:t>
      </w:r>
      <w:r>
        <w:rPr>
          <w:rFonts w:hint="eastAsia"/>
          <w:b/>
          <w:color w:val="auto"/>
          <w:sz w:val="24"/>
          <w:highlight w:val="none"/>
          <w:lang w:val="en-US" w:eastAsia="zh-CN"/>
        </w:rPr>
        <w:t>采购</w:t>
      </w:r>
      <w:r>
        <w:rPr>
          <w:b/>
          <w:color w:val="auto"/>
          <w:sz w:val="24"/>
          <w:highlight w:val="none"/>
        </w:rPr>
        <w:t>活动正常进行的，根据《江苏省政府采购信用管理暂行办法》第九条的规定，将被列作一般失信行为。</w:t>
      </w:r>
    </w:p>
    <w:p w14:paraId="5457D38E">
      <w:pPr>
        <w:snapToGrid w:val="0"/>
        <w:spacing w:line="480" w:lineRule="exact"/>
        <w:ind w:firstLine="602" w:firstLineChars="250"/>
        <w:contextualSpacing/>
        <w:rPr>
          <w:b/>
          <w:color w:val="auto"/>
          <w:sz w:val="24"/>
          <w:highlight w:val="none"/>
        </w:rPr>
      </w:pPr>
      <w:r>
        <w:rPr>
          <w:b/>
          <w:color w:val="auto"/>
          <w:sz w:val="24"/>
          <w:highlight w:val="none"/>
        </w:rPr>
        <w:t>四、报价准备</w:t>
      </w:r>
    </w:p>
    <w:p w14:paraId="180C009A">
      <w:pPr>
        <w:pStyle w:val="21"/>
        <w:snapToGrid w:val="0"/>
        <w:spacing w:line="480" w:lineRule="exact"/>
        <w:ind w:firstLine="494"/>
        <w:contextualSpacing/>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1、磋商结束后，供应商就所有内容进行</w:t>
      </w:r>
      <w:r>
        <w:rPr>
          <w:rFonts w:hint="eastAsia" w:ascii="Times New Roman" w:hAnsi="Times New Roman" w:eastAsia="宋体"/>
          <w:color w:val="auto"/>
          <w:sz w:val="24"/>
          <w:szCs w:val="24"/>
          <w:highlight w:val="none"/>
          <w:lang w:val="en-US" w:eastAsia="zh-CN"/>
        </w:rPr>
        <w:t>二次报价（</w:t>
      </w:r>
      <w:r>
        <w:rPr>
          <w:rFonts w:hint="eastAsia" w:ascii="Times New Roman" w:hAnsi="Times New Roman" w:eastAsia="宋体"/>
          <w:color w:val="auto"/>
          <w:sz w:val="24"/>
          <w:szCs w:val="24"/>
          <w:highlight w:val="none"/>
        </w:rPr>
        <w:t>即最后报价，下同</w:t>
      </w:r>
      <w:r>
        <w:rPr>
          <w:rFonts w:hint="eastAsia" w:ascii="Times New Roman" w:hAnsi="Times New Roman" w:eastAsia="宋体"/>
          <w:color w:val="auto"/>
          <w:sz w:val="24"/>
          <w:szCs w:val="24"/>
          <w:highlight w:val="none"/>
          <w:lang w:val="en-US" w:eastAsia="zh-CN"/>
        </w:rPr>
        <w:t>）</w:t>
      </w:r>
      <w:r>
        <w:rPr>
          <w:rFonts w:ascii="Times New Roman" w:hAnsi="Times New Roman" w:eastAsia="宋体"/>
          <w:color w:val="auto"/>
          <w:sz w:val="24"/>
          <w:szCs w:val="24"/>
          <w:highlight w:val="none"/>
        </w:rPr>
        <w:t>，少报无效。</w:t>
      </w:r>
    </w:p>
    <w:p w14:paraId="179B1C4B">
      <w:pPr>
        <w:pStyle w:val="21"/>
        <w:snapToGrid w:val="0"/>
        <w:spacing w:line="480" w:lineRule="exact"/>
        <w:ind w:firstLine="494"/>
        <w:contextualSpacing/>
        <w:rPr>
          <w:rFonts w:ascii="Times New Roman" w:hAnsi="Times New Roman" w:eastAsia="宋体"/>
          <w:b/>
          <w:bCs/>
          <w:color w:val="auto"/>
          <w:sz w:val="24"/>
          <w:szCs w:val="24"/>
          <w:highlight w:val="none"/>
        </w:rPr>
      </w:pPr>
      <w:r>
        <w:rPr>
          <w:rFonts w:ascii="Times New Roman" w:hAnsi="Times New Roman" w:eastAsia="宋体"/>
          <w:b/>
          <w:bCs/>
          <w:color w:val="auto"/>
          <w:sz w:val="24"/>
          <w:szCs w:val="24"/>
          <w:highlight w:val="none"/>
        </w:rPr>
        <w:t>2、</w:t>
      </w:r>
      <w:r>
        <w:rPr>
          <w:rFonts w:hint="eastAsia" w:ascii="Times New Roman" w:hAnsi="Times New Roman" w:eastAsia="宋体"/>
          <w:b/>
          <w:bCs/>
          <w:color w:val="auto"/>
          <w:sz w:val="24"/>
          <w:szCs w:val="24"/>
          <w:highlight w:val="none"/>
          <w:u w:val="thick" w:color="FF0000"/>
        </w:rPr>
        <w:t>本项目投标报价为固定</w:t>
      </w:r>
      <w:r>
        <w:rPr>
          <w:rFonts w:hint="eastAsia" w:ascii="Times New Roman" w:hAnsi="Times New Roman" w:eastAsia="宋体"/>
          <w:b/>
          <w:bCs/>
          <w:color w:val="auto"/>
          <w:sz w:val="24"/>
          <w:szCs w:val="24"/>
          <w:highlight w:val="none"/>
          <w:u w:val="thick" w:color="FF0000"/>
          <w:lang w:val="en-US" w:eastAsia="zh-CN"/>
        </w:rPr>
        <w:t>总价</w:t>
      </w:r>
      <w:r>
        <w:rPr>
          <w:rFonts w:hint="eastAsia" w:ascii="Times New Roman" w:hAnsi="Times New Roman" w:eastAsia="宋体"/>
          <w:b/>
          <w:bCs/>
          <w:color w:val="auto"/>
          <w:sz w:val="24"/>
          <w:szCs w:val="24"/>
          <w:highlight w:val="none"/>
          <w:u w:val="thick" w:color="FF0000"/>
        </w:rPr>
        <w:t>进行报价，</w:t>
      </w:r>
      <w:r>
        <w:rPr>
          <w:rFonts w:hint="eastAsia" w:ascii="Times New Roman" w:hAnsi="Times New Roman" w:eastAsia="宋体"/>
          <w:b/>
          <w:bCs/>
          <w:color w:val="auto"/>
          <w:sz w:val="24"/>
          <w:szCs w:val="24"/>
          <w:highlight w:val="none"/>
          <w:u w:val="thick" w:color="FF0000"/>
          <w:lang w:val="zh-CN"/>
        </w:rPr>
        <w:t>包括</w:t>
      </w:r>
      <w:r>
        <w:rPr>
          <w:rFonts w:hint="eastAsia" w:ascii="Times New Roman" w:hAnsi="Times New Roman" w:eastAsia="宋体"/>
          <w:b/>
          <w:bCs/>
          <w:color w:val="auto"/>
          <w:sz w:val="24"/>
          <w:szCs w:val="24"/>
          <w:highlight w:val="none"/>
          <w:u w:val="thick" w:color="FF0000"/>
          <w:lang w:val="en-US" w:eastAsia="zh-CN"/>
        </w:rPr>
        <w:t>但不限于</w:t>
      </w:r>
      <w:r>
        <w:rPr>
          <w:rFonts w:hint="eastAsia" w:ascii="Times New Roman" w:hAnsi="Times New Roman" w:eastAsia="宋体"/>
          <w:b/>
          <w:bCs/>
          <w:color w:val="auto"/>
          <w:sz w:val="24"/>
          <w:szCs w:val="24"/>
          <w:highlight w:val="none"/>
          <w:u w:val="thick" w:color="FF0000"/>
          <w:lang w:val="zh-CN"/>
        </w:rPr>
        <w:t>人工费、差旅费及其它辅助费用、管理、维护、保险、利润、税金、</w:t>
      </w:r>
      <w:r>
        <w:rPr>
          <w:rFonts w:hint="eastAsia" w:ascii="Times New Roman" w:hAnsi="Times New Roman" w:eastAsia="宋体"/>
          <w:b/>
          <w:bCs/>
          <w:color w:val="auto"/>
          <w:sz w:val="24"/>
          <w:szCs w:val="24"/>
          <w:highlight w:val="none"/>
          <w:u w:val="thick" w:color="FF0000"/>
        </w:rPr>
        <w:t>售后服务等全部费用和政策性文件规定及合同包含的所有风险、责任等各项应有费用。</w:t>
      </w:r>
    </w:p>
    <w:p w14:paraId="12021A0A">
      <w:pPr>
        <w:pStyle w:val="21"/>
        <w:snapToGrid w:val="0"/>
        <w:spacing w:line="480" w:lineRule="exact"/>
        <w:ind w:firstLine="494"/>
        <w:contextualSpacing/>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3、最后报价将作为磋商小组评定成交供应商的组成依据。</w:t>
      </w:r>
    </w:p>
    <w:p w14:paraId="67949339">
      <w:pPr>
        <w:snapToGrid w:val="0"/>
        <w:spacing w:line="480" w:lineRule="exact"/>
        <w:ind w:firstLine="482" w:firstLineChars="200"/>
        <w:rPr>
          <w:color w:val="auto"/>
          <w:sz w:val="24"/>
          <w:highlight w:val="none"/>
        </w:rPr>
      </w:pPr>
      <w:r>
        <w:rPr>
          <w:b/>
          <w:color w:val="auto"/>
          <w:sz w:val="24"/>
          <w:highlight w:val="none"/>
          <w:lang w:val="zh-CN"/>
        </w:rPr>
        <w:t>五、</w:t>
      </w:r>
      <w:r>
        <w:rPr>
          <w:b/>
          <w:bCs/>
          <w:color w:val="auto"/>
          <w:sz w:val="24"/>
          <w:highlight w:val="none"/>
        </w:rPr>
        <w:t>相关费用</w:t>
      </w:r>
    </w:p>
    <w:p w14:paraId="08576466">
      <w:pPr>
        <w:snapToGrid w:val="0"/>
        <w:spacing w:line="480" w:lineRule="exact"/>
        <w:ind w:firstLine="480" w:firstLineChars="200"/>
        <w:contextualSpacing/>
        <w:rPr>
          <w:color w:val="auto"/>
          <w:sz w:val="24"/>
          <w:highlight w:val="none"/>
        </w:rPr>
      </w:pPr>
      <w:r>
        <w:rPr>
          <w:color w:val="auto"/>
          <w:sz w:val="24"/>
          <w:highlight w:val="none"/>
        </w:rPr>
        <w:t>1、供应商承担参与磋商可能发生的全部费用，采购人在任何情况下均无义务和责任承担这些费用。</w:t>
      </w:r>
    </w:p>
    <w:p w14:paraId="54E77E8A">
      <w:pPr>
        <w:snapToGrid w:val="0"/>
        <w:spacing w:line="480" w:lineRule="exact"/>
        <w:ind w:firstLine="480" w:firstLineChars="200"/>
        <w:contextualSpacing/>
        <w:rPr>
          <w:color w:val="auto"/>
          <w:sz w:val="24"/>
          <w:highlight w:val="none"/>
        </w:rPr>
      </w:pPr>
      <w:r>
        <w:rPr>
          <w:color w:val="auto"/>
          <w:sz w:val="24"/>
          <w:highlight w:val="none"/>
        </w:rPr>
        <w:t>2、采购人不收取任何费用。</w:t>
      </w:r>
    </w:p>
    <w:p w14:paraId="084BD962">
      <w:pPr>
        <w:snapToGrid w:val="0"/>
        <w:spacing w:line="440" w:lineRule="exact"/>
        <w:ind w:firstLine="480" w:firstLineChars="200"/>
        <w:outlineLvl w:val="1"/>
        <w:rPr>
          <w:rFonts w:ascii="宋体" w:hAnsi="宋体" w:cs="宋体"/>
          <w:color w:val="auto"/>
          <w:sz w:val="24"/>
          <w:highlight w:val="none"/>
        </w:rPr>
      </w:pPr>
      <w:r>
        <w:rPr>
          <w:rFonts w:hint="eastAsia"/>
          <w:bCs/>
          <w:color w:val="auto"/>
          <w:sz w:val="24"/>
          <w:highlight w:val="none"/>
        </w:rPr>
        <w:t>3、</w:t>
      </w:r>
      <w:r>
        <w:rPr>
          <w:rFonts w:hint="eastAsia" w:ascii="宋体" w:hAnsi="宋体" w:cs="宋体"/>
          <w:color w:val="auto"/>
          <w:sz w:val="24"/>
          <w:highlight w:val="none"/>
        </w:rPr>
        <w:t>本项目采购代理服务费3000元及专家评审费（按实际支出）由供应商综合考虑在报价内（不得单列），成交</w:t>
      </w:r>
      <w:r>
        <w:rPr>
          <w:rFonts w:hint="eastAsia" w:ascii="宋体" w:hAnsi="宋体" w:cs="宋体"/>
          <w:color w:val="auto"/>
          <w:sz w:val="24"/>
          <w:highlight w:val="none"/>
          <w:lang w:eastAsia="zh-CN"/>
        </w:rPr>
        <w:t>供应商在</w:t>
      </w:r>
      <w:r>
        <w:rPr>
          <w:rFonts w:hint="eastAsia" w:ascii="宋体" w:hAnsi="宋体" w:cs="宋体"/>
          <w:color w:val="auto"/>
          <w:sz w:val="24"/>
          <w:highlight w:val="none"/>
        </w:rPr>
        <w:t>领取《成交通知书》时一次性</w:t>
      </w:r>
      <w:r>
        <w:rPr>
          <w:rFonts w:hint="eastAsia" w:ascii="宋体" w:hAnsi="宋体" w:cs="宋体"/>
          <w:color w:val="auto"/>
          <w:sz w:val="24"/>
          <w:highlight w:val="none"/>
          <w:lang w:val="en-US" w:eastAsia="zh-CN"/>
        </w:rPr>
        <w:t>支付给采购代理机构</w:t>
      </w:r>
      <w:r>
        <w:rPr>
          <w:rFonts w:hint="eastAsia" w:ascii="宋体" w:hAnsi="宋体" w:cs="宋体"/>
          <w:color w:val="auto"/>
          <w:sz w:val="24"/>
          <w:highlight w:val="none"/>
        </w:rPr>
        <w:t>。</w:t>
      </w:r>
    </w:p>
    <w:p w14:paraId="17C7D206">
      <w:pPr>
        <w:snapToGrid w:val="0"/>
        <w:spacing w:line="480" w:lineRule="exact"/>
        <w:ind w:firstLine="482" w:firstLineChars="200"/>
        <w:contextualSpacing/>
        <w:rPr>
          <w:b/>
          <w:color w:val="auto"/>
          <w:sz w:val="24"/>
          <w:highlight w:val="none"/>
        </w:rPr>
      </w:pPr>
      <w:r>
        <w:rPr>
          <w:rFonts w:hint="eastAsia"/>
          <w:b/>
          <w:bCs/>
          <w:color w:val="auto"/>
          <w:sz w:val="24"/>
          <w:highlight w:val="none"/>
          <w:lang w:val="en-US" w:eastAsia="zh-CN"/>
        </w:rPr>
        <w:t>六</w:t>
      </w:r>
      <w:r>
        <w:rPr>
          <w:b/>
          <w:bCs/>
          <w:color w:val="auto"/>
          <w:sz w:val="24"/>
          <w:highlight w:val="none"/>
        </w:rPr>
        <w:t>、</w:t>
      </w:r>
      <w:r>
        <w:rPr>
          <w:b/>
          <w:color w:val="auto"/>
          <w:sz w:val="24"/>
          <w:highlight w:val="none"/>
        </w:rPr>
        <w:t>竞争性磋商程序简介</w:t>
      </w:r>
    </w:p>
    <w:p w14:paraId="067AA502">
      <w:pPr>
        <w:snapToGrid w:val="0"/>
        <w:spacing w:line="480" w:lineRule="exact"/>
        <w:ind w:firstLine="480" w:firstLineChars="200"/>
        <w:contextualSpacing/>
        <w:rPr>
          <w:color w:val="auto"/>
          <w:sz w:val="24"/>
          <w:highlight w:val="none"/>
        </w:rPr>
      </w:pPr>
      <w:r>
        <w:rPr>
          <w:b w:val="0"/>
          <w:bCs/>
          <w:color w:val="auto"/>
          <w:sz w:val="24"/>
          <w:highlight w:val="none"/>
        </w:rPr>
        <w:t>采购代理机构先对资格审查文件进行拆封，磋商小组审查响应供应商资格，</w:t>
      </w:r>
      <w:r>
        <w:rPr>
          <w:color w:val="auto"/>
          <w:sz w:val="24"/>
          <w:highlight w:val="none"/>
        </w:rPr>
        <w:t>符合资格的供应商接受磋商小组的各轮磋商。磋商结束后要求所有实质性响应的供应商在规定时间内提交最后报价，磋商小组采用综合评分法对提交最后报价的供应商的响应文件和最后报价进行评分，</w:t>
      </w:r>
      <w:r>
        <w:rPr>
          <w:rFonts w:hint="eastAsia" w:ascii="宋体" w:hAnsi="宋体" w:cs="宋体"/>
          <w:color w:val="auto"/>
          <w:sz w:val="24"/>
          <w:highlight w:val="none"/>
        </w:rPr>
        <w:t>依据评审方法推荐成交候选人</w:t>
      </w:r>
      <w:r>
        <w:rPr>
          <w:color w:val="auto"/>
          <w:sz w:val="24"/>
          <w:highlight w:val="none"/>
        </w:rPr>
        <w:t>。</w:t>
      </w:r>
    </w:p>
    <w:p w14:paraId="0478CC86">
      <w:pPr>
        <w:autoSpaceDE w:val="0"/>
        <w:autoSpaceDN w:val="0"/>
        <w:adjustRightInd w:val="0"/>
        <w:snapToGrid w:val="0"/>
        <w:spacing w:line="480" w:lineRule="exact"/>
        <w:ind w:right="210" w:firstLine="472" w:firstLineChars="196"/>
        <w:contextualSpacing/>
        <w:rPr>
          <w:b/>
          <w:bCs/>
          <w:color w:val="auto"/>
          <w:sz w:val="24"/>
          <w:highlight w:val="none"/>
        </w:rPr>
      </w:pPr>
      <w:r>
        <w:rPr>
          <w:rFonts w:hint="eastAsia"/>
          <w:b/>
          <w:bCs/>
          <w:color w:val="auto"/>
          <w:sz w:val="24"/>
          <w:highlight w:val="none"/>
          <w:lang w:val="en-US" w:eastAsia="zh-CN"/>
        </w:rPr>
        <w:t>七</w:t>
      </w:r>
      <w:r>
        <w:rPr>
          <w:b/>
          <w:bCs/>
          <w:color w:val="auto"/>
          <w:sz w:val="24"/>
          <w:highlight w:val="none"/>
        </w:rPr>
        <w:t>、相关提示</w:t>
      </w:r>
    </w:p>
    <w:p w14:paraId="1A267E8E">
      <w:pPr>
        <w:snapToGrid w:val="0"/>
        <w:spacing w:line="480" w:lineRule="exact"/>
        <w:ind w:firstLine="480" w:firstLineChars="200"/>
        <w:contextualSpacing/>
        <w:rPr>
          <w:bCs/>
          <w:color w:val="auto"/>
          <w:sz w:val="24"/>
          <w:highlight w:val="none"/>
        </w:rPr>
      </w:pPr>
      <w:r>
        <w:rPr>
          <w:bCs/>
          <w:color w:val="auto"/>
          <w:sz w:val="24"/>
          <w:highlight w:val="none"/>
        </w:rPr>
        <w:t>商务技术部分评审结束后进入最后报价环节，最后报价将作为评审价。采购代理机构发出最后报价填报通知后，所有的响应供应商须在</w:t>
      </w:r>
      <w:r>
        <w:rPr>
          <w:rFonts w:hint="eastAsia"/>
          <w:bCs/>
          <w:color w:val="auto"/>
          <w:sz w:val="24"/>
          <w:highlight w:val="none"/>
        </w:rPr>
        <w:t>规定时间</w:t>
      </w:r>
      <w:r>
        <w:rPr>
          <w:bCs/>
          <w:color w:val="auto"/>
          <w:sz w:val="24"/>
          <w:highlight w:val="none"/>
        </w:rPr>
        <w:t>内填写并提交最后报价，未在规定时间内提交最后报价的，视作无效响应处理。</w:t>
      </w:r>
    </w:p>
    <w:p w14:paraId="4DA93067">
      <w:pPr>
        <w:autoSpaceDE w:val="0"/>
        <w:autoSpaceDN w:val="0"/>
        <w:adjustRightInd w:val="0"/>
        <w:snapToGrid w:val="0"/>
        <w:spacing w:line="300" w:lineRule="auto"/>
        <w:jc w:val="center"/>
        <w:outlineLvl w:val="0"/>
        <w:rPr>
          <w:rFonts w:asciiTheme="minorEastAsia" w:hAnsiTheme="minorEastAsia" w:eastAsiaTheme="minorEastAsia"/>
          <w:b/>
          <w:bCs/>
          <w:color w:val="auto"/>
          <w:szCs w:val="21"/>
          <w:highlight w:val="none"/>
          <w:lang w:val="zh-CN"/>
        </w:rPr>
      </w:pPr>
      <w:r>
        <w:rPr>
          <w:rFonts w:ascii="仿宋_GB2312" w:eastAsia="仿宋_GB2312"/>
          <w:b/>
          <w:bCs/>
          <w:color w:val="auto"/>
          <w:sz w:val="36"/>
          <w:szCs w:val="36"/>
          <w:highlight w:val="none"/>
          <w:lang w:val="zh-CN"/>
        </w:rPr>
        <w:br w:type="page"/>
      </w:r>
      <w:r>
        <w:rPr>
          <w:rFonts w:hint="eastAsia" w:asciiTheme="minorEastAsia" w:hAnsiTheme="minorEastAsia" w:eastAsiaTheme="minorEastAsia"/>
          <w:b/>
          <w:bCs/>
          <w:color w:val="auto"/>
          <w:sz w:val="36"/>
          <w:szCs w:val="36"/>
          <w:highlight w:val="none"/>
          <w:lang w:val="zh-CN"/>
        </w:rPr>
        <w:t>第三部分 项目需求</w:t>
      </w:r>
    </w:p>
    <w:p w14:paraId="64870858">
      <w:pPr>
        <w:adjustRightInd w:val="0"/>
        <w:snapToGrid w:val="0"/>
        <w:spacing w:line="500" w:lineRule="exact"/>
        <w:ind w:firstLine="482" w:firstLineChars="200"/>
        <w:rPr>
          <w:rFonts w:hint="eastAsia" w:ascii="宋体" w:cs="宋体"/>
          <w:b/>
          <w:color w:val="auto"/>
          <w:kern w:val="0"/>
          <w:sz w:val="24"/>
          <w:highlight w:val="none"/>
          <w:lang w:val="zh-CN"/>
        </w:rPr>
      </w:pPr>
      <w:r>
        <w:rPr>
          <w:rFonts w:hint="eastAsia"/>
          <w:b/>
          <w:color w:val="auto"/>
          <w:sz w:val="24"/>
          <w:highlight w:val="none"/>
        </w:rPr>
        <w:t>供应商</w:t>
      </w:r>
      <w:r>
        <w:rPr>
          <w:b/>
          <w:color w:val="auto"/>
          <w:sz w:val="24"/>
          <w:highlight w:val="none"/>
          <w:lang w:val="zh-CN"/>
        </w:rPr>
        <w:t>在制作</w:t>
      </w:r>
      <w:r>
        <w:rPr>
          <w:rFonts w:hint="eastAsia"/>
          <w:b/>
          <w:color w:val="auto"/>
          <w:sz w:val="24"/>
          <w:highlight w:val="none"/>
        </w:rPr>
        <w:t>响应</w:t>
      </w:r>
      <w:r>
        <w:rPr>
          <w:b/>
          <w:color w:val="auto"/>
          <w:sz w:val="24"/>
          <w:highlight w:val="none"/>
          <w:lang w:val="zh-CN"/>
        </w:rPr>
        <w:t>文件时仔细研究项目需求说明。项目需求包括技术要求和商务要求:技术要求是指对采购标的功能和质量要求，包括性能、材料、结构、外观、安全，或者服务内容和标准等</w:t>
      </w:r>
      <w:r>
        <w:rPr>
          <w:rFonts w:hint="eastAsia"/>
          <w:b/>
          <w:color w:val="auto"/>
          <w:sz w:val="24"/>
          <w:highlight w:val="none"/>
          <w:lang w:val="zh-CN"/>
        </w:rPr>
        <w:t>；</w:t>
      </w:r>
      <w:r>
        <w:rPr>
          <w:b/>
          <w:color w:val="auto"/>
          <w:sz w:val="24"/>
          <w:highlight w:val="none"/>
          <w:lang w:val="zh-CN"/>
        </w:rPr>
        <w:t>商务要求是指取得采购标的的时间、地点、财务和服务要求，包括交付（实施）的时间（期限）和地点（范围），付款条件（进度和方法），</w:t>
      </w:r>
      <w:r>
        <w:rPr>
          <w:rFonts w:hint="eastAsia"/>
          <w:b/>
          <w:color w:val="auto"/>
          <w:sz w:val="24"/>
          <w:highlight w:val="none"/>
        </w:rPr>
        <w:t>商品</w:t>
      </w:r>
      <w:r>
        <w:rPr>
          <w:b/>
          <w:color w:val="auto"/>
          <w:sz w:val="24"/>
          <w:highlight w:val="none"/>
          <w:lang w:val="zh-CN"/>
        </w:rPr>
        <w:t>包装</w:t>
      </w:r>
      <w:r>
        <w:rPr>
          <w:rFonts w:hint="eastAsia"/>
          <w:b/>
          <w:color w:val="auto"/>
          <w:sz w:val="24"/>
          <w:highlight w:val="none"/>
          <w:lang w:val="zh-CN"/>
        </w:rPr>
        <w:t>、</w:t>
      </w:r>
      <w:r>
        <w:rPr>
          <w:rFonts w:hint="eastAsia"/>
          <w:b/>
          <w:color w:val="auto"/>
          <w:sz w:val="24"/>
          <w:highlight w:val="none"/>
        </w:rPr>
        <w:t>快递包装</w:t>
      </w:r>
      <w:r>
        <w:rPr>
          <w:b/>
          <w:color w:val="auto"/>
          <w:sz w:val="24"/>
          <w:highlight w:val="none"/>
          <w:lang w:val="zh-CN"/>
        </w:rPr>
        <w:t>和运输，售后服务，保险等。</w:t>
      </w:r>
    </w:p>
    <w:p w14:paraId="7609221C">
      <w:pPr>
        <w:pStyle w:val="21"/>
        <w:snapToGrid w:val="0"/>
        <w:spacing w:line="480" w:lineRule="exact"/>
        <w:ind w:firstLine="482" w:firstLineChars="200"/>
        <w:rPr>
          <w:rFonts w:ascii="宋体" w:eastAsia="宋体"/>
          <w:color w:val="auto"/>
          <w:sz w:val="24"/>
          <w:szCs w:val="24"/>
          <w:highlight w:val="none"/>
        </w:rPr>
      </w:pPr>
      <w:r>
        <w:rPr>
          <w:rFonts w:hint="eastAsia" w:ascii="宋体" w:eastAsia="宋体" w:cs="宋体"/>
          <w:b/>
          <w:color w:val="auto"/>
          <w:kern w:val="0"/>
          <w:sz w:val="24"/>
          <w:szCs w:val="24"/>
          <w:highlight w:val="none"/>
          <w:lang w:val="zh-CN"/>
        </w:rPr>
        <w:t>请供应商在制作响应文件时仔细研究项目需求说明。</w:t>
      </w:r>
      <w:r>
        <w:rPr>
          <w:rFonts w:hint="eastAsia" w:ascii="宋体" w:eastAsia="宋体" w:cs="宋体"/>
          <w:color w:val="auto"/>
          <w:kern w:val="0"/>
          <w:sz w:val="24"/>
          <w:szCs w:val="24"/>
          <w:highlight w:val="none"/>
          <w:lang w:val="zh-CN"/>
        </w:rPr>
        <w:t>供应商不能简单照搬照抄采购单位项目需求说明中的技术、商务要求，必须作实事求是地响应。如照搬照抄项目需求说明中的技术、商务要求的，成交后供应商在同采购单位签订合同和履约环节中不得提出异议，一切后果和损失由成交供应商承担。如供应商提供的货物和服务同采购单位提出的项目需求说明中的技术、商务要求不同的，必须在《商</w:t>
      </w:r>
      <w:r>
        <w:rPr>
          <w:rFonts w:hint="eastAsia" w:ascii="宋体" w:eastAsia="宋体"/>
          <w:color w:val="auto"/>
          <w:sz w:val="24"/>
          <w:szCs w:val="24"/>
          <w:highlight w:val="none"/>
        </w:rPr>
        <w:t>务部分正负偏离表》和《技术部分正负偏离表》上明示，</w:t>
      </w:r>
      <w:r>
        <w:rPr>
          <w:rFonts w:hint="eastAsia" w:ascii="宋体" w:eastAsia="宋体"/>
          <w:b/>
          <w:bCs/>
          <w:color w:val="auto"/>
          <w:sz w:val="24"/>
          <w:szCs w:val="24"/>
          <w:highlight w:val="none"/>
        </w:rPr>
        <w:t>如不明示的视同完全响应</w:t>
      </w:r>
      <w:r>
        <w:rPr>
          <w:rFonts w:hint="eastAsia" w:ascii="宋体" w:eastAsia="宋体" w:cs="宋体"/>
          <w:color w:val="auto"/>
          <w:kern w:val="0"/>
          <w:sz w:val="24"/>
          <w:szCs w:val="24"/>
          <w:highlight w:val="none"/>
          <w:lang w:val="zh-CN"/>
        </w:rPr>
        <w:t>。</w:t>
      </w:r>
    </w:p>
    <w:p w14:paraId="08CA829C">
      <w:pPr>
        <w:snapToGrid w:val="0"/>
        <w:spacing w:line="480" w:lineRule="exact"/>
        <w:ind w:firstLine="482" w:firstLineChars="200"/>
        <w:rPr>
          <w:rFonts w:hint="default" w:ascii="宋体" w:hAnsi="宋体" w:eastAsia="宋体"/>
          <w:b/>
          <w:color w:val="auto"/>
          <w:sz w:val="24"/>
          <w:highlight w:val="none"/>
          <w:lang w:val="en-US" w:eastAsia="zh-CN"/>
        </w:rPr>
      </w:pPr>
      <w:r>
        <w:rPr>
          <w:rFonts w:hint="eastAsia" w:ascii="宋体" w:hAnsi="宋体"/>
          <w:b/>
          <w:color w:val="auto"/>
          <w:sz w:val="24"/>
          <w:highlight w:val="none"/>
        </w:rPr>
        <w:t>一、</w:t>
      </w:r>
      <w:r>
        <w:rPr>
          <w:rFonts w:hint="eastAsia" w:ascii="宋体" w:hAnsi="宋体"/>
          <w:b/>
          <w:color w:val="auto"/>
          <w:sz w:val="24"/>
          <w:highlight w:val="none"/>
          <w:lang w:val="en-US" w:eastAsia="zh-CN"/>
        </w:rPr>
        <w:t>项目概况</w:t>
      </w:r>
    </w:p>
    <w:p w14:paraId="7393DF60">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80" w:lineRule="exact"/>
        <w:ind w:firstLine="480" w:firstLineChars="200"/>
        <w:textAlignment w:val="auto"/>
        <w:rPr>
          <w:rFonts w:hint="eastAsia" w:eastAsia="宋体" w:cs="宋体"/>
          <w:b w:val="0"/>
          <w:bCs w:val="0"/>
          <w:color w:val="auto"/>
          <w:sz w:val="24"/>
          <w:highlight w:val="none"/>
          <w:lang w:eastAsia="zh-CN"/>
        </w:rPr>
      </w:pPr>
      <w:r>
        <w:rPr>
          <w:rFonts w:hint="eastAsia" w:cs="宋体"/>
          <w:b w:val="0"/>
          <w:bCs w:val="0"/>
          <w:color w:val="auto"/>
          <w:sz w:val="24"/>
          <w:highlight w:val="none"/>
          <w:lang w:val="en-US" w:eastAsia="zh-CN"/>
        </w:rPr>
        <w:t>1、</w:t>
      </w:r>
      <w:r>
        <w:rPr>
          <w:rFonts w:hint="eastAsia" w:cs="宋体"/>
          <w:b w:val="0"/>
          <w:bCs w:val="0"/>
          <w:color w:val="auto"/>
          <w:sz w:val="24"/>
          <w:highlight w:val="none"/>
        </w:rPr>
        <w:t>工程地点：南通报业新闻传媒中心</w:t>
      </w:r>
      <w:r>
        <w:rPr>
          <w:rFonts w:hint="eastAsia" w:cs="宋体"/>
          <w:b w:val="0"/>
          <w:bCs w:val="0"/>
          <w:color w:val="auto"/>
          <w:sz w:val="24"/>
          <w:highlight w:val="none"/>
          <w:lang w:eastAsia="zh-CN"/>
        </w:rPr>
        <w:t>；</w:t>
      </w:r>
    </w:p>
    <w:p w14:paraId="18E6C3DD">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80" w:lineRule="exact"/>
        <w:ind w:firstLine="480" w:firstLineChars="200"/>
        <w:textAlignment w:val="auto"/>
        <w:rPr>
          <w:rFonts w:hint="eastAsia" w:eastAsia="宋体" w:cs="宋体"/>
          <w:b w:val="0"/>
          <w:bCs w:val="0"/>
          <w:color w:val="auto"/>
          <w:sz w:val="24"/>
          <w:highlight w:val="none"/>
          <w:lang w:eastAsia="zh-CN"/>
        </w:rPr>
      </w:pPr>
      <w:r>
        <w:rPr>
          <w:rFonts w:hint="eastAsia" w:cs="宋体"/>
          <w:b w:val="0"/>
          <w:bCs w:val="0"/>
          <w:color w:val="auto"/>
          <w:sz w:val="24"/>
          <w:highlight w:val="none"/>
          <w:lang w:val="en-US" w:eastAsia="zh-CN"/>
        </w:rPr>
        <w:t>2、</w:t>
      </w:r>
      <w:r>
        <w:rPr>
          <w:rFonts w:hint="eastAsia" w:cs="宋体"/>
          <w:b w:val="0"/>
          <w:bCs w:val="0"/>
          <w:color w:val="auto"/>
          <w:sz w:val="24"/>
          <w:highlight w:val="none"/>
        </w:rPr>
        <w:t>项目分类：隐框玻璃幕墙系统</w:t>
      </w:r>
      <w:r>
        <w:rPr>
          <w:rFonts w:hint="eastAsia" w:cs="宋体"/>
          <w:b w:val="0"/>
          <w:bCs w:val="0"/>
          <w:color w:val="auto"/>
          <w:sz w:val="24"/>
          <w:highlight w:val="none"/>
          <w:lang w:eastAsia="zh-CN"/>
        </w:rPr>
        <w:t>；</w:t>
      </w:r>
    </w:p>
    <w:p w14:paraId="3D276480">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80" w:lineRule="exact"/>
        <w:ind w:firstLine="480" w:firstLineChars="200"/>
        <w:textAlignment w:val="auto"/>
        <w:rPr>
          <w:rFonts w:hint="eastAsia" w:cs="宋体"/>
          <w:b w:val="0"/>
          <w:bCs w:val="0"/>
          <w:color w:val="auto"/>
          <w:sz w:val="24"/>
          <w:highlight w:val="none"/>
        </w:rPr>
      </w:pPr>
      <w:r>
        <w:rPr>
          <w:rFonts w:hint="eastAsia" w:cs="宋体"/>
          <w:b w:val="0"/>
          <w:bCs w:val="0"/>
          <w:color w:val="auto"/>
          <w:sz w:val="24"/>
          <w:highlight w:val="none"/>
          <w:lang w:val="en-US" w:eastAsia="zh-CN"/>
        </w:rPr>
        <w:t>3、</w:t>
      </w:r>
      <w:r>
        <w:rPr>
          <w:rFonts w:hint="eastAsia" w:cs="宋体"/>
          <w:b w:val="0"/>
          <w:bCs w:val="0"/>
          <w:color w:val="auto"/>
          <w:sz w:val="24"/>
          <w:highlight w:val="none"/>
        </w:rPr>
        <w:t>地区粗糙度：B类；</w:t>
      </w:r>
    </w:p>
    <w:p w14:paraId="5E217064">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80" w:lineRule="exact"/>
        <w:ind w:firstLine="480" w:firstLineChars="200"/>
        <w:textAlignment w:val="auto"/>
        <w:rPr>
          <w:rFonts w:hint="eastAsia" w:cs="宋体"/>
          <w:b w:val="0"/>
          <w:bCs w:val="0"/>
          <w:color w:val="auto"/>
          <w:sz w:val="24"/>
          <w:highlight w:val="none"/>
        </w:rPr>
      </w:pPr>
      <w:r>
        <w:rPr>
          <w:rFonts w:hint="eastAsia" w:cs="宋体"/>
          <w:b w:val="0"/>
          <w:bCs w:val="0"/>
          <w:color w:val="auto"/>
          <w:sz w:val="24"/>
          <w:highlight w:val="none"/>
          <w:lang w:val="en-US" w:eastAsia="zh-CN"/>
        </w:rPr>
        <w:t>4、</w:t>
      </w:r>
      <w:r>
        <w:rPr>
          <w:rFonts w:hint="eastAsia" w:cs="宋体"/>
          <w:b w:val="0"/>
          <w:bCs w:val="0"/>
          <w:color w:val="auto"/>
          <w:sz w:val="24"/>
          <w:highlight w:val="none"/>
        </w:rPr>
        <w:t>结构类型：混凝土框架结构；</w:t>
      </w:r>
    </w:p>
    <w:p w14:paraId="432973B4">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80" w:lineRule="exact"/>
        <w:ind w:firstLine="480" w:firstLineChars="200"/>
        <w:textAlignment w:val="auto"/>
        <w:rPr>
          <w:rFonts w:hint="eastAsia" w:cs="宋体"/>
          <w:b w:val="0"/>
          <w:bCs w:val="0"/>
          <w:color w:val="auto"/>
          <w:sz w:val="24"/>
          <w:highlight w:val="none"/>
        </w:rPr>
      </w:pPr>
      <w:r>
        <w:rPr>
          <w:rFonts w:hint="eastAsia" w:cs="宋体"/>
          <w:b w:val="0"/>
          <w:bCs w:val="0"/>
          <w:color w:val="auto"/>
          <w:sz w:val="24"/>
          <w:highlight w:val="none"/>
          <w:lang w:val="en-US" w:eastAsia="zh-CN"/>
        </w:rPr>
        <w:t>5、</w:t>
      </w:r>
      <w:r>
        <w:rPr>
          <w:rFonts w:hint="eastAsia" w:cs="宋体"/>
          <w:b w:val="0"/>
          <w:bCs w:val="0"/>
          <w:color w:val="auto"/>
          <w:sz w:val="24"/>
          <w:highlight w:val="none"/>
        </w:rPr>
        <w:t>建筑耐火等级：二级；</w:t>
      </w:r>
    </w:p>
    <w:p w14:paraId="4E17254F">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80" w:lineRule="exact"/>
        <w:ind w:firstLine="480" w:firstLineChars="200"/>
        <w:textAlignment w:val="auto"/>
        <w:rPr>
          <w:rFonts w:hint="eastAsia" w:cs="宋体"/>
          <w:b w:val="0"/>
          <w:bCs w:val="0"/>
          <w:color w:val="auto"/>
          <w:sz w:val="24"/>
          <w:highlight w:val="none"/>
        </w:rPr>
      </w:pPr>
      <w:r>
        <w:rPr>
          <w:rFonts w:hint="eastAsia" w:cs="宋体"/>
          <w:b w:val="0"/>
          <w:bCs w:val="0"/>
          <w:color w:val="auto"/>
          <w:sz w:val="24"/>
          <w:highlight w:val="none"/>
          <w:lang w:val="en-US" w:eastAsia="zh-CN"/>
        </w:rPr>
        <w:t>6、</w:t>
      </w:r>
      <w:r>
        <w:rPr>
          <w:rFonts w:hint="eastAsia" w:cs="宋体"/>
          <w:b w:val="0"/>
          <w:bCs w:val="0"/>
          <w:color w:val="auto"/>
          <w:sz w:val="24"/>
          <w:highlight w:val="none"/>
        </w:rPr>
        <w:t>建筑防雷：二类；</w:t>
      </w:r>
    </w:p>
    <w:p w14:paraId="566D6B38">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80" w:lineRule="exact"/>
        <w:ind w:firstLine="480" w:firstLineChars="200"/>
        <w:textAlignment w:val="auto"/>
        <w:rPr>
          <w:rFonts w:hint="eastAsia" w:cs="宋体"/>
          <w:b w:val="0"/>
          <w:bCs w:val="0"/>
          <w:color w:val="auto"/>
          <w:sz w:val="24"/>
          <w:highlight w:val="none"/>
        </w:rPr>
      </w:pPr>
      <w:r>
        <w:rPr>
          <w:rFonts w:hint="eastAsia" w:cs="宋体"/>
          <w:b w:val="0"/>
          <w:bCs w:val="0"/>
          <w:color w:val="auto"/>
          <w:sz w:val="24"/>
          <w:highlight w:val="none"/>
          <w:lang w:val="en-US" w:eastAsia="zh-CN"/>
        </w:rPr>
        <w:t>7、</w:t>
      </w:r>
      <w:r>
        <w:rPr>
          <w:rFonts w:hint="eastAsia" w:cs="宋体"/>
          <w:b w:val="0"/>
          <w:bCs w:val="0"/>
          <w:color w:val="auto"/>
          <w:sz w:val="24"/>
          <w:highlight w:val="none"/>
        </w:rPr>
        <w:t>建筑层数：二十七层；</w:t>
      </w:r>
    </w:p>
    <w:p w14:paraId="666B1111">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80" w:lineRule="exact"/>
        <w:ind w:firstLine="480" w:firstLineChars="200"/>
        <w:textAlignment w:val="auto"/>
        <w:rPr>
          <w:rFonts w:hint="eastAsia" w:cs="宋体"/>
          <w:b w:val="0"/>
          <w:bCs w:val="0"/>
          <w:color w:val="auto"/>
          <w:sz w:val="24"/>
          <w:highlight w:val="none"/>
        </w:rPr>
      </w:pPr>
      <w:r>
        <w:rPr>
          <w:rFonts w:hint="eastAsia" w:cs="宋体"/>
          <w:b w:val="0"/>
          <w:bCs w:val="0"/>
          <w:color w:val="auto"/>
          <w:sz w:val="24"/>
          <w:highlight w:val="none"/>
          <w:lang w:val="en-US" w:eastAsia="zh-CN"/>
        </w:rPr>
        <w:t>8、</w:t>
      </w:r>
      <w:r>
        <w:rPr>
          <w:rFonts w:hint="eastAsia" w:cs="宋体"/>
          <w:b w:val="0"/>
          <w:bCs w:val="0"/>
          <w:color w:val="auto"/>
          <w:sz w:val="24"/>
          <w:highlight w:val="none"/>
        </w:rPr>
        <w:t>建筑高度：120.25米；</w:t>
      </w:r>
    </w:p>
    <w:p w14:paraId="0B9824C3">
      <w:pPr>
        <w:snapToGrid w:val="0"/>
        <w:spacing w:line="480" w:lineRule="exact"/>
        <w:ind w:firstLine="482" w:firstLineChars="200"/>
        <w:rPr>
          <w:rFonts w:hint="eastAsia" w:ascii="宋体" w:hAnsi="宋体"/>
          <w:b/>
          <w:color w:val="auto"/>
          <w:sz w:val="24"/>
          <w:highlight w:val="none"/>
          <w:lang w:val="en-US" w:eastAsia="zh-CN"/>
        </w:rPr>
      </w:pPr>
      <w:r>
        <w:rPr>
          <w:rFonts w:hint="eastAsia" w:ascii="宋体" w:hAnsi="宋体"/>
          <w:b/>
          <w:color w:val="auto"/>
          <w:sz w:val="24"/>
          <w:highlight w:val="none"/>
          <w:lang w:val="en-US" w:eastAsia="zh-CN"/>
        </w:rPr>
        <w:t>二、工程概述</w:t>
      </w:r>
    </w:p>
    <w:p w14:paraId="7306F20E">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80" w:lineRule="exact"/>
        <w:ind w:firstLine="480" w:firstLineChars="200"/>
        <w:textAlignment w:val="auto"/>
        <w:rPr>
          <w:rFonts w:hint="default" w:cs="宋体"/>
          <w:b w:val="0"/>
          <w:bCs w:val="0"/>
          <w:color w:val="auto"/>
          <w:sz w:val="24"/>
          <w:highlight w:val="none"/>
          <w:lang w:val="en-US" w:eastAsia="zh-CN"/>
        </w:rPr>
      </w:pPr>
      <w:r>
        <w:rPr>
          <w:rFonts w:hint="default" w:cs="宋体"/>
          <w:b w:val="0"/>
          <w:bCs w:val="0"/>
          <w:color w:val="auto"/>
          <w:sz w:val="24"/>
          <w:highlight w:val="none"/>
          <w:lang w:val="en-US" w:eastAsia="zh-CN"/>
        </w:rPr>
        <w:t>本</w:t>
      </w:r>
      <w:r>
        <w:rPr>
          <w:rFonts w:hint="eastAsia" w:cs="宋体"/>
          <w:b w:val="0"/>
          <w:bCs w:val="0"/>
          <w:color w:val="auto"/>
          <w:sz w:val="24"/>
          <w:highlight w:val="none"/>
          <w:lang w:val="en-US" w:eastAsia="zh-CN"/>
        </w:rPr>
        <w:t>大楼</w:t>
      </w:r>
      <w:r>
        <w:rPr>
          <w:rFonts w:hint="default" w:cs="宋体"/>
          <w:b w:val="0"/>
          <w:bCs w:val="0"/>
          <w:color w:val="auto"/>
          <w:sz w:val="24"/>
          <w:highlight w:val="none"/>
          <w:lang w:val="en-US" w:eastAsia="zh-CN"/>
        </w:rPr>
        <w:t xml:space="preserve">由主楼和裙楼组成。外部装饰为玻璃及铝单板幕墙。玻璃幕墙采用竖隐横明结构。 </w:t>
      </w:r>
    </w:p>
    <w:p w14:paraId="35F1C973">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80" w:lineRule="exact"/>
        <w:ind w:firstLine="480" w:firstLineChars="200"/>
        <w:textAlignment w:val="auto"/>
        <w:rPr>
          <w:rFonts w:hint="default" w:cs="宋体"/>
          <w:b w:val="0"/>
          <w:bCs w:val="0"/>
          <w:color w:val="auto"/>
          <w:sz w:val="24"/>
          <w:highlight w:val="none"/>
          <w:lang w:val="en-US" w:eastAsia="zh-CN"/>
        </w:rPr>
      </w:pPr>
      <w:r>
        <w:rPr>
          <w:rFonts w:hint="default" w:cs="宋体"/>
          <w:b w:val="0"/>
          <w:bCs w:val="0"/>
          <w:color w:val="auto"/>
          <w:sz w:val="24"/>
          <w:highlight w:val="none"/>
          <w:lang w:val="en-US" w:eastAsia="zh-CN"/>
        </w:rPr>
        <w:t>幕墙主体结构使用</w:t>
      </w:r>
      <w:r>
        <w:rPr>
          <w:rFonts w:hint="eastAsia" w:cs="宋体"/>
          <w:b w:val="0"/>
          <w:bCs w:val="0"/>
          <w:color w:val="auto"/>
          <w:sz w:val="24"/>
          <w:highlight w:val="none"/>
          <w:lang w:val="en-US" w:eastAsia="zh-CN"/>
        </w:rPr>
        <w:t>10</w:t>
      </w:r>
      <w:r>
        <w:rPr>
          <w:rFonts w:hint="default" w:cs="宋体"/>
          <w:b w:val="0"/>
          <w:bCs w:val="0"/>
          <w:color w:val="auto"/>
          <w:sz w:val="24"/>
          <w:highlight w:val="none"/>
          <w:lang w:val="en-US" w:eastAsia="zh-CN"/>
        </w:rPr>
        <w:t>年左右部分有变形、错位、松动，部分连接件有锈蚀现象；结构胶有开裂、起泡及老化现象；部分开启扇不灵活，且有过掉落现象，局部渗漏现象时有发生；有明显风化腐蚀现象。高度超过100 M为确保国家财产及办公人员安全现对本大楼外部维护保养单位公开招标。</w:t>
      </w:r>
    </w:p>
    <w:p w14:paraId="36B6F9A4">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80" w:lineRule="exact"/>
        <w:ind w:firstLine="482" w:firstLineChars="200"/>
        <w:textAlignment w:val="auto"/>
        <w:rPr>
          <w:rFonts w:hint="default" w:cs="宋体"/>
          <w:b/>
          <w:bCs/>
          <w:color w:val="auto"/>
          <w:sz w:val="24"/>
          <w:highlight w:val="none"/>
          <w:lang w:val="en-US" w:eastAsia="zh-CN"/>
        </w:rPr>
      </w:pPr>
      <w:r>
        <w:rPr>
          <w:rFonts w:hint="default" w:cs="宋体"/>
          <w:b/>
          <w:bCs/>
          <w:color w:val="auto"/>
          <w:sz w:val="24"/>
          <w:highlight w:val="none"/>
          <w:lang w:val="en-US" w:eastAsia="zh-CN"/>
        </w:rPr>
        <w:t>特别说明：</w:t>
      </w:r>
    </w:p>
    <w:p w14:paraId="55D66F6F">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80" w:lineRule="exact"/>
        <w:ind w:firstLine="482" w:firstLineChars="200"/>
        <w:textAlignment w:val="auto"/>
        <w:rPr>
          <w:rFonts w:hint="default" w:cs="宋体"/>
          <w:b/>
          <w:bCs/>
          <w:color w:val="auto"/>
          <w:sz w:val="24"/>
          <w:highlight w:val="none"/>
          <w:lang w:val="en-US" w:eastAsia="zh-CN"/>
        </w:rPr>
      </w:pPr>
      <w:r>
        <w:rPr>
          <w:rFonts w:hint="eastAsia" w:cs="宋体"/>
          <w:b/>
          <w:bCs/>
          <w:color w:val="auto"/>
          <w:sz w:val="24"/>
          <w:highlight w:val="none"/>
          <w:lang w:val="en-US" w:eastAsia="zh-CN"/>
        </w:rPr>
        <w:t>1、</w:t>
      </w:r>
      <w:r>
        <w:rPr>
          <w:rFonts w:hint="default" w:cs="宋体"/>
          <w:b/>
          <w:bCs/>
          <w:color w:val="auto"/>
          <w:sz w:val="24"/>
          <w:highlight w:val="none"/>
          <w:lang w:val="en-US" w:eastAsia="zh-CN"/>
        </w:rPr>
        <w:t>本工程高空作业比较多。不影响大楼办公运营，大楼周边行人及来往车辆较多，必须做好安全防护措施。</w:t>
      </w:r>
    </w:p>
    <w:p w14:paraId="5866CCFA">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80" w:lineRule="exact"/>
        <w:ind w:firstLine="482" w:firstLineChars="200"/>
        <w:textAlignment w:val="auto"/>
        <w:rPr>
          <w:rFonts w:hint="default" w:cs="宋体"/>
          <w:b/>
          <w:bCs/>
          <w:color w:val="auto"/>
          <w:sz w:val="24"/>
          <w:highlight w:val="none"/>
          <w:lang w:val="en-US" w:eastAsia="zh-CN"/>
        </w:rPr>
      </w:pPr>
      <w:r>
        <w:rPr>
          <w:rFonts w:hint="eastAsia" w:cs="宋体"/>
          <w:b/>
          <w:bCs/>
          <w:color w:val="auto"/>
          <w:sz w:val="24"/>
          <w:highlight w:val="none"/>
          <w:lang w:val="en-US" w:eastAsia="zh-CN"/>
        </w:rPr>
        <w:t>2、</w:t>
      </w:r>
      <w:r>
        <w:rPr>
          <w:rFonts w:hint="default" w:cs="宋体"/>
          <w:b/>
          <w:bCs/>
          <w:color w:val="auto"/>
          <w:sz w:val="24"/>
          <w:highlight w:val="none"/>
          <w:lang w:val="en-US" w:eastAsia="zh-CN"/>
        </w:rPr>
        <w:t>对施工区域做好防护工作，搭设人行安全通道，做好防高空坠落等措施。</w:t>
      </w:r>
    </w:p>
    <w:p w14:paraId="648D7474">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80" w:lineRule="exact"/>
        <w:ind w:firstLine="482" w:firstLineChars="200"/>
        <w:textAlignment w:val="auto"/>
        <w:rPr>
          <w:rFonts w:hint="default" w:cs="宋体"/>
          <w:b/>
          <w:bCs/>
          <w:color w:val="auto"/>
          <w:sz w:val="24"/>
          <w:highlight w:val="none"/>
          <w:lang w:val="en-US" w:eastAsia="zh-CN"/>
        </w:rPr>
      </w:pPr>
      <w:r>
        <w:rPr>
          <w:rFonts w:hint="eastAsia" w:cs="宋体"/>
          <w:b/>
          <w:bCs/>
          <w:color w:val="auto"/>
          <w:sz w:val="24"/>
          <w:highlight w:val="none"/>
          <w:lang w:val="en-US" w:eastAsia="zh-CN"/>
        </w:rPr>
        <w:t>3、</w:t>
      </w:r>
      <w:r>
        <w:rPr>
          <w:rFonts w:hint="default" w:cs="宋体"/>
          <w:b/>
          <w:bCs/>
          <w:color w:val="auto"/>
          <w:sz w:val="24"/>
          <w:highlight w:val="none"/>
          <w:lang w:val="en-US" w:eastAsia="zh-CN"/>
        </w:rPr>
        <w:t>高空作业采用吊篮或脚手架施工，必须做好安全防范措施。</w:t>
      </w:r>
    </w:p>
    <w:p w14:paraId="58DC0C1B">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80" w:lineRule="exact"/>
        <w:ind w:firstLine="482" w:firstLineChars="200"/>
        <w:textAlignment w:val="auto"/>
        <w:rPr>
          <w:rFonts w:hint="default" w:cs="宋体"/>
          <w:b w:val="0"/>
          <w:bCs w:val="0"/>
          <w:color w:val="auto"/>
          <w:sz w:val="24"/>
          <w:highlight w:val="none"/>
          <w:lang w:val="en-US" w:eastAsia="zh-CN"/>
        </w:rPr>
      </w:pPr>
      <w:r>
        <w:rPr>
          <w:rFonts w:hint="eastAsia" w:cs="宋体"/>
          <w:b/>
          <w:bCs/>
          <w:color w:val="auto"/>
          <w:sz w:val="24"/>
          <w:highlight w:val="none"/>
          <w:lang w:val="en-US" w:eastAsia="zh-CN"/>
        </w:rPr>
        <w:t>4、</w:t>
      </w:r>
      <w:r>
        <w:rPr>
          <w:rFonts w:hint="default" w:cs="宋体"/>
          <w:b/>
          <w:bCs/>
          <w:color w:val="auto"/>
          <w:sz w:val="24"/>
          <w:highlight w:val="none"/>
          <w:lang w:val="en-US" w:eastAsia="zh-CN"/>
        </w:rPr>
        <w:t>部分需要更换幕墙开启窗外框及开启扇型材、内侧增加五金配件等。</w:t>
      </w:r>
    </w:p>
    <w:p w14:paraId="21CAC8F2">
      <w:pPr>
        <w:numPr>
          <w:ilvl w:val="0"/>
          <w:numId w:val="1"/>
        </w:numPr>
        <w:snapToGrid w:val="0"/>
        <w:spacing w:line="480" w:lineRule="exact"/>
        <w:ind w:firstLine="482" w:firstLineChars="200"/>
        <w:rPr>
          <w:rFonts w:hint="default"/>
          <w:color w:val="auto"/>
          <w:highlight w:val="none"/>
          <w:lang w:val="en-US" w:eastAsia="zh-CN"/>
        </w:rPr>
      </w:pPr>
      <w:r>
        <w:rPr>
          <w:rFonts w:hint="eastAsia" w:ascii="宋体" w:hAnsi="宋体"/>
          <w:b/>
          <w:color w:val="auto"/>
          <w:sz w:val="24"/>
          <w:highlight w:val="none"/>
          <w:lang w:val="en-US" w:eastAsia="zh-CN"/>
        </w:rPr>
        <w:t>服务内容</w:t>
      </w:r>
    </w:p>
    <w:p w14:paraId="2AC9F9C1">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80" w:lineRule="exact"/>
        <w:ind w:firstLine="482" w:firstLineChars="200"/>
        <w:textAlignment w:val="auto"/>
        <w:rPr>
          <w:rFonts w:hint="default" w:cs="宋体"/>
          <w:b/>
          <w:bCs/>
          <w:color w:val="auto"/>
          <w:sz w:val="24"/>
          <w:highlight w:val="none"/>
          <w:lang w:val="en-US" w:eastAsia="zh-CN"/>
        </w:rPr>
      </w:pPr>
      <w:r>
        <w:rPr>
          <w:rFonts w:hint="eastAsia" w:cs="宋体"/>
          <w:b/>
          <w:bCs/>
          <w:color w:val="auto"/>
          <w:sz w:val="24"/>
          <w:highlight w:val="none"/>
          <w:lang w:val="en-US" w:eastAsia="zh-CN"/>
        </w:rPr>
        <w:t>1、</w:t>
      </w:r>
      <w:r>
        <w:rPr>
          <w:rFonts w:hint="default" w:cs="宋体"/>
          <w:b/>
          <w:bCs/>
          <w:color w:val="auto"/>
          <w:sz w:val="24"/>
          <w:highlight w:val="none"/>
          <w:lang w:val="en-US" w:eastAsia="zh-CN"/>
        </w:rPr>
        <w:t>所有外立面装饰</w:t>
      </w:r>
    </w:p>
    <w:p w14:paraId="4B38DDFB">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80" w:lineRule="exact"/>
        <w:ind w:firstLine="480" w:firstLineChars="200"/>
        <w:textAlignment w:val="auto"/>
        <w:rPr>
          <w:rFonts w:hint="default" w:cs="宋体"/>
          <w:b w:val="0"/>
          <w:bCs w:val="0"/>
          <w:color w:val="auto"/>
          <w:sz w:val="24"/>
          <w:highlight w:val="none"/>
          <w:lang w:val="en-US" w:eastAsia="zh-CN"/>
        </w:rPr>
      </w:pPr>
      <w:r>
        <w:rPr>
          <w:rFonts w:hint="eastAsia" w:cs="宋体"/>
          <w:b w:val="0"/>
          <w:bCs w:val="0"/>
          <w:color w:val="auto"/>
          <w:sz w:val="24"/>
          <w:highlight w:val="none"/>
          <w:lang w:val="en-US" w:eastAsia="zh-CN"/>
        </w:rPr>
        <w:t>1）</w:t>
      </w:r>
      <w:r>
        <w:rPr>
          <w:rFonts w:hint="default" w:cs="宋体"/>
          <w:b w:val="0"/>
          <w:bCs w:val="0"/>
          <w:color w:val="auto"/>
          <w:sz w:val="24"/>
          <w:highlight w:val="none"/>
          <w:lang w:val="en-US" w:eastAsia="zh-CN"/>
        </w:rPr>
        <w:t>玻璃幕墙35000</w:t>
      </w:r>
      <w:r>
        <w:rPr>
          <w:rFonts w:hint="eastAsia" w:cs="宋体"/>
          <w:b w:val="0"/>
          <w:bCs w:val="0"/>
          <w:color w:val="auto"/>
          <w:sz w:val="24"/>
          <w:highlight w:val="none"/>
          <w:lang w:val="en-US" w:eastAsia="zh-CN"/>
        </w:rPr>
        <w:t>㎡</w:t>
      </w:r>
      <w:r>
        <w:rPr>
          <w:rFonts w:hint="default" w:cs="宋体"/>
          <w:b w:val="0"/>
          <w:bCs w:val="0"/>
          <w:color w:val="auto"/>
          <w:sz w:val="24"/>
          <w:highlight w:val="none"/>
          <w:lang w:val="en-US" w:eastAsia="zh-CN"/>
        </w:rPr>
        <w:t>、铝单板幕墙6500</w:t>
      </w:r>
      <w:r>
        <w:rPr>
          <w:rFonts w:hint="eastAsia" w:cs="宋体"/>
          <w:b w:val="0"/>
          <w:bCs w:val="0"/>
          <w:color w:val="auto"/>
          <w:sz w:val="24"/>
          <w:highlight w:val="none"/>
          <w:lang w:val="en-US" w:eastAsia="zh-CN"/>
        </w:rPr>
        <w:t>㎡</w:t>
      </w:r>
      <w:r>
        <w:rPr>
          <w:rFonts w:hint="default" w:cs="宋体"/>
          <w:b w:val="0"/>
          <w:bCs w:val="0"/>
          <w:color w:val="auto"/>
          <w:sz w:val="24"/>
          <w:highlight w:val="none"/>
          <w:lang w:val="en-US" w:eastAsia="zh-CN"/>
        </w:rPr>
        <w:t>、雨棚350</w:t>
      </w:r>
      <w:r>
        <w:rPr>
          <w:rFonts w:hint="eastAsia" w:cs="宋体"/>
          <w:b w:val="0"/>
          <w:bCs w:val="0"/>
          <w:color w:val="auto"/>
          <w:sz w:val="24"/>
          <w:highlight w:val="none"/>
          <w:lang w:val="en-US" w:eastAsia="zh-CN"/>
        </w:rPr>
        <w:t>㎡</w:t>
      </w:r>
      <w:r>
        <w:rPr>
          <w:rFonts w:hint="default" w:cs="宋体"/>
          <w:b w:val="0"/>
          <w:bCs w:val="0"/>
          <w:color w:val="auto"/>
          <w:sz w:val="24"/>
          <w:highlight w:val="none"/>
          <w:lang w:val="en-US" w:eastAsia="zh-CN"/>
        </w:rPr>
        <w:t>、所有幕墙门窗。</w:t>
      </w:r>
    </w:p>
    <w:p w14:paraId="478719D6">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80" w:lineRule="exact"/>
        <w:ind w:firstLine="480" w:firstLineChars="200"/>
        <w:textAlignment w:val="auto"/>
        <w:rPr>
          <w:rFonts w:hint="default" w:cs="宋体"/>
          <w:b w:val="0"/>
          <w:bCs w:val="0"/>
          <w:color w:val="auto"/>
          <w:sz w:val="24"/>
          <w:highlight w:val="none"/>
          <w:lang w:val="en-US" w:eastAsia="zh-CN"/>
        </w:rPr>
      </w:pPr>
      <w:r>
        <w:rPr>
          <w:rFonts w:hint="eastAsia" w:cs="宋体"/>
          <w:b w:val="0"/>
          <w:bCs w:val="0"/>
          <w:color w:val="auto"/>
          <w:sz w:val="24"/>
          <w:highlight w:val="none"/>
          <w:lang w:val="en-US" w:eastAsia="zh-CN"/>
        </w:rPr>
        <w:t>2）</w:t>
      </w:r>
      <w:r>
        <w:rPr>
          <w:rFonts w:hint="default" w:cs="宋体"/>
          <w:b w:val="0"/>
          <w:bCs w:val="0"/>
          <w:color w:val="auto"/>
          <w:sz w:val="24"/>
          <w:highlight w:val="none"/>
          <w:lang w:val="en-US" w:eastAsia="zh-CN"/>
        </w:rPr>
        <w:t>定期对外立面玻璃进行检查、确保无松动掉落现象发生。</w:t>
      </w:r>
    </w:p>
    <w:p w14:paraId="34B3ABA6">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80" w:lineRule="exact"/>
        <w:ind w:firstLine="480" w:firstLineChars="200"/>
        <w:textAlignment w:val="auto"/>
        <w:rPr>
          <w:rFonts w:hint="default" w:cs="宋体"/>
          <w:b w:val="0"/>
          <w:bCs w:val="0"/>
          <w:color w:val="auto"/>
          <w:sz w:val="24"/>
          <w:highlight w:val="none"/>
          <w:lang w:val="en-US" w:eastAsia="zh-CN"/>
        </w:rPr>
      </w:pPr>
      <w:r>
        <w:rPr>
          <w:rFonts w:hint="eastAsia" w:cs="宋体"/>
          <w:b w:val="0"/>
          <w:bCs w:val="0"/>
          <w:color w:val="auto"/>
          <w:sz w:val="24"/>
          <w:highlight w:val="none"/>
          <w:lang w:val="en-US" w:eastAsia="zh-CN"/>
        </w:rPr>
        <w:t>3）</w:t>
      </w:r>
      <w:r>
        <w:rPr>
          <w:rFonts w:hint="default" w:cs="宋体"/>
          <w:b w:val="0"/>
          <w:bCs w:val="0"/>
          <w:color w:val="auto"/>
          <w:sz w:val="24"/>
          <w:highlight w:val="none"/>
          <w:lang w:val="en-US" w:eastAsia="zh-CN"/>
        </w:rPr>
        <w:t>定期对所有开启窗进行检查维护，确保无松动掉落现象发生。</w:t>
      </w:r>
    </w:p>
    <w:p w14:paraId="7008C537">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80" w:lineRule="exact"/>
        <w:ind w:firstLine="480" w:firstLineChars="200"/>
        <w:textAlignment w:val="auto"/>
        <w:rPr>
          <w:rFonts w:hint="default" w:cs="宋体"/>
          <w:b w:val="0"/>
          <w:bCs w:val="0"/>
          <w:color w:val="auto"/>
          <w:sz w:val="24"/>
          <w:highlight w:val="none"/>
          <w:lang w:val="en-US" w:eastAsia="zh-CN"/>
        </w:rPr>
      </w:pPr>
      <w:r>
        <w:rPr>
          <w:rFonts w:hint="eastAsia" w:cs="宋体"/>
          <w:b w:val="0"/>
          <w:bCs w:val="0"/>
          <w:color w:val="auto"/>
          <w:sz w:val="24"/>
          <w:highlight w:val="none"/>
          <w:lang w:val="en-US" w:eastAsia="zh-CN"/>
        </w:rPr>
        <w:t>4）</w:t>
      </w:r>
      <w:r>
        <w:rPr>
          <w:rFonts w:hint="default" w:cs="宋体"/>
          <w:b w:val="0"/>
          <w:bCs w:val="0"/>
          <w:color w:val="auto"/>
          <w:sz w:val="24"/>
          <w:highlight w:val="none"/>
          <w:lang w:val="en-US" w:eastAsia="zh-CN"/>
        </w:rPr>
        <w:t>对所损坏的玻璃、五金配件进行更换维修。</w:t>
      </w:r>
    </w:p>
    <w:p w14:paraId="64282C30">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80" w:lineRule="exact"/>
        <w:ind w:firstLine="480" w:firstLineChars="200"/>
        <w:textAlignment w:val="auto"/>
        <w:rPr>
          <w:rFonts w:hint="default" w:cs="宋体"/>
          <w:b w:val="0"/>
          <w:bCs w:val="0"/>
          <w:color w:val="auto"/>
          <w:sz w:val="24"/>
          <w:highlight w:val="none"/>
          <w:lang w:val="en-US" w:eastAsia="zh-CN"/>
        </w:rPr>
      </w:pPr>
      <w:r>
        <w:rPr>
          <w:rFonts w:hint="eastAsia" w:cs="宋体"/>
          <w:b w:val="0"/>
          <w:bCs w:val="0"/>
          <w:color w:val="auto"/>
          <w:sz w:val="24"/>
          <w:highlight w:val="none"/>
          <w:lang w:val="en-US" w:eastAsia="zh-CN"/>
        </w:rPr>
        <w:t>5）</w:t>
      </w:r>
      <w:r>
        <w:rPr>
          <w:rFonts w:hint="default" w:cs="宋体"/>
          <w:b w:val="0"/>
          <w:bCs w:val="0"/>
          <w:color w:val="auto"/>
          <w:sz w:val="24"/>
          <w:highlight w:val="none"/>
          <w:lang w:val="en-US" w:eastAsia="zh-CN"/>
        </w:rPr>
        <w:t>对幕墙内部结构进行检修保养，必要时进行更换。</w:t>
      </w:r>
    </w:p>
    <w:p w14:paraId="10067521">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80" w:lineRule="exact"/>
        <w:ind w:firstLine="482" w:firstLineChars="200"/>
        <w:textAlignment w:val="auto"/>
        <w:rPr>
          <w:rFonts w:hint="default" w:cs="宋体"/>
          <w:b/>
          <w:bCs/>
          <w:color w:val="auto"/>
          <w:sz w:val="24"/>
          <w:highlight w:val="none"/>
          <w:lang w:val="en-US" w:eastAsia="zh-CN"/>
        </w:rPr>
      </w:pPr>
      <w:r>
        <w:rPr>
          <w:rFonts w:hint="eastAsia" w:cs="宋体"/>
          <w:b/>
          <w:bCs/>
          <w:color w:val="auto"/>
          <w:sz w:val="24"/>
          <w:highlight w:val="none"/>
          <w:lang w:val="en-US" w:eastAsia="zh-CN"/>
        </w:rPr>
        <w:t>2、</w:t>
      </w:r>
      <w:r>
        <w:rPr>
          <w:rFonts w:hint="default" w:cs="宋体"/>
          <w:b/>
          <w:bCs/>
          <w:color w:val="auto"/>
          <w:sz w:val="24"/>
          <w:highlight w:val="none"/>
          <w:lang w:val="en-US" w:eastAsia="zh-CN"/>
        </w:rPr>
        <w:t>维保范畴界定及责任划分</w:t>
      </w:r>
    </w:p>
    <w:p w14:paraId="2661163D">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80" w:lineRule="exact"/>
        <w:ind w:firstLine="480" w:firstLineChars="200"/>
        <w:textAlignment w:val="auto"/>
        <w:rPr>
          <w:rFonts w:hint="default" w:cs="宋体"/>
          <w:b w:val="0"/>
          <w:bCs w:val="0"/>
          <w:color w:val="auto"/>
          <w:sz w:val="24"/>
          <w:highlight w:val="none"/>
          <w:lang w:val="en-US" w:eastAsia="zh-CN"/>
        </w:rPr>
      </w:pPr>
      <w:r>
        <w:rPr>
          <w:rFonts w:hint="eastAsia" w:cs="宋体"/>
          <w:b w:val="0"/>
          <w:bCs w:val="0"/>
          <w:color w:val="auto"/>
          <w:sz w:val="24"/>
          <w:highlight w:val="none"/>
          <w:lang w:val="en-US" w:eastAsia="zh-CN"/>
        </w:rPr>
        <w:t>1）</w:t>
      </w:r>
      <w:r>
        <w:rPr>
          <w:rFonts w:hint="default" w:cs="宋体"/>
          <w:b w:val="0"/>
          <w:bCs w:val="0"/>
          <w:color w:val="auto"/>
          <w:sz w:val="24"/>
          <w:highlight w:val="none"/>
          <w:lang w:val="en-US" w:eastAsia="zh-CN"/>
        </w:rPr>
        <w:t>日常维护范围界定；</w:t>
      </w:r>
    </w:p>
    <w:p w14:paraId="525B7269">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80" w:lineRule="exact"/>
        <w:ind w:firstLine="480" w:firstLineChars="200"/>
        <w:textAlignment w:val="auto"/>
        <w:rPr>
          <w:rFonts w:hint="default" w:cs="宋体"/>
          <w:b w:val="0"/>
          <w:bCs w:val="0"/>
          <w:color w:val="auto"/>
          <w:sz w:val="24"/>
          <w:highlight w:val="none"/>
          <w:lang w:val="en-US" w:eastAsia="zh-CN"/>
        </w:rPr>
      </w:pPr>
      <w:r>
        <w:rPr>
          <w:rFonts w:hint="eastAsia" w:cs="宋体"/>
          <w:b w:val="0"/>
          <w:bCs w:val="0"/>
          <w:color w:val="auto"/>
          <w:sz w:val="24"/>
          <w:highlight w:val="none"/>
          <w:lang w:val="en-US" w:eastAsia="zh-CN"/>
        </w:rPr>
        <w:t>2）</w:t>
      </w:r>
      <w:r>
        <w:rPr>
          <w:rFonts w:hint="default" w:cs="宋体"/>
          <w:b w:val="0"/>
          <w:bCs w:val="0"/>
          <w:color w:val="auto"/>
          <w:sz w:val="24"/>
          <w:highlight w:val="none"/>
          <w:lang w:val="en-US" w:eastAsia="zh-CN"/>
        </w:rPr>
        <w:t>塔楼玻璃幕墙：27878.84</w:t>
      </w:r>
      <w:r>
        <w:rPr>
          <w:rFonts w:hint="eastAsia" w:cs="宋体"/>
          <w:b w:val="0"/>
          <w:bCs w:val="0"/>
          <w:color w:val="auto"/>
          <w:sz w:val="24"/>
          <w:highlight w:val="none"/>
          <w:lang w:val="en-US" w:eastAsia="zh-CN"/>
        </w:rPr>
        <w:t>㎡</w:t>
      </w:r>
    </w:p>
    <w:p w14:paraId="797EBF6A">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80" w:lineRule="exact"/>
        <w:ind w:firstLine="480" w:firstLineChars="200"/>
        <w:textAlignment w:val="auto"/>
        <w:rPr>
          <w:rFonts w:hint="default" w:cs="宋体"/>
          <w:b w:val="0"/>
          <w:bCs w:val="0"/>
          <w:color w:val="auto"/>
          <w:sz w:val="24"/>
          <w:highlight w:val="none"/>
          <w:lang w:val="en-US" w:eastAsia="zh-CN"/>
        </w:rPr>
      </w:pPr>
      <w:r>
        <w:rPr>
          <w:rFonts w:hint="eastAsia" w:cs="宋体"/>
          <w:b w:val="0"/>
          <w:bCs w:val="0"/>
          <w:color w:val="auto"/>
          <w:sz w:val="24"/>
          <w:highlight w:val="none"/>
          <w:lang w:val="en-US" w:eastAsia="zh-CN"/>
        </w:rPr>
        <w:t>3）</w:t>
      </w:r>
      <w:r>
        <w:rPr>
          <w:rFonts w:hint="default" w:cs="宋体"/>
          <w:b w:val="0"/>
          <w:bCs w:val="0"/>
          <w:color w:val="auto"/>
          <w:sz w:val="24"/>
          <w:highlight w:val="none"/>
          <w:lang w:val="en-US" w:eastAsia="zh-CN"/>
        </w:rPr>
        <w:t>塔楼铝板:  2675.60</w:t>
      </w:r>
      <w:r>
        <w:rPr>
          <w:rFonts w:hint="eastAsia" w:cs="宋体"/>
          <w:b w:val="0"/>
          <w:bCs w:val="0"/>
          <w:color w:val="auto"/>
          <w:sz w:val="24"/>
          <w:highlight w:val="none"/>
          <w:lang w:val="en-US" w:eastAsia="zh-CN"/>
        </w:rPr>
        <w:t>㎡</w:t>
      </w:r>
    </w:p>
    <w:p w14:paraId="28B06C11">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80" w:lineRule="exact"/>
        <w:ind w:firstLine="480" w:firstLineChars="200"/>
        <w:textAlignment w:val="auto"/>
        <w:rPr>
          <w:rFonts w:hint="default" w:cs="宋体"/>
          <w:b w:val="0"/>
          <w:bCs w:val="0"/>
          <w:color w:val="auto"/>
          <w:sz w:val="24"/>
          <w:highlight w:val="none"/>
          <w:lang w:val="en-US" w:eastAsia="zh-CN"/>
        </w:rPr>
      </w:pPr>
      <w:r>
        <w:rPr>
          <w:rFonts w:hint="eastAsia" w:cs="宋体"/>
          <w:b w:val="0"/>
          <w:bCs w:val="0"/>
          <w:color w:val="auto"/>
          <w:sz w:val="24"/>
          <w:highlight w:val="none"/>
          <w:lang w:val="en-US" w:eastAsia="zh-CN"/>
        </w:rPr>
        <w:t>4）</w:t>
      </w:r>
      <w:r>
        <w:rPr>
          <w:rFonts w:hint="default" w:cs="宋体"/>
          <w:b w:val="0"/>
          <w:bCs w:val="0"/>
          <w:color w:val="auto"/>
          <w:sz w:val="24"/>
          <w:highlight w:val="none"/>
          <w:lang w:val="en-US" w:eastAsia="zh-CN"/>
        </w:rPr>
        <w:t>裙楼-玻璃幕墙:7853.63</w:t>
      </w:r>
      <w:r>
        <w:rPr>
          <w:rFonts w:hint="eastAsia" w:cs="宋体"/>
          <w:b w:val="0"/>
          <w:bCs w:val="0"/>
          <w:color w:val="auto"/>
          <w:sz w:val="24"/>
          <w:highlight w:val="none"/>
          <w:lang w:val="en-US" w:eastAsia="zh-CN"/>
        </w:rPr>
        <w:t>㎡</w:t>
      </w:r>
    </w:p>
    <w:p w14:paraId="3BD4C002">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80" w:lineRule="exact"/>
        <w:ind w:firstLine="480" w:firstLineChars="200"/>
        <w:textAlignment w:val="auto"/>
        <w:rPr>
          <w:rFonts w:hint="default" w:cs="宋体"/>
          <w:b w:val="0"/>
          <w:bCs w:val="0"/>
          <w:color w:val="auto"/>
          <w:sz w:val="24"/>
          <w:highlight w:val="none"/>
          <w:lang w:val="en-US" w:eastAsia="zh-CN"/>
        </w:rPr>
      </w:pPr>
      <w:r>
        <w:rPr>
          <w:rFonts w:hint="eastAsia" w:cs="宋体"/>
          <w:b w:val="0"/>
          <w:bCs w:val="0"/>
          <w:color w:val="auto"/>
          <w:sz w:val="24"/>
          <w:highlight w:val="none"/>
          <w:lang w:val="en-US" w:eastAsia="zh-CN"/>
        </w:rPr>
        <w:t>5）</w:t>
      </w:r>
      <w:r>
        <w:rPr>
          <w:rFonts w:hint="default" w:cs="宋体"/>
          <w:b w:val="0"/>
          <w:bCs w:val="0"/>
          <w:color w:val="auto"/>
          <w:sz w:val="24"/>
          <w:highlight w:val="none"/>
          <w:lang w:val="en-US" w:eastAsia="zh-CN"/>
        </w:rPr>
        <w:t>裙楼-铝单板:4461</w:t>
      </w:r>
      <w:r>
        <w:rPr>
          <w:rFonts w:hint="eastAsia" w:cs="宋体"/>
          <w:b w:val="0"/>
          <w:bCs w:val="0"/>
          <w:color w:val="auto"/>
          <w:sz w:val="24"/>
          <w:highlight w:val="none"/>
          <w:lang w:val="en-US" w:eastAsia="zh-CN"/>
        </w:rPr>
        <w:t>㎡</w:t>
      </w:r>
    </w:p>
    <w:p w14:paraId="127006F9">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80" w:lineRule="exact"/>
        <w:ind w:firstLine="480" w:firstLineChars="200"/>
        <w:textAlignment w:val="auto"/>
        <w:rPr>
          <w:rFonts w:hint="default" w:cs="宋体"/>
          <w:b w:val="0"/>
          <w:bCs w:val="0"/>
          <w:color w:val="auto"/>
          <w:sz w:val="24"/>
          <w:highlight w:val="none"/>
          <w:lang w:val="en-US" w:eastAsia="zh-CN"/>
        </w:rPr>
      </w:pPr>
      <w:r>
        <w:rPr>
          <w:rFonts w:hint="eastAsia" w:cs="宋体"/>
          <w:b w:val="0"/>
          <w:bCs w:val="0"/>
          <w:color w:val="auto"/>
          <w:sz w:val="24"/>
          <w:highlight w:val="none"/>
          <w:lang w:val="en-US" w:eastAsia="zh-CN"/>
        </w:rPr>
        <w:t>6）</w:t>
      </w:r>
      <w:r>
        <w:rPr>
          <w:rFonts w:hint="default" w:cs="宋体"/>
          <w:b w:val="0"/>
          <w:bCs w:val="0"/>
          <w:color w:val="auto"/>
          <w:sz w:val="24"/>
          <w:highlight w:val="none"/>
          <w:lang w:val="en-US" w:eastAsia="zh-CN"/>
        </w:rPr>
        <w:t>雨棚：275.85</w:t>
      </w:r>
      <w:r>
        <w:rPr>
          <w:rFonts w:hint="eastAsia" w:cs="宋体"/>
          <w:b w:val="0"/>
          <w:bCs w:val="0"/>
          <w:color w:val="auto"/>
          <w:sz w:val="24"/>
          <w:highlight w:val="none"/>
          <w:lang w:val="en-US" w:eastAsia="zh-CN"/>
        </w:rPr>
        <w:t>㎡</w:t>
      </w:r>
    </w:p>
    <w:p w14:paraId="74F5E447">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80" w:lineRule="exact"/>
        <w:ind w:firstLine="480" w:firstLineChars="200"/>
        <w:textAlignment w:val="auto"/>
        <w:rPr>
          <w:rFonts w:hint="default" w:cs="宋体"/>
          <w:b w:val="0"/>
          <w:bCs w:val="0"/>
          <w:color w:val="auto"/>
          <w:sz w:val="24"/>
          <w:highlight w:val="none"/>
          <w:lang w:val="en-US" w:eastAsia="zh-CN"/>
        </w:rPr>
      </w:pPr>
      <w:r>
        <w:rPr>
          <w:rFonts w:hint="eastAsia" w:cs="宋体"/>
          <w:b w:val="0"/>
          <w:bCs w:val="0"/>
          <w:color w:val="auto"/>
          <w:sz w:val="24"/>
          <w:highlight w:val="none"/>
          <w:lang w:val="en-US" w:eastAsia="zh-CN"/>
        </w:rPr>
        <w:t>7）</w:t>
      </w:r>
      <w:r>
        <w:rPr>
          <w:rFonts w:hint="default" w:cs="宋体"/>
          <w:b w:val="0"/>
          <w:bCs w:val="0"/>
          <w:color w:val="auto"/>
          <w:sz w:val="24"/>
          <w:highlight w:val="none"/>
          <w:lang w:val="en-US" w:eastAsia="zh-CN"/>
        </w:rPr>
        <w:t>栏杆：153.00m</w:t>
      </w:r>
    </w:p>
    <w:p w14:paraId="607487D0">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80" w:lineRule="exact"/>
        <w:ind w:firstLine="482" w:firstLineChars="200"/>
        <w:textAlignment w:val="auto"/>
        <w:rPr>
          <w:rFonts w:hint="default" w:cs="宋体"/>
          <w:b/>
          <w:bCs/>
          <w:color w:val="auto"/>
          <w:sz w:val="24"/>
          <w:highlight w:val="none"/>
          <w:lang w:val="en-US" w:eastAsia="zh-CN"/>
        </w:rPr>
      </w:pPr>
      <w:r>
        <w:rPr>
          <w:rFonts w:hint="default" w:cs="宋体"/>
          <w:b/>
          <w:bCs/>
          <w:color w:val="auto"/>
          <w:sz w:val="24"/>
          <w:highlight w:val="none"/>
          <w:lang w:val="en-US" w:eastAsia="zh-CN"/>
        </w:rPr>
        <w:t>以上为日常维护范围，在此维保范围内的工作界面如下：</w:t>
      </w:r>
    </w:p>
    <w:p w14:paraId="49902419">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80" w:lineRule="exact"/>
        <w:ind w:firstLine="480" w:firstLineChars="200"/>
        <w:textAlignment w:val="auto"/>
        <w:rPr>
          <w:rFonts w:hint="default" w:cs="宋体"/>
          <w:b w:val="0"/>
          <w:bCs w:val="0"/>
          <w:color w:val="auto"/>
          <w:sz w:val="24"/>
          <w:highlight w:val="none"/>
          <w:lang w:val="en-US" w:eastAsia="zh-CN"/>
        </w:rPr>
      </w:pPr>
      <w:r>
        <w:rPr>
          <w:rFonts w:hint="default" w:cs="宋体"/>
          <w:b w:val="0"/>
          <w:bCs w:val="0"/>
          <w:color w:val="auto"/>
          <w:sz w:val="24"/>
          <w:highlight w:val="none"/>
          <w:lang w:val="en-US" w:eastAsia="zh-CN"/>
        </w:rPr>
        <w:t>1</w:t>
      </w:r>
      <w:r>
        <w:rPr>
          <w:rFonts w:hint="eastAsia" w:cs="宋体"/>
          <w:b w:val="0"/>
          <w:bCs w:val="0"/>
          <w:color w:val="auto"/>
          <w:sz w:val="24"/>
          <w:highlight w:val="none"/>
          <w:lang w:val="en-US" w:eastAsia="zh-CN"/>
        </w:rPr>
        <w:t>、</w:t>
      </w:r>
      <w:r>
        <w:rPr>
          <w:rFonts w:hint="default" w:cs="宋体"/>
          <w:b w:val="0"/>
          <w:bCs w:val="0"/>
          <w:color w:val="auto"/>
          <w:sz w:val="24"/>
          <w:highlight w:val="none"/>
          <w:lang w:val="en-US" w:eastAsia="zh-CN"/>
        </w:rPr>
        <w:t>日常维护对幕墙内部结构进行维护，每月不少于两次巡查。特殊季节或遇特殊天气需驻场服务。</w:t>
      </w:r>
    </w:p>
    <w:p w14:paraId="3E636A6E">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80" w:lineRule="exact"/>
        <w:ind w:firstLine="480" w:firstLineChars="200"/>
        <w:textAlignment w:val="auto"/>
        <w:rPr>
          <w:rFonts w:hint="default" w:cs="宋体"/>
          <w:b w:val="0"/>
          <w:bCs w:val="0"/>
          <w:color w:val="auto"/>
          <w:sz w:val="24"/>
          <w:highlight w:val="none"/>
          <w:lang w:val="en-US" w:eastAsia="zh-CN"/>
        </w:rPr>
      </w:pPr>
      <w:r>
        <w:rPr>
          <w:rFonts w:hint="default" w:cs="宋体"/>
          <w:b w:val="0"/>
          <w:bCs w:val="0"/>
          <w:color w:val="auto"/>
          <w:sz w:val="24"/>
          <w:highlight w:val="none"/>
          <w:lang w:val="en-US" w:eastAsia="zh-CN"/>
        </w:rPr>
        <w:t>2</w:t>
      </w:r>
      <w:r>
        <w:rPr>
          <w:rFonts w:hint="eastAsia" w:cs="宋体"/>
          <w:b w:val="0"/>
          <w:bCs w:val="0"/>
          <w:color w:val="auto"/>
          <w:sz w:val="24"/>
          <w:highlight w:val="none"/>
          <w:lang w:val="en-US" w:eastAsia="zh-CN"/>
        </w:rPr>
        <w:t>、</w:t>
      </w:r>
      <w:r>
        <w:rPr>
          <w:rFonts w:hint="default" w:cs="宋体"/>
          <w:b w:val="0"/>
          <w:bCs w:val="0"/>
          <w:color w:val="auto"/>
          <w:sz w:val="24"/>
          <w:highlight w:val="none"/>
          <w:lang w:val="en-US" w:eastAsia="zh-CN"/>
        </w:rPr>
        <w:t>及时对漏点打胶维修。</w:t>
      </w:r>
    </w:p>
    <w:p w14:paraId="52097826">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80" w:lineRule="exact"/>
        <w:ind w:firstLine="480" w:firstLineChars="200"/>
        <w:textAlignment w:val="auto"/>
        <w:rPr>
          <w:rFonts w:hint="default" w:cs="宋体"/>
          <w:b w:val="0"/>
          <w:bCs w:val="0"/>
          <w:color w:val="auto"/>
          <w:sz w:val="24"/>
          <w:highlight w:val="none"/>
          <w:lang w:val="en-US" w:eastAsia="zh-CN"/>
        </w:rPr>
      </w:pPr>
      <w:r>
        <w:rPr>
          <w:rFonts w:hint="default" w:cs="宋体"/>
          <w:b w:val="0"/>
          <w:bCs w:val="0"/>
          <w:color w:val="auto"/>
          <w:sz w:val="24"/>
          <w:highlight w:val="none"/>
          <w:lang w:val="en-US" w:eastAsia="zh-CN"/>
        </w:rPr>
        <w:t>3</w:t>
      </w:r>
      <w:r>
        <w:rPr>
          <w:rFonts w:hint="eastAsia" w:cs="宋体"/>
          <w:b w:val="0"/>
          <w:bCs w:val="0"/>
          <w:color w:val="auto"/>
          <w:sz w:val="24"/>
          <w:highlight w:val="none"/>
          <w:lang w:val="en-US" w:eastAsia="zh-CN"/>
        </w:rPr>
        <w:t>、</w:t>
      </w:r>
      <w:r>
        <w:rPr>
          <w:rFonts w:hint="default" w:cs="宋体"/>
          <w:b w:val="0"/>
          <w:bCs w:val="0"/>
          <w:color w:val="auto"/>
          <w:sz w:val="24"/>
          <w:highlight w:val="none"/>
          <w:lang w:val="en-US" w:eastAsia="zh-CN"/>
        </w:rPr>
        <w:t>维保范围内有安全隐患应及时加固处理。</w:t>
      </w:r>
    </w:p>
    <w:p w14:paraId="1850829A">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80" w:lineRule="exact"/>
        <w:ind w:firstLine="480" w:firstLineChars="200"/>
        <w:textAlignment w:val="auto"/>
        <w:rPr>
          <w:rFonts w:hint="default" w:cs="宋体"/>
          <w:b w:val="0"/>
          <w:bCs w:val="0"/>
          <w:color w:val="auto"/>
          <w:sz w:val="24"/>
          <w:highlight w:val="none"/>
          <w:lang w:val="en-US" w:eastAsia="zh-CN"/>
        </w:rPr>
      </w:pPr>
      <w:r>
        <w:rPr>
          <w:rFonts w:hint="default" w:cs="宋体"/>
          <w:b w:val="0"/>
          <w:bCs w:val="0"/>
          <w:color w:val="auto"/>
          <w:sz w:val="24"/>
          <w:highlight w:val="none"/>
          <w:lang w:val="en-US" w:eastAsia="zh-CN"/>
        </w:rPr>
        <w:t>4</w:t>
      </w:r>
      <w:r>
        <w:rPr>
          <w:rFonts w:hint="eastAsia" w:cs="宋体"/>
          <w:b w:val="0"/>
          <w:bCs w:val="0"/>
          <w:color w:val="auto"/>
          <w:sz w:val="24"/>
          <w:highlight w:val="none"/>
          <w:lang w:val="en-US" w:eastAsia="zh-CN"/>
        </w:rPr>
        <w:t>、</w:t>
      </w:r>
      <w:r>
        <w:rPr>
          <w:rFonts w:hint="default" w:cs="宋体"/>
          <w:b w:val="0"/>
          <w:bCs w:val="0"/>
          <w:color w:val="auto"/>
          <w:sz w:val="24"/>
          <w:highlight w:val="none"/>
          <w:lang w:val="en-US" w:eastAsia="zh-CN"/>
        </w:rPr>
        <w:t>在维保期内必须对整个大楼外立面幕墙负责，如因维保不到位，发生玻璃及窗扇掉落，造成的损失由中标人承担。</w:t>
      </w:r>
    </w:p>
    <w:p w14:paraId="72CAAEE3">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80" w:lineRule="exact"/>
        <w:ind w:firstLine="480" w:firstLineChars="200"/>
        <w:textAlignment w:val="auto"/>
        <w:rPr>
          <w:rFonts w:hint="default" w:cs="宋体"/>
          <w:b w:val="0"/>
          <w:bCs w:val="0"/>
          <w:color w:val="auto"/>
          <w:sz w:val="24"/>
          <w:highlight w:val="none"/>
          <w:lang w:val="en-US" w:eastAsia="zh-CN"/>
        </w:rPr>
      </w:pPr>
      <w:r>
        <w:rPr>
          <w:rFonts w:hint="default" w:cs="宋体"/>
          <w:b w:val="0"/>
          <w:bCs w:val="0"/>
          <w:color w:val="auto"/>
          <w:sz w:val="24"/>
          <w:highlight w:val="none"/>
          <w:lang w:val="en-US" w:eastAsia="zh-CN"/>
        </w:rPr>
        <w:t>5</w:t>
      </w:r>
      <w:r>
        <w:rPr>
          <w:rFonts w:hint="eastAsia" w:cs="宋体"/>
          <w:b w:val="0"/>
          <w:bCs w:val="0"/>
          <w:color w:val="auto"/>
          <w:sz w:val="24"/>
          <w:highlight w:val="none"/>
          <w:lang w:val="en-US" w:eastAsia="zh-CN"/>
        </w:rPr>
        <w:t>、</w:t>
      </w:r>
      <w:r>
        <w:rPr>
          <w:rFonts w:hint="default" w:cs="宋体"/>
          <w:b w:val="0"/>
          <w:bCs w:val="0"/>
          <w:color w:val="auto"/>
          <w:sz w:val="24"/>
          <w:highlight w:val="none"/>
          <w:lang w:val="en-US" w:eastAsia="zh-CN"/>
        </w:rPr>
        <w:t>维保期内中标人自行负责安全，并签订安全协议。</w:t>
      </w:r>
    </w:p>
    <w:p w14:paraId="122685E5">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80" w:lineRule="exact"/>
        <w:ind w:firstLine="482" w:firstLineChars="200"/>
        <w:textAlignment w:val="auto"/>
        <w:rPr>
          <w:rFonts w:hint="default" w:cs="宋体"/>
          <w:b/>
          <w:bCs/>
          <w:color w:val="auto"/>
          <w:sz w:val="24"/>
          <w:highlight w:val="none"/>
          <w:lang w:val="en-US" w:eastAsia="zh-CN"/>
        </w:rPr>
      </w:pPr>
      <w:r>
        <w:rPr>
          <w:rFonts w:hint="default" w:cs="宋体"/>
          <w:b/>
          <w:bCs/>
          <w:color w:val="auto"/>
          <w:sz w:val="24"/>
          <w:highlight w:val="none"/>
          <w:lang w:val="en-US" w:eastAsia="zh-CN"/>
        </w:rPr>
        <w:t>维修的全部辅材包含在采购人报价中，由投标人自行承担，该费用由投标人自行考虑在报价中，结算时不作调整。</w:t>
      </w:r>
    </w:p>
    <w:p w14:paraId="0BEF819B">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line="480" w:lineRule="exact"/>
        <w:ind w:firstLine="482" w:firstLineChars="200"/>
        <w:textAlignment w:val="auto"/>
        <w:rPr>
          <w:rFonts w:hint="eastAsia" w:cs="宋体"/>
          <w:b/>
          <w:bCs/>
          <w:color w:val="auto"/>
          <w:sz w:val="24"/>
          <w:highlight w:val="none"/>
          <w:lang w:val="en-US" w:eastAsia="zh-CN"/>
        </w:rPr>
      </w:pPr>
      <w:r>
        <w:rPr>
          <w:rFonts w:hint="eastAsia" w:cs="宋体"/>
          <w:b/>
          <w:bCs/>
          <w:color w:val="auto"/>
          <w:sz w:val="24"/>
          <w:highlight w:val="none"/>
          <w:lang w:val="en-US" w:eastAsia="zh-CN"/>
        </w:rPr>
        <w:t>主材推荐品牌</w:t>
      </w:r>
    </w:p>
    <w:tbl>
      <w:tblPr>
        <w:tblStyle w:val="1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8"/>
        <w:gridCol w:w="5737"/>
      </w:tblGrid>
      <w:tr w14:paraId="23761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1793" w:type="pct"/>
            <w:vAlign w:val="center"/>
          </w:tcPr>
          <w:p w14:paraId="07B0F8C4">
            <w:pPr>
              <w:pStyle w:val="7"/>
              <w:numPr>
                <w:ilvl w:val="0"/>
                <w:numId w:val="0"/>
              </w:numPr>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主材</w:t>
            </w:r>
          </w:p>
        </w:tc>
        <w:tc>
          <w:tcPr>
            <w:tcW w:w="3206" w:type="pct"/>
            <w:vAlign w:val="center"/>
          </w:tcPr>
          <w:p w14:paraId="627085B7">
            <w:pPr>
              <w:pStyle w:val="7"/>
              <w:numPr>
                <w:ilvl w:val="0"/>
                <w:numId w:val="0"/>
              </w:numPr>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推荐品牌</w:t>
            </w:r>
          </w:p>
        </w:tc>
      </w:tr>
      <w:tr w14:paraId="33810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1793" w:type="pct"/>
            <w:vAlign w:val="center"/>
          </w:tcPr>
          <w:p w14:paraId="2C703812">
            <w:pPr>
              <w:pStyle w:val="7"/>
              <w:numPr>
                <w:ilvl w:val="0"/>
                <w:numId w:val="0"/>
              </w:numPr>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玻璃</w:t>
            </w:r>
          </w:p>
        </w:tc>
        <w:tc>
          <w:tcPr>
            <w:tcW w:w="3206" w:type="pct"/>
            <w:vAlign w:val="center"/>
          </w:tcPr>
          <w:p w14:paraId="3FAA91B0">
            <w:pPr>
              <w:pStyle w:val="7"/>
              <w:numPr>
                <w:ilvl w:val="0"/>
                <w:numId w:val="0"/>
              </w:numPr>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耀皮、台玻、南玻、信义</w:t>
            </w:r>
          </w:p>
        </w:tc>
      </w:tr>
      <w:tr w14:paraId="6C1B8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793" w:type="pct"/>
            <w:vAlign w:val="center"/>
          </w:tcPr>
          <w:p w14:paraId="407C57BF">
            <w:pPr>
              <w:pStyle w:val="7"/>
              <w:numPr>
                <w:ilvl w:val="0"/>
                <w:numId w:val="0"/>
              </w:numPr>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铝合金</w:t>
            </w:r>
          </w:p>
        </w:tc>
        <w:tc>
          <w:tcPr>
            <w:tcW w:w="3206" w:type="pct"/>
            <w:vAlign w:val="center"/>
          </w:tcPr>
          <w:p w14:paraId="717D0596">
            <w:pPr>
              <w:pStyle w:val="7"/>
              <w:numPr>
                <w:ilvl w:val="0"/>
                <w:numId w:val="0"/>
              </w:numPr>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亚铝、华建、栋梁</w:t>
            </w:r>
          </w:p>
        </w:tc>
      </w:tr>
    </w:tbl>
    <w:p w14:paraId="5C4EAC50">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line="480" w:lineRule="exact"/>
        <w:ind w:firstLine="482" w:firstLineChars="200"/>
        <w:textAlignment w:val="auto"/>
        <w:rPr>
          <w:rFonts w:hint="eastAsia" w:cs="宋体"/>
          <w:b/>
          <w:bCs/>
          <w:color w:val="auto"/>
          <w:sz w:val="24"/>
          <w:highlight w:val="none"/>
          <w:lang w:val="en-US" w:eastAsia="zh-CN"/>
        </w:rPr>
      </w:pPr>
      <w:r>
        <w:rPr>
          <w:rFonts w:hint="eastAsia" w:cs="宋体"/>
          <w:b/>
          <w:bCs/>
          <w:color w:val="auto"/>
          <w:sz w:val="24"/>
          <w:highlight w:val="none"/>
          <w:lang w:val="en-US" w:eastAsia="zh-CN"/>
        </w:rPr>
        <w:t>辅材推荐品牌（由成交供应商承担）</w:t>
      </w:r>
    </w:p>
    <w:p w14:paraId="480C58BB">
      <w:pPr>
        <w:pStyle w:val="7"/>
        <w:rPr>
          <w:rFonts w:hint="eastAsia"/>
          <w:color w:val="auto"/>
          <w:highlight w:val="none"/>
          <w:lang w:val="en-US" w:eastAsia="zh-CN"/>
        </w:rPr>
      </w:pPr>
    </w:p>
    <w:tbl>
      <w:tblPr>
        <w:tblStyle w:val="17"/>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43"/>
        <w:gridCol w:w="5796"/>
      </w:tblGrid>
      <w:tr w14:paraId="75FBF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1" w:hRule="atLeast"/>
        </w:trPr>
        <w:tc>
          <w:tcPr>
            <w:tcW w:w="3243" w:type="dxa"/>
            <w:vAlign w:val="center"/>
          </w:tcPr>
          <w:p w14:paraId="4E16ECF8">
            <w:pPr>
              <w:pStyle w:val="7"/>
              <w:numPr>
                <w:ilvl w:val="0"/>
                <w:numId w:val="0"/>
              </w:numPr>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辅材</w:t>
            </w:r>
          </w:p>
        </w:tc>
        <w:tc>
          <w:tcPr>
            <w:tcW w:w="5796" w:type="dxa"/>
            <w:vAlign w:val="center"/>
          </w:tcPr>
          <w:p w14:paraId="68A0AD9A">
            <w:pPr>
              <w:pStyle w:val="7"/>
              <w:numPr>
                <w:ilvl w:val="0"/>
                <w:numId w:val="0"/>
              </w:numPr>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推荐品牌</w:t>
            </w:r>
          </w:p>
        </w:tc>
      </w:tr>
      <w:tr w14:paraId="40E0D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3243" w:type="dxa"/>
            <w:vAlign w:val="center"/>
          </w:tcPr>
          <w:p w14:paraId="791B97C4">
            <w:pPr>
              <w:pStyle w:val="7"/>
              <w:numPr>
                <w:ilvl w:val="0"/>
                <w:numId w:val="0"/>
              </w:numPr>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硅酮胶、密封胶、结构胶</w:t>
            </w:r>
          </w:p>
        </w:tc>
        <w:tc>
          <w:tcPr>
            <w:tcW w:w="5796" w:type="dxa"/>
            <w:vAlign w:val="center"/>
          </w:tcPr>
          <w:p w14:paraId="1E61B3BA">
            <w:pPr>
              <w:pStyle w:val="7"/>
              <w:numPr>
                <w:ilvl w:val="0"/>
                <w:numId w:val="0"/>
              </w:numPr>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之江、白云、三棵树</w:t>
            </w:r>
          </w:p>
        </w:tc>
      </w:tr>
      <w:tr w14:paraId="51508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3243" w:type="dxa"/>
            <w:vAlign w:val="center"/>
          </w:tcPr>
          <w:p w14:paraId="3BE544F9">
            <w:pPr>
              <w:pStyle w:val="7"/>
              <w:numPr>
                <w:ilvl w:val="0"/>
                <w:numId w:val="0"/>
              </w:numPr>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五金件</w:t>
            </w:r>
          </w:p>
        </w:tc>
        <w:tc>
          <w:tcPr>
            <w:tcW w:w="5796" w:type="dxa"/>
            <w:vAlign w:val="center"/>
          </w:tcPr>
          <w:p w14:paraId="38AC3F4D">
            <w:pPr>
              <w:pStyle w:val="7"/>
              <w:numPr>
                <w:ilvl w:val="0"/>
                <w:numId w:val="0"/>
              </w:numPr>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坚朗、和合、国强</w:t>
            </w:r>
          </w:p>
        </w:tc>
      </w:tr>
      <w:tr w14:paraId="635A9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3243" w:type="dxa"/>
            <w:vAlign w:val="center"/>
          </w:tcPr>
          <w:p w14:paraId="5DCFBC84">
            <w:pPr>
              <w:pStyle w:val="7"/>
              <w:numPr>
                <w:ilvl w:val="0"/>
                <w:numId w:val="0"/>
              </w:numPr>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铝单板</w:t>
            </w:r>
          </w:p>
        </w:tc>
        <w:tc>
          <w:tcPr>
            <w:tcW w:w="5796" w:type="dxa"/>
            <w:vAlign w:val="center"/>
          </w:tcPr>
          <w:p w14:paraId="0A7377FE">
            <w:pPr>
              <w:pStyle w:val="7"/>
              <w:numPr>
                <w:ilvl w:val="0"/>
                <w:numId w:val="0"/>
              </w:numPr>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国产优质</w:t>
            </w:r>
          </w:p>
        </w:tc>
      </w:tr>
    </w:tbl>
    <w:p w14:paraId="6E78589A">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line="480" w:lineRule="exact"/>
        <w:ind w:firstLine="482" w:firstLineChars="200"/>
        <w:textAlignment w:val="auto"/>
        <w:rPr>
          <w:rFonts w:hint="default" w:cs="宋体"/>
          <w:b/>
          <w:bCs/>
          <w:color w:val="auto"/>
          <w:sz w:val="24"/>
          <w:highlight w:val="none"/>
          <w:lang w:val="en-US" w:eastAsia="zh-CN"/>
        </w:rPr>
      </w:pPr>
      <w:r>
        <w:rPr>
          <w:rFonts w:hint="eastAsia" w:cs="宋体"/>
          <w:b/>
          <w:bCs/>
          <w:color w:val="auto"/>
          <w:sz w:val="24"/>
          <w:highlight w:val="none"/>
          <w:lang w:val="en-US" w:eastAsia="zh-CN"/>
        </w:rPr>
        <w:t>主材最高限价</w:t>
      </w:r>
    </w:p>
    <w:tbl>
      <w:tblPr>
        <w:tblStyle w:val="1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60"/>
        <w:gridCol w:w="4583"/>
        <w:gridCol w:w="3604"/>
      </w:tblGrid>
      <w:tr w14:paraId="3FD754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1" w:hRule="atLeast"/>
        </w:trPr>
        <w:tc>
          <w:tcPr>
            <w:tcW w:w="760" w:type="dxa"/>
            <w:noWrap w:val="0"/>
            <w:vAlign w:val="center"/>
          </w:tcPr>
          <w:p w14:paraId="4BCBB74C">
            <w:pPr>
              <w:tabs>
                <w:tab w:val="left" w:pos="540"/>
              </w:tabs>
              <w:spacing w:line="360" w:lineRule="auto"/>
              <w:contextualSpacing/>
              <w:jc w:val="center"/>
              <w:rPr>
                <w:rFonts w:hint="eastAsia" w:ascii="宋体" w:hAnsi="宋体" w:eastAsia="宋体" w:cs="宋体"/>
                <w:b/>
                <w:bCs/>
                <w:color w:val="auto"/>
                <w:kern w:val="0"/>
                <w:sz w:val="24"/>
                <w:szCs w:val="24"/>
                <w:highlight w:val="none"/>
                <w:vertAlign w:val="baseline"/>
                <w:lang w:val="en-US" w:eastAsia="zh-CN" w:bidi="ar-SA"/>
              </w:rPr>
            </w:pPr>
            <w:r>
              <w:rPr>
                <w:rFonts w:hint="eastAsia" w:ascii="宋体" w:hAnsi="宋体" w:eastAsia="宋体" w:cs="宋体"/>
                <w:b/>
                <w:bCs/>
                <w:color w:val="auto"/>
                <w:kern w:val="0"/>
                <w:sz w:val="24"/>
                <w:szCs w:val="24"/>
                <w:highlight w:val="none"/>
                <w:vertAlign w:val="baseline"/>
                <w:lang w:val="en-US" w:eastAsia="zh-CN" w:bidi="ar-SA"/>
              </w:rPr>
              <w:t>序号</w:t>
            </w:r>
          </w:p>
        </w:tc>
        <w:tc>
          <w:tcPr>
            <w:tcW w:w="4583" w:type="dxa"/>
            <w:noWrap w:val="0"/>
            <w:vAlign w:val="center"/>
          </w:tcPr>
          <w:p w14:paraId="5C2D4BB7">
            <w:pPr>
              <w:tabs>
                <w:tab w:val="left" w:pos="540"/>
              </w:tabs>
              <w:spacing w:line="360" w:lineRule="auto"/>
              <w:contextualSpacing/>
              <w:jc w:val="center"/>
              <w:rPr>
                <w:rFonts w:hint="eastAsia" w:ascii="宋体" w:hAnsi="宋体" w:eastAsia="宋体" w:cs="宋体"/>
                <w:b/>
                <w:bCs/>
                <w:color w:val="auto"/>
                <w:kern w:val="0"/>
                <w:sz w:val="24"/>
                <w:szCs w:val="24"/>
                <w:highlight w:val="none"/>
                <w:vertAlign w:val="baseline"/>
                <w:lang w:val="en-US" w:eastAsia="zh-CN" w:bidi="ar-SA"/>
              </w:rPr>
            </w:pPr>
            <w:r>
              <w:rPr>
                <w:rFonts w:hint="eastAsia" w:ascii="宋体" w:hAnsi="宋体" w:eastAsia="宋体" w:cs="宋体"/>
                <w:b/>
                <w:bCs/>
                <w:color w:val="auto"/>
                <w:kern w:val="0"/>
                <w:sz w:val="24"/>
                <w:szCs w:val="24"/>
                <w:highlight w:val="none"/>
                <w:vertAlign w:val="baseline"/>
                <w:lang w:val="en-US" w:eastAsia="zh-CN" w:bidi="ar-SA"/>
              </w:rPr>
              <w:t>规格</w:t>
            </w:r>
          </w:p>
        </w:tc>
        <w:tc>
          <w:tcPr>
            <w:tcW w:w="3604" w:type="dxa"/>
            <w:noWrap w:val="0"/>
            <w:vAlign w:val="center"/>
          </w:tcPr>
          <w:p w14:paraId="2AF6B5DF">
            <w:pPr>
              <w:tabs>
                <w:tab w:val="left" w:pos="540"/>
              </w:tabs>
              <w:spacing w:line="360" w:lineRule="auto"/>
              <w:contextualSpacing/>
              <w:jc w:val="center"/>
              <w:rPr>
                <w:rFonts w:hint="eastAsia" w:ascii="宋体" w:hAnsi="宋体" w:eastAsia="宋体" w:cs="宋体"/>
                <w:b/>
                <w:bCs/>
                <w:color w:val="auto"/>
                <w:kern w:val="0"/>
                <w:sz w:val="24"/>
                <w:szCs w:val="24"/>
                <w:highlight w:val="none"/>
                <w:vertAlign w:val="baseline"/>
                <w:lang w:val="en-US" w:eastAsia="zh-CN" w:bidi="ar-SA"/>
              </w:rPr>
            </w:pPr>
            <w:r>
              <w:rPr>
                <w:rFonts w:hint="eastAsia" w:ascii="宋体" w:hAnsi="宋体" w:eastAsia="宋体" w:cs="宋体"/>
                <w:b/>
                <w:bCs/>
                <w:color w:val="auto"/>
                <w:kern w:val="0"/>
                <w:sz w:val="24"/>
                <w:szCs w:val="24"/>
                <w:highlight w:val="none"/>
                <w:vertAlign w:val="baseline"/>
                <w:lang w:val="en-US" w:eastAsia="zh-CN" w:bidi="ar-SA"/>
              </w:rPr>
              <w:t>综合单价(主材、辅材、人工、运输、税费、辅料等)</w:t>
            </w:r>
          </w:p>
        </w:tc>
      </w:tr>
      <w:tr w14:paraId="20947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0" w:type="dxa"/>
            <w:noWrap w:val="0"/>
            <w:vAlign w:val="center"/>
          </w:tcPr>
          <w:p w14:paraId="5356E382">
            <w:pPr>
              <w:tabs>
                <w:tab w:val="left" w:pos="540"/>
              </w:tabs>
              <w:spacing w:line="360" w:lineRule="auto"/>
              <w:contextualSpacing/>
              <w:jc w:val="center"/>
              <w:rPr>
                <w:rFonts w:hint="eastAsia"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vertAlign w:val="baseline"/>
                <w:lang w:val="en-US" w:eastAsia="zh-CN" w:bidi="ar-SA"/>
              </w:rPr>
              <w:t>1</w:t>
            </w:r>
          </w:p>
        </w:tc>
        <w:tc>
          <w:tcPr>
            <w:tcW w:w="4583" w:type="dxa"/>
            <w:noWrap w:val="0"/>
            <w:vAlign w:val="center"/>
          </w:tcPr>
          <w:p w14:paraId="1585BDA0">
            <w:pPr>
              <w:tabs>
                <w:tab w:val="left" w:pos="540"/>
              </w:tabs>
              <w:spacing w:line="360" w:lineRule="auto"/>
              <w:contextualSpacing/>
              <w:jc w:val="center"/>
              <w:rPr>
                <w:rFonts w:hint="eastAsia"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vertAlign w:val="baseline"/>
                <w:lang w:val="en-US" w:eastAsia="zh-CN" w:bidi="ar-SA"/>
              </w:rPr>
              <w:t>双钢化玻璃及氟碳喷涂铝合金（玻璃颜色需保持与原有幕墙一致，玻璃的参数需经甲方认可方可进场）</w:t>
            </w:r>
          </w:p>
        </w:tc>
        <w:tc>
          <w:tcPr>
            <w:tcW w:w="3604" w:type="dxa"/>
            <w:noWrap w:val="0"/>
            <w:vAlign w:val="center"/>
          </w:tcPr>
          <w:p w14:paraId="6975D8EC">
            <w:pPr>
              <w:tabs>
                <w:tab w:val="left" w:pos="540"/>
              </w:tabs>
              <w:spacing w:line="360" w:lineRule="auto"/>
              <w:contextualSpacing/>
              <w:jc w:val="center"/>
              <w:rPr>
                <w:rFonts w:hint="eastAsia"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vertAlign w:val="baseline"/>
                <w:lang w:val="en-US" w:eastAsia="zh-CN" w:bidi="ar-SA"/>
              </w:rPr>
              <w:t>1600元/平方米</w:t>
            </w:r>
          </w:p>
        </w:tc>
      </w:tr>
    </w:tbl>
    <w:p w14:paraId="13A415CC">
      <w:pPr>
        <w:pStyle w:val="7"/>
        <w:rPr>
          <w:rFonts w:hint="default"/>
          <w:color w:val="auto"/>
          <w:highlight w:val="none"/>
          <w:lang w:val="en-US" w:eastAsia="zh-CN"/>
        </w:rPr>
      </w:pPr>
    </w:p>
    <w:p w14:paraId="4E905C8C">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480" w:lineRule="exact"/>
        <w:ind w:left="0" w:leftChars="0" w:firstLine="482" w:firstLineChars="200"/>
        <w:textAlignment w:val="auto"/>
        <w:rPr>
          <w:rFonts w:hint="eastAsia" w:cs="宋体"/>
          <w:b/>
          <w:bCs/>
          <w:color w:val="auto"/>
          <w:sz w:val="24"/>
          <w:highlight w:val="none"/>
          <w:lang w:val="en-US" w:eastAsia="zh-CN"/>
        </w:rPr>
      </w:pPr>
      <w:r>
        <w:rPr>
          <w:rFonts w:hint="eastAsia" w:cs="宋体"/>
          <w:b/>
          <w:bCs/>
          <w:color w:val="auto"/>
          <w:sz w:val="24"/>
          <w:highlight w:val="none"/>
          <w:lang w:val="en-US" w:eastAsia="zh-CN"/>
        </w:rPr>
        <w:t>施工要求</w:t>
      </w:r>
    </w:p>
    <w:p w14:paraId="7108AF8F">
      <w:pPr>
        <w:snapToGrid w:val="0"/>
        <w:spacing w:line="480" w:lineRule="exact"/>
        <w:ind w:firstLine="477" w:firstLineChars="199"/>
        <w:outlineLvl w:val="0"/>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1、</w:t>
      </w:r>
      <w:r>
        <w:rPr>
          <w:rFonts w:hint="default" w:ascii="宋体" w:hAnsi="宋体" w:eastAsia="宋体" w:cs="宋体"/>
          <w:color w:val="auto"/>
          <w:kern w:val="0"/>
          <w:sz w:val="24"/>
          <w:szCs w:val="24"/>
          <w:highlight w:val="none"/>
          <w:lang w:val="en-US" w:eastAsia="zh-CN" w:bidi="ar-SA"/>
        </w:rPr>
        <w:t>中标后必须遵守现场的一切规章制度，文明施工，设备的安装均须满足国家相关规范要求。</w:t>
      </w:r>
    </w:p>
    <w:p w14:paraId="7B98FEA2">
      <w:pPr>
        <w:snapToGrid w:val="0"/>
        <w:spacing w:line="480" w:lineRule="exact"/>
        <w:ind w:firstLine="477" w:firstLineChars="199"/>
        <w:outlineLvl w:val="0"/>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2、</w:t>
      </w:r>
      <w:r>
        <w:rPr>
          <w:rFonts w:hint="default" w:ascii="宋体" w:hAnsi="宋体" w:eastAsia="宋体" w:cs="宋体"/>
          <w:color w:val="auto"/>
          <w:kern w:val="0"/>
          <w:sz w:val="24"/>
          <w:szCs w:val="24"/>
          <w:highlight w:val="none"/>
          <w:lang w:val="en-US" w:eastAsia="zh-CN" w:bidi="ar-SA"/>
        </w:rPr>
        <w:t>无论调试期间或保修过程中，供方负责及时清理垃圾（清理标准达到采购人要求），并将包装物及垃圾堆放至甲方指定地点；</w:t>
      </w:r>
    </w:p>
    <w:p w14:paraId="2C68C5E0">
      <w:pPr>
        <w:snapToGrid w:val="0"/>
        <w:spacing w:line="480" w:lineRule="exact"/>
        <w:ind w:firstLine="477" w:firstLineChars="199"/>
        <w:outlineLvl w:val="0"/>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3、</w:t>
      </w:r>
      <w:r>
        <w:rPr>
          <w:rFonts w:hint="default" w:ascii="宋体" w:hAnsi="宋体" w:eastAsia="宋体" w:cs="宋体"/>
          <w:color w:val="auto"/>
          <w:kern w:val="0"/>
          <w:sz w:val="24"/>
          <w:szCs w:val="24"/>
          <w:highlight w:val="none"/>
          <w:lang w:val="en-US" w:eastAsia="zh-CN" w:bidi="ar-SA"/>
        </w:rPr>
        <w:t>验收要求：每次检修后，物业等部门共同参与验收，并出具验收报告，作为支付货款的依据。并对每次服务进行考核，每年度内巡检三次未验收合格签字达标的，采购人有权单方面终止合同重新招标。</w:t>
      </w:r>
    </w:p>
    <w:p w14:paraId="1AAFBFD7">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480" w:lineRule="exact"/>
        <w:ind w:left="0" w:leftChars="0" w:firstLine="482" w:firstLineChars="200"/>
        <w:textAlignment w:val="auto"/>
        <w:rPr>
          <w:rFonts w:hint="default" w:cs="宋体"/>
          <w:b/>
          <w:bCs/>
          <w:color w:val="auto"/>
          <w:sz w:val="24"/>
          <w:highlight w:val="none"/>
          <w:lang w:val="en-US" w:eastAsia="zh-CN"/>
        </w:rPr>
      </w:pPr>
      <w:r>
        <w:rPr>
          <w:rFonts w:hint="eastAsia" w:ascii="宋体" w:hAnsi="宋体" w:eastAsia="宋体" w:cs="宋体"/>
          <w:b/>
          <w:bCs/>
          <w:color w:val="auto"/>
          <w:kern w:val="0"/>
          <w:sz w:val="24"/>
          <w:szCs w:val="24"/>
          <w:highlight w:val="none"/>
          <w:lang w:val="en-US" w:eastAsia="zh-CN" w:bidi="ar-SA"/>
        </w:rPr>
        <w:t>其他要求</w:t>
      </w:r>
    </w:p>
    <w:p w14:paraId="7FA40B1B">
      <w:pPr>
        <w:snapToGrid w:val="0"/>
        <w:spacing w:line="480" w:lineRule="exact"/>
        <w:ind w:firstLine="479" w:firstLineChars="199"/>
        <w:outlineLvl w:val="0"/>
        <w:rPr>
          <w:rFonts w:hint="default" w:ascii="宋体" w:hAnsi="宋体" w:eastAsia="宋体" w:cs="宋体"/>
          <w:b/>
          <w:bCs/>
          <w:color w:val="auto"/>
          <w:kern w:val="0"/>
          <w:sz w:val="24"/>
          <w:szCs w:val="24"/>
          <w:highlight w:val="none"/>
          <w:lang w:val="en-US" w:eastAsia="zh-CN" w:bidi="ar-SA"/>
        </w:rPr>
      </w:pPr>
      <w:r>
        <w:rPr>
          <w:rFonts w:hint="default" w:ascii="宋体" w:hAnsi="宋体" w:eastAsia="宋体" w:cs="宋体"/>
          <w:b/>
          <w:bCs/>
          <w:color w:val="auto"/>
          <w:kern w:val="0"/>
          <w:sz w:val="24"/>
          <w:szCs w:val="24"/>
          <w:highlight w:val="none"/>
          <w:lang w:val="en-US" w:eastAsia="zh-CN" w:bidi="ar-SA"/>
        </w:rPr>
        <w:t xml:space="preserve">1、维保材料要求 </w:t>
      </w:r>
    </w:p>
    <w:p w14:paraId="485C4ECB">
      <w:pPr>
        <w:snapToGrid w:val="0"/>
        <w:spacing w:line="480" w:lineRule="exact"/>
        <w:ind w:firstLine="477" w:firstLineChars="199"/>
        <w:outlineLvl w:val="0"/>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（1）</w:t>
      </w:r>
      <w:r>
        <w:rPr>
          <w:rFonts w:hint="default" w:ascii="宋体" w:hAnsi="宋体" w:eastAsia="宋体" w:cs="宋体"/>
          <w:color w:val="auto"/>
          <w:kern w:val="0"/>
          <w:sz w:val="24"/>
          <w:szCs w:val="24"/>
          <w:highlight w:val="none"/>
          <w:lang w:val="en-US" w:eastAsia="zh-CN" w:bidi="ar-SA"/>
        </w:rPr>
        <w:t>玻璃：</w:t>
      </w:r>
    </w:p>
    <w:p w14:paraId="689B3B32">
      <w:pPr>
        <w:snapToGrid w:val="0"/>
        <w:spacing w:line="480" w:lineRule="exact"/>
        <w:ind w:firstLine="477" w:firstLineChars="199"/>
        <w:outlineLvl w:val="0"/>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1）</w:t>
      </w:r>
      <w:r>
        <w:rPr>
          <w:rFonts w:hint="default" w:ascii="宋体" w:hAnsi="宋体" w:eastAsia="宋体" w:cs="宋体"/>
          <w:color w:val="auto"/>
          <w:kern w:val="0"/>
          <w:sz w:val="24"/>
          <w:szCs w:val="24"/>
          <w:highlight w:val="none"/>
          <w:lang w:val="en-US" w:eastAsia="zh-CN" w:bidi="ar-SA"/>
        </w:rPr>
        <w:t>选用玻璃外观质量和技术指标应符合相关规范、及国家现行标准要求。所有玻璃均应进行导棱磨边处理，钢化玻璃均应作均质处理；</w:t>
      </w:r>
    </w:p>
    <w:p w14:paraId="40BFE7AE">
      <w:pPr>
        <w:snapToGrid w:val="0"/>
        <w:spacing w:line="480" w:lineRule="exact"/>
        <w:ind w:firstLine="477" w:firstLineChars="199"/>
        <w:outlineLvl w:val="0"/>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2）</w:t>
      </w:r>
      <w:r>
        <w:rPr>
          <w:rFonts w:hint="default" w:ascii="宋体" w:hAnsi="宋体" w:eastAsia="宋体" w:cs="宋体"/>
          <w:color w:val="auto"/>
          <w:kern w:val="0"/>
          <w:sz w:val="24"/>
          <w:szCs w:val="24"/>
          <w:highlight w:val="none"/>
          <w:lang w:val="en-US" w:eastAsia="zh-CN" w:bidi="ar-SA"/>
        </w:rPr>
        <w:t>选用规格：均质双钢化玻璃，玻璃颜色需保持与原有幕墙一致，玻璃的参数需经甲方认可方可进场。</w:t>
      </w:r>
    </w:p>
    <w:p w14:paraId="10131C60">
      <w:pPr>
        <w:snapToGrid w:val="0"/>
        <w:spacing w:line="480" w:lineRule="exact"/>
        <w:ind w:firstLine="477" w:firstLineChars="199"/>
        <w:outlineLvl w:val="0"/>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（2）</w:t>
      </w:r>
      <w:r>
        <w:rPr>
          <w:rFonts w:hint="default" w:ascii="宋体" w:hAnsi="宋体" w:eastAsia="宋体" w:cs="宋体"/>
          <w:color w:val="auto"/>
          <w:kern w:val="0"/>
          <w:sz w:val="24"/>
          <w:szCs w:val="24"/>
          <w:highlight w:val="none"/>
          <w:lang w:val="en-US" w:eastAsia="zh-CN" w:bidi="ar-SA"/>
        </w:rPr>
        <w:t>硅酮胶：</w:t>
      </w:r>
    </w:p>
    <w:p w14:paraId="4EC62ECD">
      <w:pPr>
        <w:snapToGrid w:val="0"/>
        <w:spacing w:line="480" w:lineRule="exact"/>
        <w:ind w:firstLine="477" w:firstLineChars="199"/>
        <w:outlineLvl w:val="0"/>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1）</w:t>
      </w:r>
      <w:r>
        <w:rPr>
          <w:rFonts w:hint="default" w:ascii="宋体" w:hAnsi="宋体" w:eastAsia="宋体" w:cs="宋体"/>
          <w:color w:val="auto"/>
          <w:kern w:val="0"/>
          <w:sz w:val="24"/>
          <w:szCs w:val="24"/>
          <w:highlight w:val="none"/>
          <w:lang w:val="en-US" w:eastAsia="zh-CN" w:bidi="ar-SA"/>
        </w:rPr>
        <w:t>本工程所采用的所有硅酮胶均需符合国家现行标准要求</w:t>
      </w:r>
    </w:p>
    <w:p w14:paraId="46B37C70">
      <w:pPr>
        <w:snapToGrid w:val="0"/>
        <w:spacing w:line="480" w:lineRule="exact"/>
        <w:ind w:firstLine="477" w:firstLineChars="199"/>
        <w:outlineLvl w:val="0"/>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2）</w:t>
      </w:r>
      <w:r>
        <w:rPr>
          <w:rFonts w:hint="default" w:ascii="宋体" w:hAnsi="宋体" w:eastAsia="宋体" w:cs="宋体"/>
          <w:color w:val="auto"/>
          <w:kern w:val="0"/>
          <w:sz w:val="24"/>
          <w:szCs w:val="24"/>
          <w:highlight w:val="none"/>
          <w:lang w:val="en-US" w:eastAsia="zh-CN" w:bidi="ar-SA"/>
        </w:rPr>
        <w:t>硅酮结构胶：产品符合《建筑用硅酮结构密封胶》GB 16776-2005的要求。结构胶必须在有效期内使用，在使用前应进行剥离粘结性试验，无特殊要求颜色均为黑色；硅酮结构密封胶使用前应进行相容性和剥离粘结性试验并对邵氏硬度、拉伸粘结性进行复验；</w:t>
      </w:r>
    </w:p>
    <w:p w14:paraId="3F97C595">
      <w:pPr>
        <w:snapToGrid w:val="0"/>
        <w:spacing w:line="480" w:lineRule="exact"/>
        <w:ind w:firstLine="477" w:firstLineChars="199"/>
        <w:outlineLvl w:val="0"/>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（3）</w:t>
      </w:r>
      <w:r>
        <w:rPr>
          <w:rFonts w:hint="default" w:ascii="宋体" w:hAnsi="宋体" w:eastAsia="宋体" w:cs="宋体"/>
          <w:color w:val="auto"/>
          <w:kern w:val="0"/>
          <w:sz w:val="24"/>
          <w:szCs w:val="24"/>
          <w:highlight w:val="none"/>
          <w:lang w:val="en-US" w:eastAsia="zh-CN" w:bidi="ar-SA"/>
        </w:rPr>
        <w:t>密封胶：</w:t>
      </w:r>
    </w:p>
    <w:p w14:paraId="3FAFDC51">
      <w:pPr>
        <w:snapToGrid w:val="0"/>
        <w:spacing w:line="480" w:lineRule="exact"/>
        <w:ind w:firstLine="477" w:firstLineChars="199"/>
        <w:outlineLvl w:val="0"/>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1）</w:t>
      </w:r>
      <w:r>
        <w:rPr>
          <w:rFonts w:hint="default" w:ascii="宋体" w:hAnsi="宋体" w:eastAsia="宋体" w:cs="宋体"/>
          <w:color w:val="auto"/>
          <w:kern w:val="0"/>
          <w:sz w:val="24"/>
          <w:szCs w:val="24"/>
          <w:highlight w:val="none"/>
          <w:lang w:val="en-US" w:eastAsia="zh-CN" w:bidi="ar-SA"/>
        </w:rPr>
        <w:t>产品符合《幕墙玻璃接缝用密封胶》JC/T 882-2001的要求。密封胶必须在有效期内使用，无特殊要求颜色均为黑色，颜色以业主封样为准；</w:t>
      </w:r>
    </w:p>
    <w:p w14:paraId="53315182">
      <w:pPr>
        <w:snapToGrid w:val="0"/>
        <w:spacing w:line="480" w:lineRule="exact"/>
        <w:ind w:firstLine="477" w:firstLineChars="199"/>
        <w:outlineLvl w:val="0"/>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2）</w:t>
      </w:r>
      <w:r>
        <w:rPr>
          <w:rFonts w:hint="default" w:ascii="宋体" w:hAnsi="宋体" w:eastAsia="宋体" w:cs="宋体"/>
          <w:color w:val="auto"/>
          <w:kern w:val="0"/>
          <w:sz w:val="24"/>
          <w:szCs w:val="24"/>
          <w:highlight w:val="none"/>
          <w:lang w:val="en-US" w:eastAsia="zh-CN" w:bidi="ar-SA"/>
        </w:rPr>
        <w:t>玻璃和铝型材的粘结必须采用中性硅酮结构密封胶，全玻幕墙和点支撑幕墙采用镀膜玻璃时，不应采用酸性硅酮结构密封胶粘结；</w:t>
      </w:r>
    </w:p>
    <w:p w14:paraId="5CE3285F">
      <w:pPr>
        <w:snapToGrid w:val="0"/>
        <w:spacing w:line="480" w:lineRule="exact"/>
        <w:ind w:firstLine="477" w:firstLineChars="199"/>
        <w:outlineLvl w:val="0"/>
        <w:rPr>
          <w:rFonts w:hint="default"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3）</w:t>
      </w:r>
      <w:r>
        <w:rPr>
          <w:rFonts w:hint="default" w:ascii="宋体" w:hAnsi="宋体" w:cs="宋体"/>
          <w:color w:val="auto"/>
          <w:kern w:val="0"/>
          <w:sz w:val="24"/>
          <w:szCs w:val="24"/>
          <w:highlight w:val="none"/>
          <w:lang w:val="en-US" w:eastAsia="zh-CN" w:bidi="ar-SA"/>
        </w:rPr>
        <w:t>结构胶的变位承载能力（即对应于其受拉应力为0.14N/mm2的伸长率）为12.5%；</w:t>
      </w:r>
    </w:p>
    <w:p w14:paraId="41D7C171">
      <w:pPr>
        <w:snapToGrid w:val="0"/>
        <w:spacing w:line="480" w:lineRule="exact"/>
        <w:ind w:firstLine="477" w:firstLineChars="199"/>
        <w:outlineLvl w:val="0"/>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4）</w:t>
      </w:r>
      <w:r>
        <w:rPr>
          <w:rFonts w:hint="default" w:ascii="宋体" w:hAnsi="宋体" w:eastAsia="宋体" w:cs="宋体"/>
          <w:color w:val="auto"/>
          <w:kern w:val="0"/>
          <w:sz w:val="24"/>
          <w:szCs w:val="24"/>
          <w:highlight w:val="none"/>
          <w:lang w:val="en-US" w:eastAsia="zh-CN" w:bidi="ar-SA"/>
        </w:rPr>
        <w:t>在风荷载和水平地震的作用下，采用的硅酮结构密封胶的拉应力设计值大于0.2 N/mm2，在永久荷载作用下，采用的硅酮结构密封胶的设计值大于0.02 N/mm2。</w:t>
      </w:r>
    </w:p>
    <w:p w14:paraId="5A7A3DE8">
      <w:pPr>
        <w:snapToGrid w:val="0"/>
        <w:spacing w:line="480" w:lineRule="exact"/>
        <w:ind w:firstLine="477" w:firstLineChars="199"/>
        <w:outlineLvl w:val="0"/>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5）</w:t>
      </w:r>
      <w:r>
        <w:rPr>
          <w:rFonts w:hint="default" w:ascii="宋体" w:hAnsi="宋体" w:eastAsia="宋体" w:cs="宋体"/>
          <w:color w:val="auto"/>
          <w:kern w:val="0"/>
          <w:sz w:val="24"/>
          <w:szCs w:val="24"/>
          <w:highlight w:val="none"/>
          <w:lang w:val="en-US" w:eastAsia="zh-CN" w:bidi="ar-SA"/>
        </w:rPr>
        <w:t>五金配件：本工程所有五金配件必须跟原幕墙配件吻合。</w:t>
      </w:r>
    </w:p>
    <w:p w14:paraId="7D88E15D">
      <w:pPr>
        <w:snapToGrid w:val="0"/>
        <w:spacing w:line="480" w:lineRule="exact"/>
        <w:ind w:firstLine="479" w:firstLineChars="199"/>
        <w:outlineLvl w:val="0"/>
        <w:rPr>
          <w:rFonts w:hint="default" w:ascii="宋体" w:hAnsi="宋体" w:eastAsia="宋体" w:cs="宋体"/>
          <w:color w:val="auto"/>
          <w:kern w:val="0"/>
          <w:sz w:val="24"/>
          <w:szCs w:val="24"/>
          <w:highlight w:val="none"/>
          <w:lang w:val="en-US" w:eastAsia="zh-CN" w:bidi="ar-SA"/>
        </w:rPr>
      </w:pPr>
      <w:r>
        <w:rPr>
          <w:rFonts w:hint="eastAsia" w:ascii="宋体" w:hAnsi="宋体" w:cs="宋体"/>
          <w:b/>
          <w:bCs/>
          <w:color w:val="auto"/>
          <w:kern w:val="0"/>
          <w:sz w:val="24"/>
          <w:szCs w:val="24"/>
          <w:highlight w:val="none"/>
          <w:lang w:val="en-US" w:eastAsia="zh-CN" w:bidi="ar-SA"/>
        </w:rPr>
        <w:t>2、</w:t>
      </w:r>
      <w:r>
        <w:rPr>
          <w:rFonts w:hint="default" w:ascii="宋体" w:hAnsi="宋体" w:eastAsia="宋体" w:cs="宋体"/>
          <w:b/>
          <w:bCs/>
          <w:color w:val="auto"/>
          <w:kern w:val="0"/>
          <w:sz w:val="24"/>
          <w:szCs w:val="24"/>
          <w:highlight w:val="none"/>
          <w:lang w:val="en-US" w:eastAsia="zh-CN" w:bidi="ar-SA"/>
        </w:rPr>
        <w:t>签订合同：</w:t>
      </w:r>
      <w:r>
        <w:rPr>
          <w:rFonts w:hint="default" w:ascii="宋体" w:hAnsi="宋体" w:eastAsia="宋体" w:cs="宋体"/>
          <w:color w:val="auto"/>
          <w:kern w:val="0"/>
          <w:sz w:val="24"/>
          <w:szCs w:val="24"/>
          <w:highlight w:val="none"/>
          <w:lang w:val="en-US" w:eastAsia="zh-CN" w:bidi="ar-SA"/>
        </w:rPr>
        <w:t>自成交通知书发出之日起</w:t>
      </w:r>
      <w:r>
        <w:rPr>
          <w:rFonts w:hint="eastAsia" w:ascii="宋体" w:hAnsi="宋体" w:cs="宋体"/>
          <w:color w:val="auto"/>
          <w:kern w:val="0"/>
          <w:sz w:val="24"/>
          <w:szCs w:val="24"/>
          <w:highlight w:val="none"/>
          <w:lang w:val="en-US" w:eastAsia="zh-CN" w:bidi="ar-SA"/>
        </w:rPr>
        <w:t>10</w:t>
      </w:r>
      <w:r>
        <w:rPr>
          <w:rFonts w:hint="default" w:ascii="宋体" w:hAnsi="宋体" w:eastAsia="宋体" w:cs="宋体"/>
          <w:color w:val="auto"/>
          <w:kern w:val="0"/>
          <w:sz w:val="24"/>
          <w:szCs w:val="24"/>
          <w:highlight w:val="none"/>
          <w:lang w:val="en-US" w:eastAsia="zh-CN" w:bidi="ar-SA"/>
        </w:rPr>
        <w:t>日内按时签约。</w:t>
      </w:r>
    </w:p>
    <w:p w14:paraId="62E850A2">
      <w:pPr>
        <w:snapToGrid w:val="0"/>
        <w:spacing w:line="480" w:lineRule="exact"/>
        <w:ind w:firstLine="479" w:firstLineChars="199"/>
        <w:outlineLvl w:val="0"/>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b/>
          <w:bCs/>
          <w:color w:val="auto"/>
          <w:kern w:val="0"/>
          <w:sz w:val="24"/>
          <w:szCs w:val="24"/>
          <w:highlight w:val="none"/>
          <w:lang w:val="en-US" w:eastAsia="zh-CN" w:bidi="ar-SA"/>
        </w:rPr>
        <w:t>3、服务标准：</w:t>
      </w:r>
      <w:r>
        <w:rPr>
          <w:rFonts w:hint="default" w:ascii="宋体" w:hAnsi="宋体" w:eastAsia="宋体" w:cs="宋体"/>
          <w:color w:val="auto"/>
          <w:kern w:val="0"/>
          <w:sz w:val="24"/>
          <w:szCs w:val="24"/>
          <w:highlight w:val="none"/>
          <w:lang w:val="en-US" w:eastAsia="zh-CN" w:bidi="ar-SA"/>
        </w:rPr>
        <w:t>服务期内，普通维修需接到甲方通知后24小时内到场。紧急抢修需接到甲方通知后2小时内到场。</w:t>
      </w:r>
    </w:p>
    <w:p w14:paraId="0AEF57AD">
      <w:pPr>
        <w:pStyle w:val="7"/>
        <w:numPr>
          <w:ilvl w:val="0"/>
          <w:numId w:val="0"/>
        </w:numPr>
        <w:ind w:leftChars="200"/>
        <w:rPr>
          <w:rFonts w:hint="default"/>
          <w:color w:val="auto"/>
          <w:highlight w:val="none"/>
          <w:lang w:val="en-US" w:eastAsia="zh-CN"/>
        </w:rPr>
      </w:pPr>
    </w:p>
    <w:p w14:paraId="6C39B499">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80" w:lineRule="exact"/>
        <w:ind w:firstLine="482" w:firstLineChars="200"/>
        <w:textAlignment w:val="auto"/>
        <w:rPr>
          <w:rFonts w:hint="eastAsia" w:cs="宋体"/>
          <w:b/>
          <w:bCs/>
          <w:color w:val="auto"/>
          <w:sz w:val="24"/>
          <w:highlight w:val="none"/>
        </w:rPr>
      </w:pPr>
      <w:r>
        <w:rPr>
          <w:rFonts w:hint="eastAsia" w:cs="宋体"/>
          <w:b/>
          <w:bCs/>
          <w:color w:val="auto"/>
          <w:sz w:val="24"/>
          <w:highlight w:val="none"/>
          <w:lang w:val="en-US" w:eastAsia="zh-CN"/>
        </w:rPr>
        <w:t>六、</w:t>
      </w:r>
      <w:r>
        <w:rPr>
          <w:rFonts w:hint="eastAsia" w:cs="宋体"/>
          <w:b/>
          <w:bCs/>
          <w:color w:val="auto"/>
          <w:sz w:val="24"/>
          <w:highlight w:val="none"/>
        </w:rPr>
        <w:t>付款方式</w:t>
      </w:r>
    </w:p>
    <w:p w14:paraId="6AB472C2">
      <w:pPr>
        <w:snapToGrid w:val="0"/>
        <w:spacing w:line="480" w:lineRule="exact"/>
        <w:ind w:firstLine="477" w:firstLineChars="199"/>
        <w:outlineLvl w:val="0"/>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每年</w:t>
      </w:r>
      <w:r>
        <w:rPr>
          <w:rFonts w:hint="eastAsia" w:ascii="宋体" w:hAnsi="宋体" w:cs="宋体"/>
          <w:color w:val="auto"/>
          <w:kern w:val="0"/>
          <w:sz w:val="24"/>
          <w:szCs w:val="24"/>
          <w:highlight w:val="none"/>
          <w:lang w:val="en-US" w:eastAsia="zh-CN" w:bidi="ar-SA"/>
        </w:rPr>
        <w:t>6</w:t>
      </w:r>
      <w:r>
        <w:rPr>
          <w:rFonts w:hint="eastAsia" w:ascii="宋体" w:hAnsi="宋体" w:eastAsia="宋体" w:cs="宋体"/>
          <w:color w:val="auto"/>
          <w:kern w:val="0"/>
          <w:sz w:val="24"/>
          <w:szCs w:val="24"/>
          <w:highlight w:val="none"/>
          <w:lang w:val="zh-CN" w:eastAsia="zh-CN" w:bidi="ar-SA"/>
        </w:rPr>
        <w:t>月份和</w:t>
      </w:r>
      <w:r>
        <w:rPr>
          <w:rFonts w:hint="eastAsia" w:ascii="宋体" w:hAnsi="宋体" w:cs="宋体"/>
          <w:color w:val="auto"/>
          <w:kern w:val="0"/>
          <w:sz w:val="24"/>
          <w:szCs w:val="24"/>
          <w:highlight w:val="none"/>
          <w:lang w:val="en-US" w:eastAsia="zh-CN" w:bidi="ar-SA"/>
        </w:rPr>
        <w:t>12</w:t>
      </w:r>
      <w:r>
        <w:rPr>
          <w:rFonts w:hint="eastAsia" w:ascii="宋体" w:hAnsi="宋体" w:eastAsia="宋体" w:cs="宋体"/>
          <w:color w:val="auto"/>
          <w:kern w:val="0"/>
          <w:sz w:val="24"/>
          <w:szCs w:val="24"/>
          <w:highlight w:val="none"/>
          <w:lang w:val="zh-CN" w:eastAsia="zh-CN" w:bidi="ar-SA"/>
        </w:rPr>
        <w:t>月份分别付合同款的50%。更换配件费用按月结算。同时乙方提供增值税发票。</w:t>
      </w:r>
    </w:p>
    <w:p w14:paraId="4CAACBDA">
      <w:pPr>
        <w:pStyle w:val="7"/>
        <w:rPr>
          <w:rFonts w:hint="eastAsia"/>
          <w:color w:val="auto"/>
          <w:highlight w:val="none"/>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8"/>
        <w:gridCol w:w="2731"/>
        <w:gridCol w:w="3929"/>
      </w:tblGrid>
      <w:tr w14:paraId="63ADA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38" w:type="dxa"/>
            <w:noWrap w:val="0"/>
            <w:vAlign w:val="center"/>
          </w:tcPr>
          <w:p w14:paraId="67FF0535">
            <w:pPr>
              <w:pStyle w:val="8"/>
              <w:ind w:left="0" w:leftChars="0" w:firstLine="0" w:firstLineChars="0"/>
              <w:jc w:val="center"/>
              <w:rPr>
                <w:color w:val="auto"/>
                <w:highlight w:val="none"/>
                <w:lang w:val="en-US" w:eastAsia="zh-CN"/>
              </w:rPr>
            </w:pPr>
            <w:r>
              <w:rPr>
                <w:rFonts w:hint="eastAsia"/>
                <w:color w:val="auto"/>
                <w:highlight w:val="none"/>
                <w:lang w:val="en-US" w:eastAsia="zh-CN"/>
              </w:rPr>
              <w:t>序号</w:t>
            </w:r>
          </w:p>
        </w:tc>
        <w:tc>
          <w:tcPr>
            <w:tcW w:w="2731" w:type="dxa"/>
            <w:noWrap w:val="0"/>
            <w:vAlign w:val="center"/>
          </w:tcPr>
          <w:p w14:paraId="53CC26E4">
            <w:pPr>
              <w:pStyle w:val="8"/>
              <w:ind w:left="0" w:leftChars="0" w:firstLine="0" w:firstLineChars="0"/>
              <w:jc w:val="center"/>
              <w:rPr>
                <w:color w:val="auto"/>
                <w:highlight w:val="none"/>
                <w:lang w:val="en-US" w:eastAsia="zh-CN"/>
              </w:rPr>
            </w:pPr>
            <w:r>
              <w:rPr>
                <w:rFonts w:hint="eastAsia"/>
                <w:color w:val="auto"/>
                <w:highlight w:val="none"/>
                <w:lang w:val="en-US" w:eastAsia="zh-CN"/>
              </w:rPr>
              <w:t>付款时间</w:t>
            </w:r>
          </w:p>
        </w:tc>
        <w:tc>
          <w:tcPr>
            <w:tcW w:w="3929" w:type="dxa"/>
            <w:noWrap w:val="0"/>
            <w:vAlign w:val="center"/>
          </w:tcPr>
          <w:p w14:paraId="1273EFED">
            <w:pPr>
              <w:pStyle w:val="8"/>
              <w:ind w:left="0" w:leftChars="0" w:firstLine="0" w:firstLineChars="0"/>
              <w:jc w:val="center"/>
              <w:rPr>
                <w:color w:val="auto"/>
                <w:highlight w:val="none"/>
                <w:lang w:val="en-US" w:eastAsia="zh-CN"/>
              </w:rPr>
            </w:pPr>
            <w:r>
              <w:rPr>
                <w:rFonts w:hint="eastAsia"/>
                <w:color w:val="auto"/>
                <w:highlight w:val="none"/>
                <w:lang w:val="en-US" w:eastAsia="zh-CN"/>
              </w:rPr>
              <w:t>付款比例</w:t>
            </w:r>
          </w:p>
        </w:tc>
      </w:tr>
      <w:tr w14:paraId="4E432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38" w:type="dxa"/>
            <w:noWrap w:val="0"/>
            <w:vAlign w:val="center"/>
          </w:tcPr>
          <w:p w14:paraId="305ED9F1">
            <w:pPr>
              <w:pStyle w:val="8"/>
              <w:ind w:left="0" w:leftChars="0" w:firstLine="0" w:firstLineChars="0"/>
              <w:jc w:val="center"/>
              <w:rPr>
                <w:color w:val="auto"/>
                <w:highlight w:val="none"/>
                <w:lang w:val="en-US" w:eastAsia="zh-CN"/>
              </w:rPr>
            </w:pPr>
            <w:r>
              <w:rPr>
                <w:rFonts w:hint="eastAsia"/>
                <w:color w:val="auto"/>
                <w:highlight w:val="none"/>
                <w:lang w:val="en-US" w:eastAsia="zh-CN"/>
              </w:rPr>
              <w:t>1</w:t>
            </w:r>
          </w:p>
        </w:tc>
        <w:tc>
          <w:tcPr>
            <w:tcW w:w="2731" w:type="dxa"/>
            <w:noWrap w:val="0"/>
            <w:vAlign w:val="center"/>
          </w:tcPr>
          <w:p w14:paraId="5A02A247">
            <w:pPr>
              <w:pStyle w:val="8"/>
              <w:ind w:left="0" w:leftChars="0"/>
              <w:jc w:val="center"/>
              <w:rPr>
                <w:color w:val="auto"/>
                <w:highlight w:val="none"/>
                <w:lang w:val="en-US" w:eastAsia="zh-CN"/>
              </w:rPr>
            </w:pPr>
            <w:r>
              <w:rPr>
                <w:rFonts w:hint="eastAsia"/>
                <w:color w:val="auto"/>
                <w:highlight w:val="none"/>
                <w:lang w:val="en-US" w:eastAsia="zh-CN"/>
              </w:rPr>
              <w:t>20</w:t>
            </w:r>
            <w:r>
              <w:rPr>
                <w:rFonts w:hint="eastAsia"/>
                <w:color w:val="auto"/>
                <w:highlight w:val="none"/>
                <w:u w:val="single"/>
                <w:lang w:val="en-US" w:eastAsia="zh-CN"/>
              </w:rPr>
              <w:t xml:space="preserve">  </w:t>
            </w:r>
            <w:r>
              <w:rPr>
                <w:rFonts w:hint="eastAsia"/>
                <w:color w:val="auto"/>
                <w:highlight w:val="none"/>
                <w:lang w:val="en-US" w:eastAsia="zh-CN"/>
              </w:rPr>
              <w:t>年6月</w:t>
            </w:r>
          </w:p>
        </w:tc>
        <w:tc>
          <w:tcPr>
            <w:tcW w:w="3929" w:type="dxa"/>
            <w:noWrap w:val="0"/>
            <w:vAlign w:val="center"/>
          </w:tcPr>
          <w:p w14:paraId="69C3819F">
            <w:pPr>
              <w:pStyle w:val="8"/>
              <w:ind w:left="0" w:leftChars="0"/>
              <w:jc w:val="center"/>
              <w:rPr>
                <w:color w:val="auto"/>
                <w:highlight w:val="none"/>
                <w:lang w:val="en-US" w:eastAsia="zh-CN"/>
              </w:rPr>
            </w:pPr>
            <w:r>
              <w:rPr>
                <w:rFonts w:hint="eastAsia"/>
                <w:color w:val="auto"/>
                <w:highlight w:val="none"/>
                <w:lang w:val="en-US" w:eastAsia="zh-CN"/>
              </w:rPr>
              <w:t>第一年上半年服务费的50％</w:t>
            </w:r>
          </w:p>
        </w:tc>
      </w:tr>
      <w:tr w14:paraId="1F5A0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38" w:type="dxa"/>
            <w:noWrap w:val="0"/>
            <w:vAlign w:val="center"/>
          </w:tcPr>
          <w:p w14:paraId="73DE3C99">
            <w:pPr>
              <w:pStyle w:val="8"/>
              <w:ind w:left="0" w:leftChars="0" w:firstLine="0" w:firstLineChars="0"/>
              <w:jc w:val="center"/>
              <w:rPr>
                <w:color w:val="auto"/>
                <w:highlight w:val="none"/>
                <w:lang w:val="en-US" w:eastAsia="zh-CN"/>
              </w:rPr>
            </w:pPr>
            <w:r>
              <w:rPr>
                <w:rFonts w:hint="eastAsia"/>
                <w:color w:val="auto"/>
                <w:highlight w:val="none"/>
                <w:lang w:val="en-US" w:eastAsia="zh-CN"/>
              </w:rPr>
              <w:t>2</w:t>
            </w:r>
          </w:p>
        </w:tc>
        <w:tc>
          <w:tcPr>
            <w:tcW w:w="2731" w:type="dxa"/>
            <w:noWrap w:val="0"/>
            <w:vAlign w:val="center"/>
          </w:tcPr>
          <w:p w14:paraId="3B0F9FAE">
            <w:pPr>
              <w:pStyle w:val="8"/>
              <w:ind w:left="0" w:leftChars="0"/>
              <w:jc w:val="center"/>
              <w:rPr>
                <w:color w:val="auto"/>
                <w:highlight w:val="none"/>
                <w:lang w:val="en-US" w:eastAsia="zh-CN"/>
              </w:rPr>
            </w:pPr>
            <w:r>
              <w:rPr>
                <w:rFonts w:hint="eastAsia"/>
                <w:color w:val="auto"/>
                <w:highlight w:val="none"/>
                <w:lang w:val="en-US" w:eastAsia="zh-CN"/>
              </w:rPr>
              <w:t>20</w:t>
            </w:r>
            <w:r>
              <w:rPr>
                <w:rFonts w:hint="eastAsia"/>
                <w:color w:val="auto"/>
                <w:highlight w:val="none"/>
                <w:u w:val="single"/>
                <w:lang w:val="en-US" w:eastAsia="zh-CN"/>
              </w:rPr>
              <w:t xml:space="preserve">  </w:t>
            </w:r>
            <w:r>
              <w:rPr>
                <w:rFonts w:hint="eastAsia"/>
                <w:color w:val="auto"/>
                <w:highlight w:val="none"/>
                <w:lang w:val="en-US" w:eastAsia="zh-CN"/>
              </w:rPr>
              <w:t>年12月</w:t>
            </w:r>
          </w:p>
        </w:tc>
        <w:tc>
          <w:tcPr>
            <w:tcW w:w="3929" w:type="dxa"/>
            <w:noWrap w:val="0"/>
            <w:vAlign w:val="center"/>
          </w:tcPr>
          <w:p w14:paraId="192A1D8A">
            <w:pPr>
              <w:pStyle w:val="8"/>
              <w:ind w:left="0" w:leftChars="0"/>
              <w:jc w:val="center"/>
              <w:rPr>
                <w:rFonts w:hint="eastAsia"/>
                <w:color w:val="auto"/>
                <w:highlight w:val="none"/>
                <w:lang w:val="en-US" w:eastAsia="zh-CN"/>
              </w:rPr>
            </w:pPr>
            <w:r>
              <w:rPr>
                <w:rFonts w:hint="eastAsia"/>
                <w:color w:val="auto"/>
                <w:highlight w:val="none"/>
                <w:lang w:val="en-US" w:eastAsia="zh-CN"/>
              </w:rPr>
              <w:t>第一年下半年服务费的50％</w:t>
            </w:r>
          </w:p>
        </w:tc>
      </w:tr>
      <w:tr w14:paraId="51F9D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38" w:type="dxa"/>
            <w:noWrap w:val="0"/>
            <w:vAlign w:val="center"/>
          </w:tcPr>
          <w:p w14:paraId="0B5CC7FB">
            <w:pPr>
              <w:pStyle w:val="8"/>
              <w:ind w:left="0" w:leftChars="0" w:firstLine="0" w:firstLineChars="0"/>
              <w:jc w:val="center"/>
              <w:rPr>
                <w:color w:val="auto"/>
                <w:highlight w:val="none"/>
                <w:lang w:val="en-US" w:eastAsia="zh-CN"/>
              </w:rPr>
            </w:pPr>
            <w:r>
              <w:rPr>
                <w:rFonts w:hint="eastAsia"/>
                <w:color w:val="auto"/>
                <w:highlight w:val="none"/>
                <w:lang w:val="en-US" w:eastAsia="zh-CN"/>
              </w:rPr>
              <w:t>3</w:t>
            </w:r>
          </w:p>
        </w:tc>
        <w:tc>
          <w:tcPr>
            <w:tcW w:w="2731" w:type="dxa"/>
            <w:noWrap w:val="0"/>
            <w:vAlign w:val="center"/>
          </w:tcPr>
          <w:p w14:paraId="4DEF9821">
            <w:pPr>
              <w:pStyle w:val="8"/>
              <w:ind w:left="0" w:leftChars="0"/>
              <w:jc w:val="center"/>
              <w:rPr>
                <w:rFonts w:hint="eastAsia"/>
                <w:color w:val="auto"/>
                <w:highlight w:val="none"/>
                <w:lang w:val="en-US" w:eastAsia="zh-CN"/>
              </w:rPr>
            </w:pPr>
            <w:r>
              <w:rPr>
                <w:rFonts w:hint="eastAsia"/>
                <w:color w:val="auto"/>
                <w:highlight w:val="none"/>
                <w:lang w:val="en-US" w:eastAsia="zh-CN"/>
              </w:rPr>
              <w:t>20</w:t>
            </w:r>
            <w:r>
              <w:rPr>
                <w:rFonts w:hint="eastAsia"/>
                <w:color w:val="auto"/>
                <w:highlight w:val="none"/>
                <w:u w:val="single"/>
                <w:lang w:val="en-US" w:eastAsia="zh-CN"/>
              </w:rPr>
              <w:t xml:space="preserve">  </w:t>
            </w:r>
            <w:r>
              <w:rPr>
                <w:rFonts w:hint="eastAsia"/>
                <w:color w:val="auto"/>
                <w:highlight w:val="none"/>
                <w:lang w:val="en-US" w:eastAsia="zh-CN"/>
              </w:rPr>
              <w:t>年6月</w:t>
            </w:r>
          </w:p>
        </w:tc>
        <w:tc>
          <w:tcPr>
            <w:tcW w:w="3929" w:type="dxa"/>
            <w:noWrap w:val="0"/>
            <w:vAlign w:val="center"/>
          </w:tcPr>
          <w:p w14:paraId="31C39BAC">
            <w:pPr>
              <w:pStyle w:val="8"/>
              <w:ind w:left="0" w:leftChars="0"/>
              <w:jc w:val="center"/>
              <w:rPr>
                <w:rFonts w:hint="eastAsia"/>
                <w:color w:val="auto"/>
                <w:highlight w:val="none"/>
                <w:lang w:val="en-US" w:eastAsia="zh-CN"/>
              </w:rPr>
            </w:pPr>
            <w:r>
              <w:rPr>
                <w:rFonts w:hint="eastAsia"/>
                <w:color w:val="auto"/>
                <w:highlight w:val="none"/>
                <w:lang w:val="en-US" w:eastAsia="zh-CN"/>
              </w:rPr>
              <w:t>第二年上半年服务费的50％</w:t>
            </w:r>
          </w:p>
        </w:tc>
      </w:tr>
      <w:tr w14:paraId="07DBE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38" w:type="dxa"/>
            <w:noWrap w:val="0"/>
            <w:vAlign w:val="center"/>
          </w:tcPr>
          <w:p w14:paraId="2045154F">
            <w:pPr>
              <w:pStyle w:val="8"/>
              <w:ind w:left="0" w:leftChars="0" w:firstLine="0" w:firstLineChars="0"/>
              <w:jc w:val="center"/>
              <w:rPr>
                <w:color w:val="auto"/>
                <w:highlight w:val="none"/>
                <w:lang w:val="en-US" w:eastAsia="zh-CN"/>
              </w:rPr>
            </w:pPr>
            <w:r>
              <w:rPr>
                <w:rFonts w:hint="eastAsia"/>
                <w:color w:val="auto"/>
                <w:highlight w:val="none"/>
                <w:lang w:val="en-US" w:eastAsia="zh-CN"/>
              </w:rPr>
              <w:t>4</w:t>
            </w:r>
          </w:p>
        </w:tc>
        <w:tc>
          <w:tcPr>
            <w:tcW w:w="2731" w:type="dxa"/>
            <w:noWrap w:val="0"/>
            <w:vAlign w:val="center"/>
          </w:tcPr>
          <w:p w14:paraId="3F40ABC4">
            <w:pPr>
              <w:pStyle w:val="8"/>
              <w:ind w:left="0" w:leftChars="0"/>
              <w:jc w:val="center"/>
              <w:rPr>
                <w:rFonts w:hint="eastAsia"/>
                <w:color w:val="auto"/>
                <w:highlight w:val="none"/>
                <w:lang w:val="en-US" w:eastAsia="zh-CN"/>
              </w:rPr>
            </w:pPr>
            <w:r>
              <w:rPr>
                <w:rFonts w:hint="eastAsia"/>
                <w:color w:val="auto"/>
                <w:highlight w:val="none"/>
                <w:lang w:val="en-US" w:eastAsia="zh-CN"/>
              </w:rPr>
              <w:t>20</w:t>
            </w:r>
            <w:r>
              <w:rPr>
                <w:rFonts w:hint="eastAsia"/>
                <w:color w:val="auto"/>
                <w:highlight w:val="none"/>
                <w:u w:val="single"/>
                <w:lang w:val="en-US" w:eastAsia="zh-CN"/>
              </w:rPr>
              <w:t xml:space="preserve">  </w:t>
            </w:r>
            <w:r>
              <w:rPr>
                <w:rFonts w:hint="eastAsia"/>
                <w:color w:val="auto"/>
                <w:highlight w:val="none"/>
                <w:lang w:val="en-US" w:eastAsia="zh-CN"/>
              </w:rPr>
              <w:t>年12月</w:t>
            </w:r>
          </w:p>
        </w:tc>
        <w:tc>
          <w:tcPr>
            <w:tcW w:w="3929" w:type="dxa"/>
            <w:noWrap w:val="0"/>
            <w:vAlign w:val="center"/>
          </w:tcPr>
          <w:p w14:paraId="4042586D">
            <w:pPr>
              <w:pStyle w:val="8"/>
              <w:ind w:left="0" w:leftChars="0"/>
              <w:jc w:val="center"/>
              <w:rPr>
                <w:rFonts w:hint="eastAsia"/>
                <w:color w:val="auto"/>
                <w:highlight w:val="none"/>
                <w:lang w:val="en-US" w:eastAsia="zh-CN"/>
              </w:rPr>
            </w:pPr>
            <w:r>
              <w:rPr>
                <w:rFonts w:hint="eastAsia"/>
                <w:color w:val="auto"/>
                <w:highlight w:val="none"/>
                <w:lang w:val="en-US" w:eastAsia="zh-CN"/>
              </w:rPr>
              <w:t>第二年下半年服务费的50％</w:t>
            </w:r>
          </w:p>
        </w:tc>
      </w:tr>
      <w:tr w14:paraId="69F30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38" w:type="dxa"/>
            <w:noWrap w:val="0"/>
            <w:vAlign w:val="center"/>
          </w:tcPr>
          <w:p w14:paraId="397E8E4C">
            <w:pPr>
              <w:pStyle w:val="8"/>
              <w:ind w:left="0" w:leftChars="0" w:firstLine="0" w:firstLineChars="0"/>
              <w:jc w:val="center"/>
              <w:rPr>
                <w:color w:val="auto"/>
                <w:highlight w:val="none"/>
                <w:lang w:val="en-US" w:eastAsia="zh-CN"/>
              </w:rPr>
            </w:pPr>
            <w:r>
              <w:rPr>
                <w:rFonts w:hint="eastAsia"/>
                <w:color w:val="auto"/>
                <w:highlight w:val="none"/>
                <w:lang w:val="en-US" w:eastAsia="zh-CN"/>
              </w:rPr>
              <w:t>5</w:t>
            </w:r>
          </w:p>
        </w:tc>
        <w:tc>
          <w:tcPr>
            <w:tcW w:w="2731" w:type="dxa"/>
            <w:noWrap w:val="0"/>
            <w:vAlign w:val="center"/>
          </w:tcPr>
          <w:p w14:paraId="1F81F15B">
            <w:pPr>
              <w:pStyle w:val="8"/>
              <w:ind w:left="0" w:leftChars="0"/>
              <w:jc w:val="center"/>
              <w:rPr>
                <w:rFonts w:hint="eastAsia"/>
                <w:color w:val="auto"/>
                <w:highlight w:val="none"/>
                <w:lang w:val="en-US" w:eastAsia="zh-CN"/>
              </w:rPr>
            </w:pPr>
            <w:r>
              <w:rPr>
                <w:rFonts w:hint="eastAsia"/>
                <w:color w:val="auto"/>
                <w:highlight w:val="none"/>
                <w:lang w:val="en-US" w:eastAsia="zh-CN"/>
              </w:rPr>
              <w:t>20</w:t>
            </w:r>
            <w:r>
              <w:rPr>
                <w:rFonts w:hint="eastAsia"/>
                <w:color w:val="auto"/>
                <w:highlight w:val="none"/>
                <w:u w:val="single"/>
                <w:lang w:val="en-US" w:eastAsia="zh-CN"/>
              </w:rPr>
              <w:t xml:space="preserve">  </w:t>
            </w:r>
            <w:r>
              <w:rPr>
                <w:rFonts w:hint="eastAsia"/>
                <w:color w:val="auto"/>
                <w:highlight w:val="none"/>
                <w:lang w:val="en-US" w:eastAsia="zh-CN"/>
              </w:rPr>
              <w:t>年6月</w:t>
            </w:r>
          </w:p>
        </w:tc>
        <w:tc>
          <w:tcPr>
            <w:tcW w:w="3929" w:type="dxa"/>
            <w:noWrap w:val="0"/>
            <w:vAlign w:val="center"/>
          </w:tcPr>
          <w:p w14:paraId="69E13FC5">
            <w:pPr>
              <w:pStyle w:val="8"/>
              <w:ind w:left="0" w:leftChars="0"/>
              <w:jc w:val="center"/>
              <w:rPr>
                <w:rFonts w:hint="eastAsia"/>
                <w:color w:val="auto"/>
                <w:highlight w:val="none"/>
                <w:lang w:val="en-US" w:eastAsia="zh-CN"/>
              </w:rPr>
            </w:pPr>
            <w:r>
              <w:rPr>
                <w:rFonts w:hint="eastAsia"/>
                <w:color w:val="auto"/>
                <w:highlight w:val="none"/>
                <w:lang w:val="en-US" w:eastAsia="zh-CN"/>
              </w:rPr>
              <w:t>第三年上半年服务费的50％</w:t>
            </w:r>
          </w:p>
        </w:tc>
      </w:tr>
      <w:tr w14:paraId="2A6D1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438" w:type="dxa"/>
            <w:noWrap w:val="0"/>
            <w:vAlign w:val="center"/>
          </w:tcPr>
          <w:p w14:paraId="010F0FB7">
            <w:pPr>
              <w:pStyle w:val="8"/>
              <w:ind w:left="0" w:leftChars="0" w:firstLine="0" w:firstLineChars="0"/>
              <w:jc w:val="center"/>
              <w:rPr>
                <w:color w:val="auto"/>
                <w:highlight w:val="none"/>
                <w:lang w:val="en-US" w:eastAsia="zh-CN"/>
              </w:rPr>
            </w:pPr>
            <w:r>
              <w:rPr>
                <w:rFonts w:hint="eastAsia"/>
                <w:color w:val="auto"/>
                <w:highlight w:val="none"/>
                <w:lang w:val="en-US" w:eastAsia="zh-CN"/>
              </w:rPr>
              <w:t>6</w:t>
            </w:r>
          </w:p>
        </w:tc>
        <w:tc>
          <w:tcPr>
            <w:tcW w:w="2731" w:type="dxa"/>
            <w:noWrap w:val="0"/>
            <w:vAlign w:val="center"/>
          </w:tcPr>
          <w:p w14:paraId="5B012B25">
            <w:pPr>
              <w:pStyle w:val="8"/>
              <w:ind w:left="0" w:leftChars="0"/>
              <w:jc w:val="center"/>
              <w:rPr>
                <w:rFonts w:hint="eastAsia"/>
                <w:color w:val="auto"/>
                <w:highlight w:val="none"/>
                <w:lang w:val="en-US" w:eastAsia="zh-CN"/>
              </w:rPr>
            </w:pPr>
            <w:r>
              <w:rPr>
                <w:rFonts w:hint="eastAsia"/>
                <w:color w:val="auto"/>
                <w:highlight w:val="none"/>
                <w:lang w:val="en-US" w:eastAsia="zh-CN"/>
              </w:rPr>
              <w:t>20</w:t>
            </w:r>
            <w:r>
              <w:rPr>
                <w:rFonts w:hint="eastAsia"/>
                <w:color w:val="auto"/>
                <w:highlight w:val="none"/>
                <w:u w:val="single"/>
                <w:lang w:val="en-US" w:eastAsia="zh-CN"/>
              </w:rPr>
              <w:t xml:space="preserve">  </w:t>
            </w:r>
            <w:r>
              <w:rPr>
                <w:rFonts w:hint="eastAsia"/>
                <w:color w:val="auto"/>
                <w:highlight w:val="none"/>
                <w:lang w:val="en-US" w:eastAsia="zh-CN"/>
              </w:rPr>
              <w:t>年12月</w:t>
            </w:r>
          </w:p>
        </w:tc>
        <w:tc>
          <w:tcPr>
            <w:tcW w:w="3929" w:type="dxa"/>
            <w:noWrap w:val="0"/>
            <w:vAlign w:val="center"/>
          </w:tcPr>
          <w:p w14:paraId="4B3C20F6">
            <w:pPr>
              <w:pStyle w:val="8"/>
              <w:ind w:left="0" w:leftChars="0"/>
              <w:jc w:val="center"/>
              <w:rPr>
                <w:rFonts w:hint="eastAsia"/>
                <w:color w:val="auto"/>
                <w:highlight w:val="none"/>
                <w:lang w:val="en-US" w:eastAsia="zh-CN"/>
              </w:rPr>
            </w:pPr>
            <w:r>
              <w:rPr>
                <w:rFonts w:hint="eastAsia"/>
                <w:color w:val="auto"/>
                <w:highlight w:val="none"/>
                <w:lang w:val="en-US" w:eastAsia="zh-CN"/>
              </w:rPr>
              <w:t>第三年下半年服务费的50％</w:t>
            </w:r>
          </w:p>
        </w:tc>
      </w:tr>
    </w:tbl>
    <w:p w14:paraId="30B7B77F">
      <w:pPr>
        <w:pStyle w:val="11"/>
        <w:tabs>
          <w:tab w:val="left" w:pos="0"/>
        </w:tabs>
        <w:snapToGrid w:val="0"/>
        <w:spacing w:before="120" w:after="120" w:line="480" w:lineRule="exact"/>
        <w:ind w:left="142"/>
        <w:rPr>
          <w:rFonts w:hint="eastAsia" w:ascii="Times New Roman" w:hAnsi="Times New Roman" w:eastAsia="宋体" w:cs="宋体"/>
          <w:b/>
          <w:bCs/>
          <w:color w:val="auto"/>
          <w:kern w:val="2"/>
          <w:sz w:val="24"/>
          <w:szCs w:val="24"/>
          <w:highlight w:val="none"/>
          <w:lang w:val="en-US" w:eastAsia="zh-CN"/>
        </w:rPr>
      </w:pPr>
      <w:r>
        <w:rPr>
          <w:rFonts w:hint="eastAsia" w:ascii="Times New Roman" w:hAnsi="Times New Roman" w:eastAsia="宋体" w:cs="宋体"/>
          <w:b/>
          <w:bCs/>
          <w:color w:val="auto"/>
          <w:kern w:val="2"/>
          <w:sz w:val="24"/>
          <w:szCs w:val="24"/>
          <w:highlight w:val="none"/>
          <w:lang w:val="en-US" w:eastAsia="zh-CN"/>
        </w:rPr>
        <w:t>注：每次付款前成交人须向采购人提供合法、对应金额的正式增值税专用发票，否则采购人有权拒绝付款而不视为违约。以上付款均不计利息。</w:t>
      </w:r>
    </w:p>
    <w:p w14:paraId="726D85AA">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80" w:lineRule="exact"/>
        <w:ind w:firstLine="482" w:firstLineChars="200"/>
        <w:textAlignment w:val="auto"/>
        <w:rPr>
          <w:rFonts w:hint="default" w:cs="宋体"/>
          <w:b/>
          <w:bCs/>
          <w:color w:val="auto"/>
          <w:sz w:val="24"/>
          <w:highlight w:val="none"/>
          <w:lang w:val="en-US" w:eastAsia="zh-CN"/>
        </w:rPr>
      </w:pPr>
      <w:r>
        <w:rPr>
          <w:rFonts w:hint="eastAsia" w:cs="宋体"/>
          <w:b/>
          <w:bCs/>
          <w:color w:val="auto"/>
          <w:sz w:val="24"/>
          <w:highlight w:val="none"/>
          <w:lang w:val="en-US" w:eastAsia="zh-CN"/>
        </w:rPr>
        <w:t>七、本项目需求未明确的内容，详见合同文件。</w:t>
      </w:r>
    </w:p>
    <w:p w14:paraId="41BBE7C0">
      <w:pPr>
        <w:numPr>
          <w:ilvl w:val="0"/>
          <w:numId w:val="0"/>
        </w:numPr>
        <w:autoSpaceDE w:val="0"/>
        <w:autoSpaceDN w:val="0"/>
        <w:adjustRightInd w:val="0"/>
        <w:snapToGrid w:val="0"/>
        <w:spacing w:line="300" w:lineRule="auto"/>
        <w:ind w:left="142" w:leftChars="0"/>
        <w:jc w:val="center"/>
        <w:rPr>
          <w:rFonts w:asciiTheme="minorEastAsia" w:hAnsiTheme="minorEastAsia" w:eastAsiaTheme="minorEastAsia"/>
          <w:b/>
          <w:bCs/>
          <w:color w:val="auto"/>
          <w:sz w:val="36"/>
          <w:szCs w:val="36"/>
          <w:highlight w:val="none"/>
          <w:lang w:val="zh-CN"/>
        </w:rPr>
      </w:pPr>
      <w:r>
        <w:rPr>
          <w:rFonts w:ascii="仿宋_GB2312" w:eastAsia="仿宋_GB2312"/>
          <w:b/>
          <w:bCs/>
          <w:color w:val="auto"/>
          <w:sz w:val="36"/>
          <w:szCs w:val="36"/>
          <w:highlight w:val="none"/>
          <w:lang w:val="zh-CN"/>
        </w:rPr>
        <w:br w:type="page"/>
      </w:r>
      <w:r>
        <w:rPr>
          <w:rFonts w:hint="eastAsia" w:asciiTheme="minorEastAsia" w:hAnsiTheme="minorEastAsia" w:eastAsiaTheme="minorEastAsia"/>
          <w:b/>
          <w:bCs/>
          <w:color w:val="auto"/>
          <w:sz w:val="36"/>
          <w:szCs w:val="36"/>
          <w:highlight w:val="none"/>
          <w:lang w:val="zh-CN"/>
        </w:rPr>
        <w:t>第四部分  评审程序和内容</w:t>
      </w:r>
    </w:p>
    <w:p w14:paraId="693A6D7A">
      <w:pPr>
        <w:autoSpaceDE w:val="0"/>
        <w:autoSpaceDN w:val="0"/>
        <w:adjustRightInd w:val="0"/>
        <w:snapToGrid w:val="0"/>
        <w:spacing w:line="300" w:lineRule="auto"/>
        <w:ind w:right="210"/>
        <w:jc w:val="center"/>
        <w:outlineLvl w:val="0"/>
        <w:rPr>
          <w:rFonts w:eastAsia="仿宋_GB2312"/>
          <w:b/>
          <w:bCs/>
          <w:color w:val="auto"/>
          <w:sz w:val="36"/>
          <w:szCs w:val="36"/>
          <w:highlight w:val="none"/>
        </w:rPr>
      </w:pPr>
    </w:p>
    <w:p w14:paraId="0C0092C5">
      <w:pPr>
        <w:autoSpaceDE w:val="0"/>
        <w:autoSpaceDN w:val="0"/>
        <w:adjustRightInd w:val="0"/>
        <w:snapToGrid w:val="0"/>
        <w:spacing w:line="480" w:lineRule="exact"/>
        <w:ind w:right="210" w:firstLine="472" w:firstLineChars="196"/>
        <w:rPr>
          <w:b/>
          <w:color w:val="auto"/>
          <w:sz w:val="24"/>
          <w:highlight w:val="none"/>
          <w:lang w:val="zh-CN"/>
        </w:rPr>
      </w:pPr>
      <w:r>
        <w:rPr>
          <w:b/>
          <w:color w:val="auto"/>
          <w:sz w:val="24"/>
          <w:highlight w:val="none"/>
          <w:lang w:val="zh-CN"/>
        </w:rPr>
        <w:t>一、</w:t>
      </w:r>
      <w:r>
        <w:rPr>
          <w:rFonts w:hint="eastAsia"/>
          <w:b/>
          <w:color w:val="auto"/>
          <w:sz w:val="24"/>
          <w:highlight w:val="none"/>
          <w:lang w:val="zh-CN"/>
        </w:rPr>
        <w:t>采购人委托</w:t>
      </w:r>
      <w:r>
        <w:rPr>
          <w:b/>
          <w:color w:val="auto"/>
          <w:sz w:val="24"/>
          <w:highlight w:val="none"/>
          <w:lang w:val="zh-CN"/>
        </w:rPr>
        <w:t>采购代理机构组织磋商活动</w:t>
      </w:r>
    </w:p>
    <w:p w14:paraId="280B89B2">
      <w:pPr>
        <w:snapToGrid w:val="0"/>
        <w:spacing w:line="480" w:lineRule="exact"/>
        <w:ind w:firstLine="482" w:firstLineChars="200"/>
        <w:rPr>
          <w:color w:val="auto"/>
          <w:kern w:val="0"/>
          <w:sz w:val="24"/>
          <w:highlight w:val="none"/>
          <w:lang w:val="zh-CN"/>
        </w:rPr>
      </w:pPr>
      <w:r>
        <w:rPr>
          <w:b/>
          <w:color w:val="auto"/>
          <w:kern w:val="0"/>
          <w:sz w:val="24"/>
          <w:highlight w:val="none"/>
          <w:lang w:val="zh-CN"/>
        </w:rPr>
        <w:t>1、成立竞争性磋商小组。</w:t>
      </w:r>
      <w:r>
        <w:rPr>
          <w:color w:val="auto"/>
          <w:kern w:val="0"/>
          <w:sz w:val="24"/>
          <w:highlight w:val="none"/>
          <w:lang w:val="zh-CN"/>
        </w:rPr>
        <w:t>竞争性磋商小组由</w:t>
      </w:r>
      <w:r>
        <w:rPr>
          <w:rFonts w:hint="eastAsia"/>
          <w:color w:val="auto"/>
          <w:kern w:val="0"/>
          <w:sz w:val="24"/>
          <w:highlight w:val="none"/>
          <w:lang w:val="zh-CN"/>
        </w:rPr>
        <w:t>采购人代表和评审专家共计</w:t>
      </w:r>
      <w:r>
        <w:rPr>
          <w:rFonts w:hint="eastAsia"/>
          <w:color w:val="auto"/>
          <w:kern w:val="0"/>
          <w:sz w:val="24"/>
          <w:highlight w:val="none"/>
        </w:rPr>
        <w:t>3</w:t>
      </w:r>
      <w:r>
        <w:rPr>
          <w:rFonts w:hint="eastAsia"/>
          <w:color w:val="auto"/>
          <w:kern w:val="0"/>
          <w:sz w:val="24"/>
          <w:highlight w:val="none"/>
          <w:lang w:val="zh-CN"/>
        </w:rPr>
        <w:t>人组成，其中评审专家</w:t>
      </w:r>
      <w:r>
        <w:rPr>
          <w:rFonts w:hint="eastAsia"/>
          <w:color w:val="auto"/>
          <w:kern w:val="0"/>
          <w:sz w:val="24"/>
          <w:highlight w:val="none"/>
        </w:rPr>
        <w:t>2</w:t>
      </w:r>
      <w:r>
        <w:rPr>
          <w:rFonts w:hint="eastAsia"/>
          <w:color w:val="auto"/>
          <w:kern w:val="0"/>
          <w:sz w:val="24"/>
          <w:highlight w:val="none"/>
          <w:lang w:val="zh-CN"/>
        </w:rPr>
        <w:t>人，采购人代表1人</w:t>
      </w:r>
      <w:r>
        <w:rPr>
          <w:color w:val="auto"/>
          <w:kern w:val="0"/>
          <w:sz w:val="24"/>
          <w:highlight w:val="none"/>
          <w:lang w:val="zh-CN"/>
        </w:rPr>
        <w:t>。</w:t>
      </w:r>
    </w:p>
    <w:p w14:paraId="482A10CD">
      <w:pPr>
        <w:pStyle w:val="21"/>
        <w:snapToGrid w:val="0"/>
        <w:spacing w:line="480" w:lineRule="exact"/>
        <w:ind w:firstLine="480" w:firstLineChars="200"/>
        <w:contextualSpacing/>
        <w:rPr>
          <w:rFonts w:ascii="Times New Roman" w:hAnsi="Times New Roman" w:eastAsia="宋体"/>
          <w:color w:val="auto"/>
          <w:kern w:val="0"/>
          <w:sz w:val="24"/>
          <w:szCs w:val="24"/>
          <w:highlight w:val="none"/>
          <w:lang w:val="zh-CN"/>
        </w:rPr>
      </w:pPr>
      <w:r>
        <w:rPr>
          <w:rFonts w:ascii="Times New Roman" w:hAnsi="Times New Roman" w:eastAsia="宋体"/>
          <w:color w:val="auto"/>
          <w:kern w:val="0"/>
          <w:sz w:val="24"/>
          <w:szCs w:val="24"/>
          <w:highlight w:val="none"/>
          <w:lang w:val="zh-CN"/>
        </w:rPr>
        <w:t>超过公开限额标准的项目，竞争性磋商小组应当由5人以上单数组成。</w:t>
      </w:r>
    </w:p>
    <w:p w14:paraId="521A982F">
      <w:pPr>
        <w:spacing w:line="480" w:lineRule="exact"/>
        <w:ind w:firstLine="482" w:firstLineChars="200"/>
        <w:rPr>
          <w:b/>
          <w:color w:val="auto"/>
          <w:kern w:val="0"/>
          <w:sz w:val="24"/>
          <w:highlight w:val="none"/>
          <w:lang w:val="zh-CN"/>
        </w:rPr>
      </w:pPr>
      <w:r>
        <w:rPr>
          <w:b/>
          <w:color w:val="auto"/>
          <w:kern w:val="0"/>
          <w:sz w:val="24"/>
          <w:highlight w:val="none"/>
          <w:lang w:val="zh-CN"/>
        </w:rPr>
        <w:t>2、竞争性磋商小组的职责：</w:t>
      </w:r>
    </w:p>
    <w:p w14:paraId="4E8E9EE5">
      <w:pPr>
        <w:pStyle w:val="21"/>
        <w:snapToGrid w:val="0"/>
        <w:spacing w:line="480" w:lineRule="exact"/>
        <w:ind w:firstLine="480" w:firstLineChars="200"/>
        <w:contextualSpacing/>
        <w:rPr>
          <w:rFonts w:ascii="Times New Roman" w:hAnsi="Times New Roman" w:eastAsia="宋体"/>
          <w:color w:val="auto"/>
          <w:kern w:val="0"/>
          <w:sz w:val="24"/>
          <w:szCs w:val="24"/>
          <w:highlight w:val="none"/>
          <w:lang w:val="zh-CN"/>
        </w:rPr>
      </w:pPr>
      <w:r>
        <w:rPr>
          <w:rFonts w:ascii="Times New Roman" w:hAnsi="Times New Roman" w:eastAsia="宋体"/>
          <w:color w:val="auto"/>
          <w:kern w:val="0"/>
          <w:sz w:val="24"/>
          <w:szCs w:val="24"/>
          <w:highlight w:val="none"/>
          <w:lang w:val="zh-CN"/>
        </w:rPr>
        <w:t>评审专家应当遵守评审工作纪律，不得泄露评审情况和评审中获悉的商业秘密。</w:t>
      </w:r>
    </w:p>
    <w:p w14:paraId="1A3BA8CC">
      <w:pPr>
        <w:pStyle w:val="21"/>
        <w:snapToGrid w:val="0"/>
        <w:spacing w:line="480" w:lineRule="exact"/>
        <w:ind w:firstLine="480" w:firstLineChars="200"/>
        <w:contextualSpacing/>
        <w:rPr>
          <w:rFonts w:ascii="Times New Roman" w:hAnsi="Times New Roman" w:eastAsia="宋体"/>
          <w:color w:val="auto"/>
          <w:kern w:val="0"/>
          <w:sz w:val="24"/>
          <w:szCs w:val="24"/>
          <w:highlight w:val="none"/>
          <w:lang w:val="zh-CN"/>
        </w:rPr>
      </w:pPr>
      <w:r>
        <w:rPr>
          <w:rFonts w:ascii="Times New Roman" w:hAnsi="Times New Roman" w:eastAsia="宋体"/>
          <w:color w:val="auto"/>
          <w:kern w:val="0"/>
          <w:sz w:val="24"/>
          <w:szCs w:val="24"/>
          <w:highlight w:val="none"/>
          <w:lang w:val="zh-CN"/>
        </w:rPr>
        <w:t>磋商小组在评审过程中发现供应商有行贿、提供虚假材料或者串通等违法行为的，应当及时向</w:t>
      </w:r>
      <w:r>
        <w:rPr>
          <w:rFonts w:hint="eastAsia" w:ascii="Times New Roman" w:hAnsi="Times New Roman" w:eastAsia="宋体"/>
          <w:color w:val="auto"/>
          <w:kern w:val="0"/>
          <w:sz w:val="24"/>
          <w:szCs w:val="24"/>
          <w:highlight w:val="none"/>
          <w:lang w:val="zh-CN"/>
        </w:rPr>
        <w:t>有关</w:t>
      </w:r>
      <w:r>
        <w:rPr>
          <w:rFonts w:ascii="Times New Roman" w:hAnsi="Times New Roman" w:eastAsia="宋体"/>
          <w:color w:val="auto"/>
          <w:kern w:val="0"/>
          <w:sz w:val="24"/>
          <w:szCs w:val="24"/>
          <w:highlight w:val="none"/>
          <w:lang w:val="zh-CN"/>
        </w:rPr>
        <w:t>部门报告。</w:t>
      </w:r>
    </w:p>
    <w:p w14:paraId="71F12139">
      <w:pPr>
        <w:pStyle w:val="21"/>
        <w:snapToGrid w:val="0"/>
        <w:spacing w:line="480" w:lineRule="exact"/>
        <w:ind w:firstLine="480" w:firstLineChars="200"/>
        <w:contextualSpacing/>
        <w:rPr>
          <w:rFonts w:ascii="Times New Roman" w:hAnsi="Times New Roman" w:eastAsia="宋体"/>
          <w:color w:val="auto"/>
          <w:kern w:val="0"/>
          <w:sz w:val="24"/>
          <w:szCs w:val="24"/>
          <w:highlight w:val="none"/>
        </w:rPr>
      </w:pPr>
      <w:r>
        <w:rPr>
          <w:rFonts w:ascii="Times New Roman" w:hAnsi="Times New Roman" w:eastAsia="宋体"/>
          <w:color w:val="auto"/>
          <w:kern w:val="0"/>
          <w:sz w:val="24"/>
          <w:szCs w:val="24"/>
          <w:highlight w:val="none"/>
          <w:lang w:val="zh-CN"/>
        </w:rPr>
        <w:t>评审专家在评审过程中受到非法干涉的，应当及时向监察等部门举报。</w:t>
      </w:r>
    </w:p>
    <w:p w14:paraId="3591A339">
      <w:pPr>
        <w:pStyle w:val="21"/>
        <w:snapToGrid w:val="0"/>
        <w:spacing w:line="480" w:lineRule="exact"/>
        <w:ind w:firstLine="480" w:firstLineChars="200"/>
        <w:contextualSpacing/>
        <w:rPr>
          <w:rFonts w:ascii="Times New Roman" w:hAnsi="Times New Roman" w:eastAsia="宋体"/>
          <w:color w:val="auto"/>
          <w:kern w:val="0"/>
          <w:sz w:val="24"/>
          <w:szCs w:val="24"/>
          <w:highlight w:val="none"/>
          <w:lang w:val="zh-CN"/>
        </w:rPr>
      </w:pPr>
      <w:r>
        <w:rPr>
          <w:rFonts w:ascii="Times New Roman" w:hAnsi="Times New Roman" w:eastAsia="宋体"/>
          <w:color w:val="auto"/>
          <w:kern w:val="0"/>
          <w:sz w:val="24"/>
          <w:szCs w:val="24"/>
          <w:highlight w:val="none"/>
          <w:lang w:val="zh-CN"/>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1D111240">
      <w:pPr>
        <w:pStyle w:val="21"/>
        <w:snapToGrid w:val="0"/>
        <w:spacing w:line="480" w:lineRule="exact"/>
        <w:ind w:firstLine="480" w:firstLineChars="200"/>
        <w:contextualSpacing/>
        <w:rPr>
          <w:rFonts w:ascii="Times New Roman" w:hAnsi="Times New Roman" w:eastAsia="宋体"/>
          <w:color w:val="auto"/>
          <w:kern w:val="0"/>
          <w:sz w:val="24"/>
          <w:szCs w:val="24"/>
          <w:highlight w:val="none"/>
          <w:lang w:val="zh-CN"/>
        </w:rPr>
      </w:pPr>
      <w:r>
        <w:rPr>
          <w:rFonts w:ascii="Times New Roman" w:hAnsi="Times New Roman" w:eastAsia="宋体"/>
          <w:color w:val="auto"/>
          <w:kern w:val="0"/>
          <w:sz w:val="24"/>
          <w:szCs w:val="24"/>
          <w:highlight w:val="none"/>
          <w:lang w:val="zh-CN"/>
        </w:rPr>
        <w:t>磋商文件内容违反国家有关强制性规定的，磋商小组应当停止评审并向采购人或者采购代理机构说明情况。</w:t>
      </w:r>
    </w:p>
    <w:p w14:paraId="1A3CD5EA">
      <w:pPr>
        <w:pStyle w:val="21"/>
        <w:snapToGrid w:val="0"/>
        <w:spacing w:line="480" w:lineRule="exact"/>
        <w:ind w:firstLine="482" w:firstLineChars="200"/>
        <w:contextualSpacing/>
        <w:rPr>
          <w:rFonts w:ascii="Times New Roman" w:hAnsi="Times New Roman" w:eastAsia="宋体"/>
          <w:b/>
          <w:color w:val="auto"/>
          <w:kern w:val="0"/>
          <w:sz w:val="24"/>
          <w:szCs w:val="24"/>
          <w:highlight w:val="none"/>
          <w:lang w:val="zh-CN"/>
        </w:rPr>
      </w:pPr>
      <w:r>
        <w:rPr>
          <w:rFonts w:ascii="Times New Roman" w:hAnsi="Times New Roman" w:eastAsia="宋体"/>
          <w:b/>
          <w:color w:val="auto"/>
          <w:kern w:val="0"/>
          <w:sz w:val="24"/>
          <w:szCs w:val="24"/>
          <w:highlight w:val="none"/>
          <w:lang w:val="zh-CN"/>
        </w:rPr>
        <w:t>3、竞争性磋商小组成员的义务：</w:t>
      </w:r>
    </w:p>
    <w:p w14:paraId="3C76C670">
      <w:pPr>
        <w:pStyle w:val="21"/>
        <w:snapToGrid w:val="0"/>
        <w:spacing w:line="480" w:lineRule="exact"/>
        <w:ind w:firstLine="480" w:firstLineChars="200"/>
        <w:contextualSpacing/>
        <w:rPr>
          <w:rFonts w:ascii="Times New Roman" w:hAnsi="Times New Roman" w:eastAsia="宋体"/>
          <w:color w:val="auto"/>
          <w:kern w:val="0"/>
          <w:sz w:val="24"/>
          <w:szCs w:val="24"/>
          <w:highlight w:val="none"/>
          <w:lang w:val="zh-CN"/>
        </w:rPr>
      </w:pPr>
      <w:r>
        <w:rPr>
          <w:rFonts w:ascii="Times New Roman" w:hAnsi="Times New Roman" w:eastAsia="宋体"/>
          <w:color w:val="auto"/>
          <w:kern w:val="0"/>
          <w:sz w:val="24"/>
          <w:szCs w:val="24"/>
          <w:highlight w:val="none"/>
          <w:lang w:val="zh-CN"/>
        </w:rPr>
        <w:t>遵纪守法，客观、公正、廉洁地履行职责；根据采购文件的规定独立进行评审，对个人的评审意见承担法律责任；参与</w:t>
      </w:r>
      <w:r>
        <w:rPr>
          <w:rFonts w:hint="eastAsia" w:ascii="Times New Roman" w:hAnsi="Times New Roman" w:eastAsia="宋体"/>
          <w:color w:val="auto"/>
          <w:kern w:val="0"/>
          <w:sz w:val="24"/>
          <w:szCs w:val="24"/>
          <w:highlight w:val="none"/>
          <w:lang w:val="zh-CN"/>
        </w:rPr>
        <w:t>完成</w:t>
      </w:r>
      <w:r>
        <w:rPr>
          <w:rFonts w:ascii="Times New Roman" w:hAnsi="Times New Roman" w:eastAsia="宋体"/>
          <w:color w:val="auto"/>
          <w:kern w:val="0"/>
          <w:sz w:val="24"/>
          <w:szCs w:val="24"/>
          <w:highlight w:val="none"/>
          <w:lang w:val="zh-CN"/>
        </w:rPr>
        <w:t>评审报告；配合采购人、</w:t>
      </w:r>
      <w:r>
        <w:rPr>
          <w:rFonts w:hint="eastAsia" w:ascii="Times New Roman" w:hAnsi="Times New Roman" w:eastAsia="宋体"/>
          <w:color w:val="auto"/>
          <w:kern w:val="0"/>
          <w:sz w:val="24"/>
          <w:szCs w:val="24"/>
          <w:highlight w:val="none"/>
          <w:lang w:val="zh-CN"/>
        </w:rPr>
        <w:t>采购代理机构</w:t>
      </w:r>
      <w:r>
        <w:rPr>
          <w:rFonts w:ascii="Times New Roman" w:hAnsi="Times New Roman" w:eastAsia="宋体"/>
          <w:color w:val="auto"/>
          <w:kern w:val="0"/>
          <w:sz w:val="24"/>
          <w:szCs w:val="24"/>
          <w:highlight w:val="none"/>
          <w:lang w:val="zh-CN"/>
        </w:rPr>
        <w:t>答复供应商提出的质疑；配合</w:t>
      </w:r>
      <w:r>
        <w:rPr>
          <w:rFonts w:hint="eastAsia" w:ascii="Times New Roman" w:hAnsi="Times New Roman" w:eastAsia="宋体"/>
          <w:color w:val="auto"/>
          <w:kern w:val="0"/>
          <w:sz w:val="24"/>
          <w:szCs w:val="24"/>
          <w:highlight w:val="none"/>
          <w:lang w:val="zh-CN"/>
        </w:rPr>
        <w:t>有</w:t>
      </w:r>
      <w:r>
        <w:rPr>
          <w:rFonts w:ascii="Times New Roman" w:hAnsi="Times New Roman" w:eastAsia="宋体"/>
          <w:color w:val="auto"/>
          <w:kern w:val="0"/>
          <w:sz w:val="24"/>
          <w:szCs w:val="24"/>
          <w:highlight w:val="none"/>
          <w:lang w:val="zh-CN"/>
        </w:rPr>
        <w:t>关部门的投诉处理和监督检查工作。</w:t>
      </w:r>
    </w:p>
    <w:p w14:paraId="4CDE1B45">
      <w:pPr>
        <w:pStyle w:val="21"/>
        <w:snapToGrid w:val="0"/>
        <w:spacing w:line="480" w:lineRule="exact"/>
        <w:ind w:firstLine="482" w:firstLineChars="200"/>
        <w:contextualSpacing/>
        <w:rPr>
          <w:rFonts w:ascii="Times New Roman" w:hAnsi="Times New Roman" w:eastAsia="宋体"/>
          <w:b/>
          <w:color w:val="auto"/>
          <w:kern w:val="0"/>
          <w:sz w:val="24"/>
          <w:szCs w:val="24"/>
          <w:highlight w:val="none"/>
          <w:lang w:val="zh-CN"/>
        </w:rPr>
      </w:pPr>
      <w:r>
        <w:rPr>
          <w:rFonts w:ascii="Times New Roman" w:hAnsi="Times New Roman" w:eastAsia="宋体"/>
          <w:b/>
          <w:color w:val="auto"/>
          <w:kern w:val="0"/>
          <w:sz w:val="24"/>
          <w:szCs w:val="24"/>
          <w:highlight w:val="none"/>
          <w:lang w:val="zh-CN"/>
        </w:rPr>
        <w:t>二、供应商参加磋商活动。</w:t>
      </w:r>
    </w:p>
    <w:p w14:paraId="2D055808">
      <w:pPr>
        <w:tabs>
          <w:tab w:val="left" w:pos="3585"/>
        </w:tabs>
        <w:snapToGrid w:val="0"/>
        <w:spacing w:line="480" w:lineRule="exact"/>
        <w:ind w:firstLine="460" w:firstLineChars="192"/>
        <w:rPr>
          <w:color w:val="auto"/>
          <w:kern w:val="0"/>
          <w:sz w:val="24"/>
          <w:highlight w:val="none"/>
          <w:lang w:val="zh-CN"/>
        </w:rPr>
      </w:pPr>
      <w:r>
        <w:rPr>
          <w:color w:val="auto"/>
          <w:kern w:val="0"/>
          <w:sz w:val="24"/>
          <w:highlight w:val="none"/>
          <w:lang w:val="zh-CN"/>
        </w:rPr>
        <w:t>响应供应商在采购文件指定地点参加磋商会。</w:t>
      </w:r>
    </w:p>
    <w:p w14:paraId="7725F089">
      <w:pPr>
        <w:autoSpaceDE w:val="0"/>
        <w:autoSpaceDN w:val="0"/>
        <w:adjustRightInd w:val="0"/>
        <w:snapToGrid w:val="0"/>
        <w:spacing w:line="480" w:lineRule="exact"/>
        <w:ind w:right="210" w:firstLine="482" w:firstLineChars="200"/>
        <w:rPr>
          <w:b/>
          <w:color w:val="auto"/>
          <w:sz w:val="24"/>
          <w:highlight w:val="none"/>
        </w:rPr>
      </w:pPr>
      <w:r>
        <w:rPr>
          <w:b/>
          <w:color w:val="auto"/>
          <w:sz w:val="24"/>
          <w:highlight w:val="none"/>
        </w:rPr>
        <w:t>三、评审程序、内容</w:t>
      </w:r>
    </w:p>
    <w:p w14:paraId="469D1E93">
      <w:pPr>
        <w:pStyle w:val="21"/>
        <w:snapToGrid w:val="0"/>
        <w:spacing w:line="480" w:lineRule="exact"/>
        <w:ind w:firstLine="480" w:firstLineChars="200"/>
        <w:contextualSpacing/>
        <w:rPr>
          <w:rFonts w:ascii="Times New Roman" w:hAnsi="Times New Roman" w:eastAsia="宋体"/>
          <w:color w:val="auto"/>
          <w:kern w:val="0"/>
          <w:sz w:val="24"/>
          <w:szCs w:val="24"/>
          <w:highlight w:val="none"/>
          <w:lang w:val="zh-CN"/>
        </w:rPr>
      </w:pPr>
      <w:r>
        <w:rPr>
          <w:rFonts w:ascii="Times New Roman" w:hAnsi="Times New Roman" w:eastAsia="宋体"/>
          <w:color w:val="auto"/>
          <w:kern w:val="0"/>
          <w:sz w:val="24"/>
          <w:szCs w:val="24"/>
          <w:highlight w:val="none"/>
          <w:lang w:val="zh-CN"/>
        </w:rPr>
        <w:t>1、磋商小组应当对响应文件进行评审，并根据磋商文件规定的程序、评定成交的标准等事项与实质性响应磋商文件要求的供应商进行磋商。未实质性响应磋商文件的响应文件按无效处理，磋商小组应当告知有关供应商。 </w:t>
      </w:r>
    </w:p>
    <w:p w14:paraId="1F8E2BF7">
      <w:pPr>
        <w:pStyle w:val="21"/>
        <w:snapToGrid w:val="0"/>
        <w:spacing w:line="480" w:lineRule="exact"/>
        <w:ind w:firstLine="480" w:firstLineChars="200"/>
        <w:contextualSpacing/>
        <w:rPr>
          <w:rFonts w:ascii="Times New Roman" w:hAnsi="Times New Roman" w:eastAsia="宋体"/>
          <w:color w:val="auto"/>
          <w:kern w:val="0"/>
          <w:sz w:val="24"/>
          <w:szCs w:val="24"/>
          <w:highlight w:val="none"/>
          <w:lang w:val="zh-CN"/>
        </w:rPr>
      </w:pPr>
      <w:r>
        <w:rPr>
          <w:rFonts w:ascii="Times New Roman" w:hAnsi="Times New Roman" w:eastAsia="宋体"/>
          <w:color w:val="auto"/>
          <w:kern w:val="0"/>
          <w:sz w:val="24"/>
          <w:szCs w:val="24"/>
          <w:highlight w:val="none"/>
          <w:lang w:val="zh-CN"/>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B36E3E7">
      <w:pPr>
        <w:pStyle w:val="21"/>
        <w:snapToGrid w:val="0"/>
        <w:spacing w:line="480" w:lineRule="exact"/>
        <w:ind w:firstLine="480" w:firstLineChars="200"/>
        <w:contextualSpacing/>
        <w:rPr>
          <w:rFonts w:ascii="Times New Roman" w:hAnsi="Times New Roman" w:eastAsia="宋体"/>
          <w:color w:val="auto"/>
          <w:kern w:val="0"/>
          <w:sz w:val="24"/>
          <w:szCs w:val="24"/>
          <w:highlight w:val="none"/>
          <w:lang w:val="zh-CN"/>
        </w:rPr>
      </w:pPr>
      <w:r>
        <w:rPr>
          <w:rFonts w:ascii="Times New Roman" w:hAnsi="Times New Roman" w:eastAsia="宋体"/>
          <w:color w:val="auto"/>
          <w:kern w:val="0"/>
          <w:sz w:val="24"/>
          <w:szCs w:val="24"/>
          <w:highlight w:val="none"/>
          <w:lang w:val="zh-CN"/>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4AAB6EBD">
      <w:pPr>
        <w:pStyle w:val="21"/>
        <w:snapToGrid w:val="0"/>
        <w:spacing w:line="480" w:lineRule="exact"/>
        <w:ind w:firstLine="480" w:firstLineChars="200"/>
        <w:contextualSpacing/>
        <w:rPr>
          <w:rFonts w:ascii="Times New Roman" w:hAnsi="Times New Roman" w:eastAsia="宋体"/>
          <w:color w:val="auto"/>
          <w:kern w:val="0"/>
          <w:sz w:val="24"/>
          <w:szCs w:val="24"/>
          <w:highlight w:val="none"/>
          <w:lang w:val="zh-CN"/>
        </w:rPr>
      </w:pPr>
      <w:r>
        <w:rPr>
          <w:rFonts w:ascii="Times New Roman" w:hAnsi="Times New Roman" w:eastAsia="宋体"/>
          <w:color w:val="auto"/>
          <w:kern w:val="0"/>
          <w:sz w:val="24"/>
          <w:szCs w:val="24"/>
          <w:highlight w:val="none"/>
          <w:lang w:val="zh-CN"/>
        </w:rPr>
        <w:t>2、磋商小组所有成员应当集中与单一供应商分别进行磋商，并给予所有参加磋商的供应商平等的磋商机会。</w:t>
      </w:r>
    </w:p>
    <w:p w14:paraId="29F3FAF8">
      <w:pPr>
        <w:pStyle w:val="21"/>
        <w:snapToGrid w:val="0"/>
        <w:spacing w:line="480" w:lineRule="exact"/>
        <w:ind w:firstLine="480" w:firstLineChars="200"/>
        <w:contextualSpacing/>
        <w:rPr>
          <w:rFonts w:ascii="Times New Roman" w:hAnsi="Times New Roman" w:eastAsia="宋体"/>
          <w:color w:val="auto"/>
          <w:kern w:val="0"/>
          <w:sz w:val="24"/>
          <w:szCs w:val="24"/>
          <w:highlight w:val="none"/>
          <w:lang w:val="zh-CN"/>
        </w:rPr>
      </w:pPr>
      <w:r>
        <w:rPr>
          <w:rFonts w:ascii="Times New Roman" w:hAnsi="Times New Roman" w:eastAsia="宋体"/>
          <w:color w:val="auto"/>
          <w:kern w:val="0"/>
          <w:sz w:val="24"/>
          <w:szCs w:val="24"/>
          <w:highlight w:val="none"/>
          <w:lang w:val="zh-CN"/>
        </w:rPr>
        <w:t>3、在磋商过程中，磋商小组可以根据磋商文件和磋商情况实质性变动采购需求中的技术、服务要求以及合同草案条款，但不得变动磋商文件中的其他内容。实质性变动的内容，须经采购人代表确认。</w:t>
      </w:r>
    </w:p>
    <w:p w14:paraId="30D194D4">
      <w:pPr>
        <w:pStyle w:val="21"/>
        <w:snapToGrid w:val="0"/>
        <w:spacing w:line="480" w:lineRule="exact"/>
        <w:ind w:firstLine="480" w:firstLineChars="200"/>
        <w:contextualSpacing/>
        <w:rPr>
          <w:rFonts w:ascii="Times New Roman" w:hAnsi="Times New Roman" w:eastAsia="宋体"/>
          <w:color w:val="auto"/>
          <w:kern w:val="0"/>
          <w:sz w:val="24"/>
          <w:szCs w:val="24"/>
          <w:highlight w:val="none"/>
          <w:lang w:val="zh-CN"/>
        </w:rPr>
      </w:pPr>
      <w:r>
        <w:rPr>
          <w:rFonts w:ascii="Times New Roman" w:hAnsi="Times New Roman" w:eastAsia="宋体"/>
          <w:color w:val="auto"/>
          <w:kern w:val="0"/>
          <w:sz w:val="24"/>
          <w:szCs w:val="24"/>
          <w:highlight w:val="none"/>
          <w:lang w:val="zh-CN"/>
        </w:rPr>
        <w:t>对磋商文件作出的实质性变动是磋商文件的有效组成部分，磋商小组应当及时以书面形式同时通知所有参加磋商的供应商。</w:t>
      </w:r>
    </w:p>
    <w:p w14:paraId="76D98D48">
      <w:pPr>
        <w:pStyle w:val="21"/>
        <w:snapToGrid w:val="0"/>
        <w:spacing w:line="480" w:lineRule="exact"/>
        <w:ind w:firstLine="480" w:firstLineChars="200"/>
        <w:contextualSpacing/>
        <w:rPr>
          <w:rFonts w:ascii="Times New Roman" w:hAnsi="Times New Roman" w:eastAsia="宋体"/>
          <w:color w:val="auto"/>
          <w:kern w:val="0"/>
          <w:sz w:val="24"/>
          <w:szCs w:val="24"/>
          <w:highlight w:val="none"/>
          <w:lang w:val="zh-CN"/>
        </w:rPr>
      </w:pPr>
      <w:r>
        <w:rPr>
          <w:rFonts w:ascii="Times New Roman" w:hAnsi="Times New Roman" w:eastAsia="宋体"/>
          <w:color w:val="auto"/>
          <w:kern w:val="0"/>
          <w:sz w:val="24"/>
          <w:szCs w:val="24"/>
          <w:highlight w:val="none"/>
          <w:lang w:val="zh-CN"/>
        </w:rPr>
        <w:t>供应商应当按照磋商文件的变动情况和磋商小组的要求重新提交响应文件，并由其法定代表人或</w:t>
      </w:r>
      <w:r>
        <w:rPr>
          <w:rFonts w:hint="eastAsia" w:ascii="Times New Roman" w:hAnsi="Times New Roman" w:eastAsia="宋体"/>
          <w:color w:val="auto"/>
          <w:kern w:val="0"/>
          <w:sz w:val="24"/>
          <w:szCs w:val="24"/>
          <w:highlight w:val="none"/>
          <w:lang w:val="zh-CN"/>
        </w:rPr>
        <w:t>其</w:t>
      </w:r>
      <w:r>
        <w:rPr>
          <w:rFonts w:ascii="Times New Roman" w:hAnsi="Times New Roman" w:eastAsia="宋体"/>
          <w:color w:val="auto"/>
          <w:kern w:val="0"/>
          <w:sz w:val="24"/>
          <w:szCs w:val="24"/>
          <w:highlight w:val="none"/>
          <w:lang w:val="zh-CN"/>
        </w:rPr>
        <w:t>授权代表签字或者加盖公章。由授权代表签字的，应当附法定代表人授权书。供应商为自然人的，应当由本人签字并附身份证明。</w:t>
      </w:r>
    </w:p>
    <w:p w14:paraId="47218DCC">
      <w:pPr>
        <w:pStyle w:val="21"/>
        <w:snapToGrid w:val="0"/>
        <w:spacing w:line="480" w:lineRule="exact"/>
        <w:ind w:firstLine="480" w:firstLineChars="200"/>
        <w:contextualSpacing/>
        <w:rPr>
          <w:rFonts w:ascii="Times New Roman" w:hAnsi="Times New Roman" w:eastAsia="宋体"/>
          <w:color w:val="auto"/>
          <w:kern w:val="0"/>
          <w:sz w:val="24"/>
          <w:szCs w:val="24"/>
          <w:highlight w:val="none"/>
          <w:lang w:val="zh-CN"/>
        </w:rPr>
      </w:pPr>
      <w:r>
        <w:rPr>
          <w:rFonts w:ascii="Times New Roman" w:hAnsi="Times New Roman" w:eastAsia="宋体"/>
          <w:color w:val="auto"/>
          <w:kern w:val="0"/>
          <w:sz w:val="24"/>
          <w:szCs w:val="24"/>
          <w:highlight w:val="none"/>
          <w:lang w:val="zh-CN"/>
        </w:rPr>
        <w:t>4、磋商文件能够详细列明采购标的的技术、服务要求的，磋商结束后，磋商小组应当要求所有实质性响应的供应商在规定时间内提交最后报价。</w:t>
      </w:r>
    </w:p>
    <w:p w14:paraId="1F2EB113">
      <w:pPr>
        <w:pStyle w:val="21"/>
        <w:snapToGrid w:val="0"/>
        <w:spacing w:line="480" w:lineRule="exact"/>
        <w:ind w:firstLine="480" w:firstLineChars="200"/>
        <w:contextualSpacing/>
        <w:rPr>
          <w:rFonts w:ascii="Times New Roman" w:hAnsi="Times New Roman" w:eastAsia="宋体"/>
          <w:color w:val="auto"/>
          <w:kern w:val="0"/>
          <w:sz w:val="24"/>
          <w:szCs w:val="24"/>
          <w:highlight w:val="none"/>
          <w:lang w:val="zh-CN"/>
        </w:rPr>
      </w:pPr>
      <w:r>
        <w:rPr>
          <w:rFonts w:ascii="Times New Roman" w:hAnsi="Times New Roman" w:eastAsia="宋体"/>
          <w:color w:val="auto"/>
          <w:kern w:val="0"/>
          <w:sz w:val="24"/>
          <w:szCs w:val="24"/>
          <w:highlight w:val="none"/>
          <w:lang w:val="zh-CN"/>
        </w:rPr>
        <w:t>5、最后报价是供应商响应文件的有效组成部分。</w:t>
      </w:r>
    </w:p>
    <w:p w14:paraId="7BACFF39">
      <w:pPr>
        <w:pStyle w:val="21"/>
        <w:snapToGrid w:val="0"/>
        <w:spacing w:line="480" w:lineRule="exact"/>
        <w:ind w:firstLine="480" w:firstLineChars="200"/>
        <w:contextualSpacing/>
        <w:rPr>
          <w:rFonts w:ascii="Times New Roman" w:hAnsi="Times New Roman" w:eastAsia="宋体"/>
          <w:color w:val="auto"/>
          <w:kern w:val="0"/>
          <w:sz w:val="24"/>
          <w:szCs w:val="24"/>
          <w:highlight w:val="none"/>
          <w:lang w:val="zh-CN"/>
        </w:rPr>
      </w:pPr>
      <w:r>
        <w:rPr>
          <w:rFonts w:ascii="Times New Roman" w:hAnsi="Times New Roman" w:eastAsia="宋体"/>
          <w:color w:val="auto"/>
          <w:kern w:val="0"/>
          <w:sz w:val="24"/>
          <w:szCs w:val="24"/>
          <w:highlight w:val="none"/>
          <w:lang w:val="zh-CN"/>
        </w:rPr>
        <w:t>6、已提交响应文件的供应商，在提交最后报价之前，可以根据磋商情况退出磋商。</w:t>
      </w:r>
    </w:p>
    <w:p w14:paraId="63B87B17">
      <w:pPr>
        <w:pStyle w:val="21"/>
        <w:snapToGrid w:val="0"/>
        <w:spacing w:line="480" w:lineRule="exact"/>
        <w:ind w:firstLine="480" w:firstLineChars="200"/>
        <w:contextualSpacing/>
        <w:rPr>
          <w:rFonts w:ascii="Times New Roman" w:hAnsi="Times New Roman" w:eastAsia="宋体"/>
          <w:color w:val="auto"/>
          <w:kern w:val="0"/>
          <w:sz w:val="24"/>
          <w:szCs w:val="24"/>
          <w:highlight w:val="none"/>
          <w:lang w:val="zh-CN"/>
        </w:rPr>
      </w:pPr>
      <w:r>
        <w:rPr>
          <w:rFonts w:hint="eastAsia" w:ascii="Times New Roman" w:hAnsi="Times New Roman" w:eastAsia="宋体"/>
          <w:color w:val="auto"/>
          <w:kern w:val="0"/>
          <w:sz w:val="24"/>
          <w:szCs w:val="24"/>
          <w:highlight w:val="none"/>
          <w:lang w:val="en-US" w:eastAsia="zh-CN"/>
        </w:rPr>
        <w:t>7、</w:t>
      </w:r>
      <w:r>
        <w:rPr>
          <w:rFonts w:ascii="Times New Roman" w:hAnsi="Times New Roman" w:eastAsia="宋体"/>
          <w:color w:val="auto"/>
          <w:kern w:val="0"/>
          <w:sz w:val="24"/>
          <w:szCs w:val="24"/>
          <w:highlight w:val="none"/>
          <w:lang w:val="zh-CN"/>
        </w:rPr>
        <w:t>磋商时间由磋商小组掌握。</w:t>
      </w:r>
    </w:p>
    <w:p w14:paraId="7660BE76">
      <w:pPr>
        <w:pStyle w:val="21"/>
        <w:snapToGrid w:val="0"/>
        <w:spacing w:line="480" w:lineRule="exact"/>
        <w:ind w:firstLine="496"/>
        <w:contextualSpacing/>
        <w:rPr>
          <w:rFonts w:ascii="Times New Roman" w:hAnsi="Times New Roman" w:eastAsia="宋体"/>
          <w:b/>
          <w:color w:val="auto"/>
          <w:sz w:val="24"/>
          <w:szCs w:val="24"/>
          <w:highlight w:val="none"/>
        </w:rPr>
      </w:pPr>
      <w:r>
        <w:rPr>
          <w:rFonts w:ascii="Times New Roman" w:hAnsi="Times New Roman" w:eastAsia="宋体"/>
          <w:b/>
          <w:color w:val="auto"/>
          <w:sz w:val="24"/>
          <w:szCs w:val="24"/>
          <w:highlight w:val="none"/>
        </w:rPr>
        <w:t>四、评审方法</w:t>
      </w:r>
      <w:r>
        <w:rPr>
          <w:rFonts w:hint="eastAsia" w:ascii="Times New Roman" w:hAnsi="Times New Roman" w:eastAsia="宋体"/>
          <w:b/>
          <w:color w:val="auto"/>
          <w:sz w:val="24"/>
          <w:szCs w:val="24"/>
          <w:highlight w:val="none"/>
          <w:lang w:eastAsia="zh-CN"/>
        </w:rPr>
        <w:t>－</w:t>
      </w:r>
      <w:r>
        <w:rPr>
          <w:rFonts w:ascii="Times New Roman" w:hAnsi="Times New Roman" w:eastAsia="宋体"/>
          <w:b/>
          <w:color w:val="auto"/>
          <w:sz w:val="24"/>
          <w:szCs w:val="24"/>
          <w:highlight w:val="none"/>
        </w:rPr>
        <w:t>综合评分法</w:t>
      </w:r>
    </w:p>
    <w:p w14:paraId="7393DE6C">
      <w:pPr>
        <w:pStyle w:val="21"/>
        <w:snapToGrid w:val="0"/>
        <w:spacing w:line="480" w:lineRule="exact"/>
        <w:ind w:firstLine="494"/>
        <w:contextualSpacing/>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经磋商确定最终采购需求和提交最后报价的供应商后，由磋商小组采用综合评分法对提交最后报价的供应商的响应文件和最后报价进行综合评分。</w:t>
      </w:r>
    </w:p>
    <w:p w14:paraId="2A0DF825">
      <w:pPr>
        <w:pStyle w:val="21"/>
        <w:snapToGrid w:val="0"/>
        <w:spacing w:line="480" w:lineRule="exact"/>
        <w:ind w:firstLine="494"/>
        <w:contextualSpacing/>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综合评分法，是指响应文件满足磋商文件全部实质性要求且按评审因素的量化指标评审得分最高的供应商为成交候选供应商的评审方法。</w:t>
      </w:r>
    </w:p>
    <w:p w14:paraId="0D0E87A6">
      <w:pPr>
        <w:pStyle w:val="21"/>
        <w:snapToGrid w:val="0"/>
        <w:spacing w:line="480" w:lineRule="exact"/>
        <w:ind w:firstLine="494"/>
        <w:contextualSpacing/>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评审时，磋商小组各成员应当独立对每个有效响应的文件进行评价、打分，然后汇总每个供应商每项评分因素的得分。</w:t>
      </w:r>
    </w:p>
    <w:p w14:paraId="5ABF333A">
      <w:pPr>
        <w:snapToGrid w:val="0"/>
        <w:spacing w:line="480" w:lineRule="exact"/>
        <w:ind w:firstLine="482" w:firstLineChars="200"/>
        <w:rPr>
          <w:b/>
          <w:color w:val="auto"/>
          <w:sz w:val="24"/>
          <w:highlight w:val="none"/>
        </w:rPr>
      </w:pPr>
      <w:r>
        <w:rPr>
          <w:b/>
          <w:color w:val="auto"/>
          <w:sz w:val="24"/>
          <w:highlight w:val="none"/>
        </w:rPr>
        <w:t>（一）审查响应文件的有效性、完整性、响应程度</w:t>
      </w:r>
    </w:p>
    <w:p w14:paraId="7D0DD83A">
      <w:pPr>
        <w:snapToGrid w:val="0"/>
        <w:spacing w:line="480" w:lineRule="exact"/>
        <w:ind w:firstLine="480" w:firstLineChars="200"/>
        <w:rPr>
          <w:b w:val="0"/>
          <w:bCs/>
          <w:color w:val="auto"/>
          <w:sz w:val="24"/>
          <w:highlight w:val="none"/>
        </w:rPr>
      </w:pPr>
      <w:r>
        <w:rPr>
          <w:b w:val="0"/>
          <w:bCs/>
          <w:color w:val="auto"/>
          <w:sz w:val="24"/>
          <w:highlight w:val="none"/>
        </w:rPr>
        <w:t>1、供应商资格是否符合</w:t>
      </w:r>
      <w:r>
        <w:rPr>
          <w:rFonts w:hint="eastAsia"/>
          <w:b w:val="0"/>
          <w:bCs/>
          <w:color w:val="auto"/>
          <w:sz w:val="24"/>
          <w:highlight w:val="none"/>
          <w:lang w:eastAsia="zh-CN"/>
        </w:rPr>
        <w:t>；</w:t>
      </w:r>
    </w:p>
    <w:p w14:paraId="1D05D205">
      <w:pPr>
        <w:snapToGrid w:val="0"/>
        <w:spacing w:line="480" w:lineRule="exact"/>
        <w:ind w:firstLine="480" w:firstLineChars="200"/>
        <w:rPr>
          <w:color w:val="auto"/>
          <w:sz w:val="24"/>
          <w:highlight w:val="none"/>
        </w:rPr>
      </w:pPr>
      <w:r>
        <w:rPr>
          <w:color w:val="auto"/>
          <w:sz w:val="24"/>
          <w:highlight w:val="none"/>
        </w:rPr>
        <w:t>2、响应文件是否完整；</w:t>
      </w:r>
    </w:p>
    <w:p w14:paraId="553AE4E2">
      <w:pPr>
        <w:snapToGrid w:val="0"/>
        <w:spacing w:line="480" w:lineRule="exact"/>
        <w:ind w:firstLine="480" w:firstLineChars="200"/>
        <w:rPr>
          <w:color w:val="auto"/>
          <w:sz w:val="24"/>
          <w:highlight w:val="none"/>
        </w:rPr>
      </w:pPr>
      <w:r>
        <w:rPr>
          <w:color w:val="auto"/>
          <w:sz w:val="24"/>
          <w:highlight w:val="none"/>
        </w:rPr>
        <w:t>3、响应文件是否恰当地签署；</w:t>
      </w:r>
    </w:p>
    <w:p w14:paraId="2571764F">
      <w:pPr>
        <w:snapToGrid w:val="0"/>
        <w:spacing w:line="480" w:lineRule="exact"/>
        <w:ind w:firstLine="480" w:firstLineChars="200"/>
        <w:rPr>
          <w:rFonts w:hint="eastAsia" w:eastAsia="宋体"/>
          <w:b/>
          <w:bCs/>
          <w:color w:val="auto"/>
          <w:sz w:val="24"/>
          <w:highlight w:val="none"/>
          <w:lang w:eastAsia="zh-CN"/>
        </w:rPr>
      </w:pPr>
      <w:r>
        <w:rPr>
          <w:color w:val="auto"/>
          <w:sz w:val="24"/>
          <w:highlight w:val="none"/>
        </w:rPr>
        <w:t>4、是否作出实质性响应</w:t>
      </w:r>
      <w:r>
        <w:rPr>
          <w:b/>
          <w:bCs/>
          <w:color w:val="auto"/>
          <w:sz w:val="24"/>
          <w:highlight w:val="none"/>
        </w:rPr>
        <w:t>（是否有实质性响应，只根据响应文件本身，而不寻求外部证据）</w:t>
      </w:r>
      <w:r>
        <w:rPr>
          <w:rFonts w:hint="eastAsia"/>
          <w:b w:val="0"/>
          <w:bCs w:val="0"/>
          <w:color w:val="auto"/>
          <w:sz w:val="24"/>
          <w:highlight w:val="none"/>
          <w:lang w:eastAsia="zh-CN"/>
        </w:rPr>
        <w:t>；</w:t>
      </w:r>
    </w:p>
    <w:p w14:paraId="0DB05944">
      <w:pPr>
        <w:snapToGrid w:val="0"/>
        <w:spacing w:line="480" w:lineRule="exact"/>
        <w:ind w:firstLine="480" w:firstLineChars="200"/>
        <w:rPr>
          <w:color w:val="auto"/>
          <w:sz w:val="24"/>
          <w:highlight w:val="none"/>
        </w:rPr>
      </w:pPr>
      <w:r>
        <w:rPr>
          <w:color w:val="auto"/>
          <w:sz w:val="24"/>
          <w:highlight w:val="none"/>
        </w:rPr>
        <w:t>5、是否有计算错误。</w:t>
      </w:r>
    </w:p>
    <w:p w14:paraId="4AE7ADB9">
      <w:pPr>
        <w:snapToGrid w:val="0"/>
        <w:spacing w:line="480" w:lineRule="exact"/>
        <w:ind w:firstLine="482" w:firstLineChars="200"/>
        <w:rPr>
          <w:b/>
          <w:bCs/>
          <w:color w:val="auto"/>
          <w:sz w:val="24"/>
          <w:highlight w:val="none"/>
        </w:rPr>
      </w:pPr>
      <w:r>
        <w:rPr>
          <w:b/>
          <w:bCs/>
          <w:color w:val="auto"/>
          <w:sz w:val="24"/>
          <w:highlight w:val="none"/>
        </w:rPr>
        <w:t>（二）误差纠正</w:t>
      </w:r>
    </w:p>
    <w:p w14:paraId="513E072B">
      <w:pPr>
        <w:snapToGrid w:val="0"/>
        <w:spacing w:line="480" w:lineRule="exact"/>
        <w:ind w:firstLine="480" w:firstLineChars="200"/>
        <w:rPr>
          <w:rFonts w:ascii="宋体" w:hAnsi="宋体"/>
          <w:color w:val="auto"/>
          <w:sz w:val="24"/>
          <w:highlight w:val="none"/>
        </w:rPr>
      </w:pPr>
      <w:r>
        <w:rPr>
          <w:rFonts w:hint="eastAsia" w:ascii="宋体" w:hAnsi="宋体"/>
          <w:color w:val="auto"/>
          <w:sz w:val="24"/>
          <w:highlight w:val="none"/>
        </w:rPr>
        <w:t>1、响应文件中报价表内容与响应文件中相应内容不一致的，以报价表为准；</w:t>
      </w:r>
    </w:p>
    <w:p w14:paraId="0ECCF083">
      <w:pPr>
        <w:snapToGrid w:val="0"/>
        <w:spacing w:line="480" w:lineRule="exact"/>
        <w:ind w:firstLine="480" w:firstLineChars="200"/>
        <w:rPr>
          <w:rFonts w:ascii="宋体" w:hAnsi="宋体"/>
          <w:color w:val="auto"/>
          <w:sz w:val="24"/>
          <w:highlight w:val="none"/>
        </w:rPr>
      </w:pPr>
      <w:r>
        <w:rPr>
          <w:rFonts w:hint="eastAsia" w:ascii="宋体" w:hAnsi="宋体"/>
          <w:color w:val="auto"/>
          <w:sz w:val="24"/>
          <w:highlight w:val="none"/>
        </w:rPr>
        <w:t>2、大写金额和小写金额不一致的，以大写金额为准；</w:t>
      </w:r>
    </w:p>
    <w:p w14:paraId="5AFF84CC">
      <w:pPr>
        <w:snapToGrid w:val="0"/>
        <w:spacing w:line="480" w:lineRule="exact"/>
        <w:ind w:firstLine="480" w:firstLineChars="200"/>
        <w:rPr>
          <w:rFonts w:ascii="宋体" w:hAnsi="宋体"/>
          <w:color w:val="auto"/>
          <w:sz w:val="24"/>
          <w:highlight w:val="none"/>
        </w:rPr>
      </w:pPr>
      <w:r>
        <w:rPr>
          <w:rFonts w:hint="eastAsia" w:ascii="宋体" w:hAnsi="宋体"/>
          <w:color w:val="auto"/>
          <w:sz w:val="24"/>
          <w:highlight w:val="none"/>
        </w:rPr>
        <w:t>3、单价金额小数点或者百分比有明显错位的，以总价为准，并修改单价；</w:t>
      </w:r>
    </w:p>
    <w:p w14:paraId="105C1C1A">
      <w:pPr>
        <w:snapToGrid w:val="0"/>
        <w:spacing w:line="480" w:lineRule="exact"/>
        <w:ind w:firstLine="480" w:firstLineChars="200"/>
        <w:rPr>
          <w:rFonts w:ascii="宋体" w:hAnsi="宋体"/>
          <w:color w:val="auto"/>
          <w:sz w:val="24"/>
          <w:highlight w:val="none"/>
        </w:rPr>
      </w:pPr>
      <w:r>
        <w:rPr>
          <w:rFonts w:hint="eastAsia" w:ascii="宋体" w:hAnsi="宋体"/>
          <w:color w:val="auto"/>
          <w:sz w:val="24"/>
          <w:highlight w:val="none"/>
        </w:rPr>
        <w:t>4、总价金额与按单价汇总金额不一致的，以单价金额计算结果为准。</w:t>
      </w:r>
    </w:p>
    <w:p w14:paraId="1C9240DA">
      <w:pPr>
        <w:snapToGrid w:val="0"/>
        <w:spacing w:line="480" w:lineRule="exact"/>
        <w:ind w:firstLine="480" w:firstLineChars="200"/>
        <w:rPr>
          <w:color w:val="auto"/>
          <w:sz w:val="24"/>
          <w:highlight w:val="none"/>
        </w:rPr>
      </w:pPr>
      <w:r>
        <w:rPr>
          <w:rFonts w:hint="eastAsia" w:ascii="宋体" w:hAnsi="宋体"/>
          <w:color w:val="auto"/>
          <w:sz w:val="24"/>
          <w:highlight w:val="none"/>
        </w:rPr>
        <w:t>同时出现两种以上不一致的，按照前款规定的顺序修正。修正后的报价经供应商确认后产生约束力，供应商不确认的，其响应无效。</w:t>
      </w:r>
    </w:p>
    <w:p w14:paraId="047CE711">
      <w:pPr>
        <w:tabs>
          <w:tab w:val="left" w:pos="6555"/>
          <w:tab w:val="right" w:pos="8306"/>
        </w:tabs>
        <w:snapToGrid w:val="0"/>
        <w:spacing w:line="480" w:lineRule="exact"/>
        <w:ind w:firstLine="482" w:firstLineChars="200"/>
        <w:rPr>
          <w:b/>
          <w:color w:val="auto"/>
          <w:sz w:val="24"/>
          <w:highlight w:val="none"/>
        </w:rPr>
      </w:pPr>
      <w:r>
        <w:rPr>
          <w:b/>
          <w:color w:val="auto"/>
          <w:sz w:val="24"/>
          <w:highlight w:val="none"/>
        </w:rPr>
        <w:t>（三）出现下列情形之一的，作无效响应处理</w:t>
      </w:r>
      <w:r>
        <w:rPr>
          <w:rFonts w:hint="eastAsia"/>
          <w:b/>
          <w:color w:val="auto"/>
          <w:sz w:val="24"/>
          <w:highlight w:val="none"/>
          <w:lang w:eastAsia="zh-CN"/>
        </w:rPr>
        <w:t>；</w:t>
      </w:r>
    </w:p>
    <w:p w14:paraId="1F151C4A">
      <w:pPr>
        <w:snapToGrid w:val="0"/>
        <w:spacing w:line="480" w:lineRule="exact"/>
        <w:ind w:firstLine="570"/>
        <w:rPr>
          <w:b/>
          <w:bCs/>
          <w:color w:val="auto"/>
          <w:sz w:val="24"/>
          <w:highlight w:val="none"/>
        </w:rPr>
      </w:pPr>
      <w:r>
        <w:rPr>
          <w:b/>
          <w:bCs/>
          <w:color w:val="auto"/>
          <w:sz w:val="24"/>
          <w:highlight w:val="none"/>
        </w:rPr>
        <w:t>1、未按照磋商文件规定要求</w:t>
      </w:r>
      <w:r>
        <w:rPr>
          <w:rFonts w:hint="eastAsia"/>
          <w:b/>
          <w:bCs/>
          <w:color w:val="auto"/>
          <w:sz w:val="24"/>
          <w:highlight w:val="none"/>
        </w:rPr>
        <w:t>密封、</w:t>
      </w:r>
      <w:r>
        <w:rPr>
          <w:b/>
          <w:bCs/>
          <w:color w:val="auto"/>
          <w:sz w:val="24"/>
          <w:highlight w:val="none"/>
        </w:rPr>
        <w:t>签署、盖章</w:t>
      </w:r>
      <w:r>
        <w:rPr>
          <w:rFonts w:hint="eastAsia"/>
          <w:b/>
          <w:bCs/>
          <w:color w:val="auto"/>
          <w:sz w:val="24"/>
          <w:highlight w:val="none"/>
          <w:lang w:val="en-US" w:eastAsia="zh-CN"/>
        </w:rPr>
        <w:t>及主要资料不齐全</w:t>
      </w:r>
      <w:r>
        <w:rPr>
          <w:b/>
          <w:bCs/>
          <w:color w:val="auto"/>
          <w:sz w:val="24"/>
          <w:highlight w:val="none"/>
        </w:rPr>
        <w:t>的；</w:t>
      </w:r>
    </w:p>
    <w:p w14:paraId="47F3448B">
      <w:pPr>
        <w:snapToGrid w:val="0"/>
        <w:spacing w:line="480" w:lineRule="exact"/>
        <w:ind w:firstLine="570"/>
        <w:rPr>
          <w:b/>
          <w:bCs/>
          <w:color w:val="auto"/>
          <w:sz w:val="24"/>
          <w:highlight w:val="none"/>
        </w:rPr>
      </w:pPr>
      <w:r>
        <w:rPr>
          <w:b/>
          <w:bCs/>
          <w:color w:val="auto"/>
          <w:sz w:val="24"/>
          <w:highlight w:val="none"/>
        </w:rPr>
        <w:t>2、不具备磋商文件中规定的资格要求的；</w:t>
      </w:r>
    </w:p>
    <w:p w14:paraId="3AA0C678">
      <w:pPr>
        <w:snapToGrid w:val="0"/>
        <w:spacing w:line="480" w:lineRule="exact"/>
        <w:ind w:firstLine="570"/>
        <w:rPr>
          <w:b/>
          <w:bCs/>
          <w:color w:val="auto"/>
          <w:sz w:val="24"/>
          <w:highlight w:val="none"/>
        </w:rPr>
      </w:pPr>
      <w:r>
        <w:rPr>
          <w:b/>
          <w:bCs/>
          <w:color w:val="auto"/>
          <w:sz w:val="24"/>
          <w:highlight w:val="none"/>
        </w:rPr>
        <w:t>3、响应报价超出预算的；</w:t>
      </w:r>
    </w:p>
    <w:p w14:paraId="18125524">
      <w:pPr>
        <w:snapToGrid w:val="0"/>
        <w:spacing w:line="480" w:lineRule="exact"/>
        <w:ind w:firstLine="570"/>
        <w:rPr>
          <w:rFonts w:ascii="宋体" w:hAnsi="宋体" w:cs="宋体"/>
          <w:b/>
          <w:bCs/>
          <w:color w:val="auto"/>
          <w:sz w:val="24"/>
          <w:highlight w:val="none"/>
        </w:rPr>
      </w:pPr>
      <w:r>
        <w:rPr>
          <w:rFonts w:hint="eastAsia" w:ascii="宋体" w:hAnsi="宋体" w:cs="宋体"/>
          <w:b/>
          <w:bCs/>
          <w:color w:val="auto"/>
          <w:sz w:val="24"/>
          <w:highlight w:val="none"/>
        </w:rPr>
        <w:t>4、响应文件含有采购人不能接受的附加条件的；</w:t>
      </w:r>
    </w:p>
    <w:p w14:paraId="7D2AAE2B">
      <w:pPr>
        <w:snapToGrid w:val="0"/>
        <w:spacing w:line="480" w:lineRule="exact"/>
        <w:ind w:firstLine="570"/>
        <w:rPr>
          <w:rFonts w:hint="eastAsia" w:ascii="宋体" w:hAnsi="宋体" w:eastAsia="宋体" w:cs="宋体"/>
          <w:b/>
          <w:bCs/>
          <w:color w:val="auto"/>
          <w:sz w:val="24"/>
          <w:highlight w:val="none"/>
        </w:rPr>
      </w:pPr>
      <w:r>
        <w:rPr>
          <w:rFonts w:hint="eastAsia" w:ascii="宋体" w:hAnsi="宋体" w:cs="宋体"/>
          <w:b/>
          <w:bCs/>
          <w:color w:val="auto"/>
          <w:sz w:val="24"/>
          <w:highlight w:val="none"/>
        </w:rPr>
        <w:t>5、</w:t>
      </w:r>
      <w:r>
        <w:rPr>
          <w:rFonts w:hint="eastAsia" w:ascii="宋体" w:hAnsi="宋体" w:eastAsia="宋体" w:cs="宋体"/>
          <w:b/>
          <w:bCs/>
          <w:color w:val="auto"/>
          <w:sz w:val="24"/>
          <w:highlight w:val="none"/>
        </w:rPr>
        <w:t>同一供应商的不同</w:t>
      </w:r>
      <w:r>
        <w:rPr>
          <w:rFonts w:hint="eastAsia" w:ascii="宋体" w:hAnsi="宋体" w:cs="宋体"/>
          <w:b/>
          <w:bCs/>
          <w:color w:val="auto"/>
          <w:sz w:val="24"/>
          <w:highlight w:val="none"/>
          <w:lang w:val="en-US" w:eastAsia="zh-CN"/>
        </w:rPr>
        <w:t>响应</w:t>
      </w:r>
      <w:r>
        <w:rPr>
          <w:rFonts w:hint="eastAsia" w:ascii="宋体" w:hAnsi="宋体" w:eastAsia="宋体" w:cs="宋体"/>
          <w:b/>
          <w:bCs/>
          <w:color w:val="auto"/>
          <w:sz w:val="24"/>
          <w:highlight w:val="none"/>
        </w:rPr>
        <w:t>文件（资格审查文件、商务技术文件、报价文件）相互混装的。</w:t>
      </w:r>
    </w:p>
    <w:p w14:paraId="490035DA">
      <w:pPr>
        <w:snapToGrid w:val="0"/>
        <w:spacing w:line="480" w:lineRule="exact"/>
        <w:ind w:firstLine="570"/>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6</w:t>
      </w:r>
      <w:r>
        <w:rPr>
          <w:rFonts w:hint="eastAsia" w:ascii="宋体" w:hAnsi="宋体" w:eastAsia="宋体" w:cs="宋体"/>
          <w:b/>
          <w:bCs/>
          <w:color w:val="auto"/>
          <w:sz w:val="24"/>
          <w:highlight w:val="none"/>
          <w:lang w:val="en-US" w:eastAsia="zh-CN"/>
        </w:rPr>
        <w:t>、</w:t>
      </w:r>
      <w:r>
        <w:rPr>
          <w:rFonts w:hint="eastAsia" w:ascii="宋体" w:hAnsi="宋体" w:cs="宋体"/>
          <w:b/>
          <w:bCs/>
          <w:color w:val="auto"/>
          <w:sz w:val="24"/>
          <w:highlight w:val="none"/>
          <w:lang w:val="en-US" w:eastAsia="zh-CN"/>
        </w:rPr>
        <w:t>投标总</w:t>
      </w:r>
      <w:r>
        <w:rPr>
          <w:rFonts w:hint="eastAsia" w:ascii="宋体" w:hAnsi="宋体" w:eastAsia="宋体" w:cs="宋体"/>
          <w:b/>
          <w:bCs/>
          <w:color w:val="auto"/>
          <w:sz w:val="24"/>
          <w:highlight w:val="none"/>
          <w:lang w:val="en-US" w:eastAsia="zh-CN"/>
        </w:rPr>
        <w:t>报价超过采购文件中规定的预算金额或者最高限价的。</w:t>
      </w:r>
    </w:p>
    <w:p w14:paraId="306C9B0F">
      <w:pPr>
        <w:snapToGrid w:val="0"/>
        <w:spacing w:line="480" w:lineRule="exact"/>
        <w:ind w:firstLine="570"/>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7、最后总报价</w:t>
      </w:r>
      <w:r>
        <w:rPr>
          <w:rFonts w:hint="eastAsia" w:ascii="宋体" w:hAnsi="宋体" w:eastAsia="宋体" w:cs="宋体"/>
          <w:b/>
          <w:bCs/>
          <w:color w:val="auto"/>
          <w:sz w:val="24"/>
          <w:highlight w:val="none"/>
          <w:lang w:val="en-US" w:eastAsia="zh-CN"/>
        </w:rPr>
        <w:t>高于</w:t>
      </w:r>
      <w:r>
        <w:rPr>
          <w:rFonts w:hint="eastAsia" w:ascii="宋体" w:hAnsi="宋体" w:cs="宋体"/>
          <w:b/>
          <w:bCs/>
          <w:color w:val="auto"/>
          <w:sz w:val="24"/>
          <w:highlight w:val="none"/>
          <w:lang w:val="en-US" w:eastAsia="zh-CN"/>
        </w:rPr>
        <w:t>自身单位</w:t>
      </w:r>
      <w:r>
        <w:rPr>
          <w:rFonts w:hint="eastAsia" w:ascii="宋体" w:hAnsi="宋体" w:eastAsia="宋体" w:cs="宋体"/>
          <w:b/>
          <w:bCs/>
          <w:color w:val="auto"/>
          <w:sz w:val="24"/>
          <w:highlight w:val="none"/>
          <w:lang w:val="en-US" w:eastAsia="zh-CN"/>
        </w:rPr>
        <w:t>首次报价</w:t>
      </w:r>
      <w:r>
        <w:rPr>
          <w:rFonts w:hint="eastAsia" w:ascii="宋体" w:hAnsi="宋体" w:cs="宋体"/>
          <w:b/>
          <w:bCs/>
          <w:color w:val="auto"/>
          <w:sz w:val="24"/>
          <w:highlight w:val="none"/>
          <w:lang w:val="en-US" w:eastAsia="zh-CN"/>
        </w:rPr>
        <w:t>的</w:t>
      </w:r>
      <w:r>
        <w:rPr>
          <w:rFonts w:hint="eastAsia" w:ascii="宋体" w:hAnsi="宋体" w:eastAsia="宋体" w:cs="宋体"/>
          <w:b/>
          <w:bCs/>
          <w:color w:val="auto"/>
          <w:sz w:val="24"/>
          <w:highlight w:val="none"/>
          <w:lang w:val="en-US" w:eastAsia="zh-CN"/>
        </w:rPr>
        <w:t>。</w:t>
      </w:r>
    </w:p>
    <w:p w14:paraId="1F58ADE4">
      <w:pPr>
        <w:snapToGrid w:val="0"/>
        <w:spacing w:line="480" w:lineRule="exact"/>
        <w:ind w:firstLine="570"/>
        <w:rPr>
          <w:rFonts w:hint="default"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8、未在资格审查文件中提供有效的现场踏勘确认函原件的。</w:t>
      </w:r>
    </w:p>
    <w:p w14:paraId="195EC794">
      <w:pPr>
        <w:snapToGrid w:val="0"/>
        <w:spacing w:line="480" w:lineRule="exact"/>
        <w:ind w:firstLine="570"/>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9、</w:t>
      </w:r>
      <w:r>
        <w:rPr>
          <w:b/>
          <w:bCs/>
          <w:color w:val="auto"/>
          <w:sz w:val="24"/>
          <w:highlight w:val="none"/>
        </w:rPr>
        <w:t>不符合法律、法规和磋商文件中规定的其他实质性要求的。</w:t>
      </w:r>
    </w:p>
    <w:p w14:paraId="48E7E367">
      <w:pPr>
        <w:snapToGrid w:val="0"/>
        <w:spacing w:line="480" w:lineRule="exact"/>
        <w:ind w:firstLine="570"/>
        <w:rPr>
          <w:b/>
          <w:color w:val="auto"/>
          <w:sz w:val="24"/>
          <w:highlight w:val="none"/>
        </w:rPr>
      </w:pPr>
      <w:r>
        <w:rPr>
          <w:b/>
          <w:color w:val="auto"/>
          <w:sz w:val="24"/>
          <w:highlight w:val="none"/>
        </w:rPr>
        <w:t>（四）出现下列情形之一的，</w:t>
      </w:r>
      <w:r>
        <w:rPr>
          <w:rFonts w:hint="eastAsia"/>
          <w:b/>
          <w:color w:val="auto"/>
          <w:sz w:val="24"/>
          <w:highlight w:val="none"/>
        </w:rPr>
        <w:t>作</w:t>
      </w:r>
      <w:r>
        <w:rPr>
          <w:b/>
          <w:color w:val="auto"/>
          <w:sz w:val="24"/>
          <w:highlight w:val="none"/>
        </w:rPr>
        <w:t>磋商失败</w:t>
      </w:r>
      <w:r>
        <w:rPr>
          <w:rFonts w:hint="eastAsia"/>
          <w:b/>
          <w:color w:val="auto"/>
          <w:sz w:val="24"/>
          <w:highlight w:val="none"/>
        </w:rPr>
        <w:t>处理；</w:t>
      </w:r>
    </w:p>
    <w:p w14:paraId="405F189D">
      <w:pPr>
        <w:snapToGrid w:val="0"/>
        <w:spacing w:line="480" w:lineRule="exact"/>
        <w:ind w:firstLine="570"/>
        <w:rPr>
          <w:color w:val="auto"/>
          <w:sz w:val="24"/>
          <w:highlight w:val="none"/>
        </w:rPr>
      </w:pPr>
      <w:r>
        <w:rPr>
          <w:color w:val="auto"/>
          <w:sz w:val="24"/>
          <w:highlight w:val="none"/>
        </w:rPr>
        <w:t>1、符合条件的供应商或者对磋商文件作实质响应的供应商不足</w:t>
      </w:r>
      <w:r>
        <w:rPr>
          <w:rFonts w:hint="eastAsia"/>
          <w:color w:val="auto"/>
          <w:sz w:val="24"/>
          <w:highlight w:val="none"/>
          <w:lang w:val="en-US" w:eastAsia="zh-CN"/>
        </w:rPr>
        <w:t>2</w:t>
      </w:r>
      <w:r>
        <w:rPr>
          <w:color w:val="auto"/>
          <w:sz w:val="24"/>
          <w:highlight w:val="none"/>
        </w:rPr>
        <w:t>家</w:t>
      </w:r>
      <w:r>
        <w:rPr>
          <w:color w:val="auto"/>
          <w:sz w:val="24"/>
          <w:highlight w:val="none"/>
        </w:rPr>
        <w:t>的；</w:t>
      </w:r>
    </w:p>
    <w:p w14:paraId="5800A88B">
      <w:pPr>
        <w:snapToGrid w:val="0"/>
        <w:spacing w:line="480" w:lineRule="exact"/>
        <w:ind w:firstLine="555"/>
        <w:rPr>
          <w:rFonts w:hint="eastAsia"/>
          <w:b/>
          <w:bCs/>
          <w:color w:val="auto"/>
          <w:sz w:val="24"/>
          <w:highlight w:val="none"/>
        </w:rPr>
      </w:pPr>
      <w:r>
        <w:rPr>
          <w:rFonts w:hint="eastAsia"/>
          <w:b/>
          <w:bCs/>
          <w:color w:val="auto"/>
          <w:sz w:val="24"/>
          <w:highlight w:val="none"/>
        </w:rPr>
        <w:t>本项目为第二次采购，</w:t>
      </w:r>
      <w:r>
        <w:rPr>
          <w:rFonts w:hint="eastAsia"/>
          <w:b/>
          <w:bCs/>
          <w:color w:val="auto"/>
          <w:sz w:val="24"/>
          <w:highlight w:val="none"/>
          <w:lang w:val="en-US" w:eastAsia="zh-CN"/>
        </w:rPr>
        <w:t>故作如下特别</w:t>
      </w:r>
      <w:r>
        <w:rPr>
          <w:rFonts w:hint="eastAsia"/>
          <w:b/>
          <w:bCs/>
          <w:color w:val="auto"/>
          <w:sz w:val="24"/>
          <w:highlight w:val="none"/>
        </w:rPr>
        <w:t>说明：</w:t>
      </w:r>
    </w:p>
    <w:p w14:paraId="239E1971">
      <w:pPr>
        <w:snapToGrid w:val="0"/>
        <w:spacing w:line="480" w:lineRule="exact"/>
        <w:ind w:firstLine="555"/>
        <w:rPr>
          <w:rFonts w:hint="eastAsia"/>
          <w:b/>
          <w:bCs/>
          <w:color w:val="auto"/>
          <w:sz w:val="24"/>
          <w:highlight w:val="none"/>
          <w:lang w:val="en-US" w:eastAsia="zh-CN"/>
        </w:rPr>
      </w:pPr>
      <w:r>
        <w:rPr>
          <w:rFonts w:hint="eastAsia"/>
          <w:b/>
          <w:bCs/>
          <w:color w:val="auto"/>
          <w:sz w:val="24"/>
          <w:highlight w:val="none"/>
          <w:lang w:val="en-US" w:eastAsia="zh-CN"/>
        </w:rPr>
        <w:t>①</w:t>
      </w:r>
      <w:r>
        <w:rPr>
          <w:rFonts w:hint="eastAsia"/>
          <w:b/>
          <w:bCs/>
          <w:color w:val="auto"/>
          <w:sz w:val="24"/>
          <w:highlight w:val="none"/>
        </w:rPr>
        <w:t>如果参与本项目的供应商只有2家</w:t>
      </w:r>
      <w:r>
        <w:rPr>
          <w:rFonts w:hint="eastAsia"/>
          <w:b/>
          <w:bCs/>
          <w:color w:val="auto"/>
          <w:sz w:val="24"/>
          <w:highlight w:val="none"/>
          <w:lang w:val="en-US" w:eastAsia="zh-CN"/>
        </w:rPr>
        <w:t>或符合条件的单位只有2家</w:t>
      </w:r>
      <w:r>
        <w:rPr>
          <w:rFonts w:hint="eastAsia"/>
          <w:b/>
          <w:bCs/>
          <w:color w:val="auto"/>
          <w:sz w:val="24"/>
          <w:highlight w:val="none"/>
        </w:rPr>
        <w:t>的，本项目</w:t>
      </w:r>
      <w:r>
        <w:rPr>
          <w:rFonts w:hint="eastAsia"/>
          <w:b/>
          <w:bCs/>
          <w:color w:val="auto"/>
          <w:sz w:val="24"/>
          <w:highlight w:val="none"/>
          <w:lang w:val="en-US" w:eastAsia="zh-CN"/>
        </w:rPr>
        <w:t>仍按采购文件规定继续评审。</w:t>
      </w:r>
    </w:p>
    <w:p w14:paraId="244ECC3D">
      <w:pPr>
        <w:snapToGrid w:val="0"/>
        <w:spacing w:line="480" w:lineRule="exact"/>
        <w:ind w:firstLine="555"/>
        <w:rPr>
          <w:color w:val="auto"/>
          <w:sz w:val="24"/>
          <w:highlight w:val="none"/>
        </w:rPr>
      </w:pPr>
      <w:r>
        <w:rPr>
          <w:rFonts w:hint="eastAsia"/>
          <w:b/>
          <w:bCs/>
          <w:color w:val="auto"/>
          <w:sz w:val="24"/>
          <w:highlight w:val="none"/>
          <w:lang w:val="en-US" w:eastAsia="zh-CN"/>
        </w:rPr>
        <w:t>②</w:t>
      </w:r>
      <w:r>
        <w:rPr>
          <w:rFonts w:hint="eastAsia"/>
          <w:b/>
          <w:bCs/>
          <w:color w:val="auto"/>
          <w:sz w:val="24"/>
          <w:highlight w:val="none"/>
        </w:rPr>
        <w:t>如果参与本项目的供应商只有</w:t>
      </w:r>
      <w:r>
        <w:rPr>
          <w:rFonts w:hint="eastAsia"/>
          <w:b/>
          <w:bCs/>
          <w:color w:val="auto"/>
          <w:sz w:val="24"/>
          <w:highlight w:val="none"/>
          <w:lang w:val="en-US" w:eastAsia="zh-CN"/>
        </w:rPr>
        <w:t>1</w:t>
      </w:r>
      <w:r>
        <w:rPr>
          <w:rFonts w:hint="eastAsia"/>
          <w:b/>
          <w:bCs/>
          <w:color w:val="auto"/>
          <w:sz w:val="24"/>
          <w:highlight w:val="none"/>
        </w:rPr>
        <w:t>家</w:t>
      </w:r>
      <w:r>
        <w:rPr>
          <w:rFonts w:hint="eastAsia"/>
          <w:b/>
          <w:bCs/>
          <w:color w:val="auto"/>
          <w:sz w:val="24"/>
          <w:highlight w:val="none"/>
          <w:lang w:val="en-US" w:eastAsia="zh-CN"/>
        </w:rPr>
        <w:t>或符合条件的单位只有1家</w:t>
      </w:r>
      <w:r>
        <w:rPr>
          <w:rFonts w:hint="eastAsia"/>
          <w:b/>
          <w:bCs/>
          <w:color w:val="auto"/>
          <w:sz w:val="24"/>
          <w:highlight w:val="none"/>
        </w:rPr>
        <w:t>的，</w:t>
      </w:r>
      <w:r>
        <w:rPr>
          <w:rFonts w:hint="eastAsia"/>
          <w:b/>
          <w:bCs/>
          <w:color w:val="auto"/>
          <w:sz w:val="24"/>
          <w:highlight w:val="none"/>
          <w:lang w:val="en-US" w:eastAsia="zh-CN"/>
        </w:rPr>
        <w:t>则本项目可转为单一来源谈判（是否进行谈判，由招标人决定），在通过资格审查后，以供应商报价文件中的报价（即第一轮报价）为基础，进行二轮或多轮报价（后一轮报价不得超过前一轮报价，否则作无效标处理），直至采购人满意，确定其为成交单位，否则采购人可以随时终止谈判。</w:t>
      </w:r>
    </w:p>
    <w:p w14:paraId="52ABD491">
      <w:pPr>
        <w:snapToGrid w:val="0"/>
        <w:spacing w:line="480" w:lineRule="exact"/>
        <w:ind w:firstLine="555"/>
        <w:rPr>
          <w:color w:val="auto"/>
          <w:sz w:val="24"/>
          <w:highlight w:val="none"/>
        </w:rPr>
      </w:pPr>
      <w:r>
        <w:rPr>
          <w:color w:val="auto"/>
          <w:sz w:val="24"/>
          <w:highlight w:val="none"/>
        </w:rPr>
        <w:t>2、出现影响采购公正的违法违规行为的；</w:t>
      </w:r>
    </w:p>
    <w:p w14:paraId="50394F08">
      <w:pPr>
        <w:snapToGrid w:val="0"/>
        <w:spacing w:line="480" w:lineRule="exact"/>
        <w:ind w:firstLine="555"/>
        <w:rPr>
          <w:color w:val="auto"/>
          <w:sz w:val="24"/>
          <w:highlight w:val="none"/>
        </w:rPr>
      </w:pPr>
      <w:r>
        <w:rPr>
          <w:color w:val="auto"/>
          <w:sz w:val="24"/>
          <w:highlight w:val="none"/>
        </w:rPr>
        <w:t>3、供应商的最后报价均超过了采购预算，采购人不能支付的；</w:t>
      </w:r>
    </w:p>
    <w:p w14:paraId="280F16AC">
      <w:pPr>
        <w:snapToGrid w:val="0"/>
        <w:spacing w:line="480" w:lineRule="exact"/>
        <w:ind w:firstLine="555"/>
        <w:rPr>
          <w:color w:val="auto"/>
          <w:sz w:val="24"/>
          <w:highlight w:val="none"/>
        </w:rPr>
      </w:pPr>
      <w:r>
        <w:rPr>
          <w:color w:val="auto"/>
          <w:sz w:val="24"/>
          <w:highlight w:val="none"/>
        </w:rPr>
        <w:t>4、因重大变故，采购任务取消的。</w:t>
      </w:r>
    </w:p>
    <w:p w14:paraId="0060D60E">
      <w:pPr>
        <w:keepNext w:val="0"/>
        <w:keepLines w:val="0"/>
        <w:pageBreakBefore w:val="0"/>
        <w:widowControl w:val="0"/>
        <w:kinsoku/>
        <w:wordWrap/>
        <w:overflowPunct/>
        <w:topLinePunct w:val="0"/>
        <w:autoSpaceDE/>
        <w:autoSpaceDN/>
        <w:bidi w:val="0"/>
        <w:adjustRightInd/>
        <w:snapToGrid/>
        <w:spacing w:line="480" w:lineRule="exact"/>
        <w:ind w:firstLine="555"/>
        <w:textAlignment w:val="auto"/>
        <w:rPr>
          <w:color w:val="auto"/>
          <w:sz w:val="24"/>
          <w:highlight w:val="none"/>
        </w:rPr>
      </w:pPr>
      <w:r>
        <w:rPr>
          <w:color w:val="auto"/>
          <w:sz w:val="24"/>
          <w:highlight w:val="none"/>
        </w:rPr>
        <w:t>除资格性检查认定错误、分值汇总计算错误、分项评分超出评分标准范围、客观分评分不一致、经磋商小组一致认定评分畸高、畸低的情形外，采购人、采购代理机构不以任何理由组织重新评审。采购人、采购代理机构发现磋商小组未按照磋商文件规定的评审标准进行评审的，重新开展采购活动，并同时书面报告</w:t>
      </w:r>
      <w:r>
        <w:rPr>
          <w:rFonts w:hint="eastAsia"/>
          <w:color w:val="auto"/>
          <w:sz w:val="24"/>
          <w:highlight w:val="none"/>
        </w:rPr>
        <w:t>有关</w:t>
      </w:r>
      <w:r>
        <w:rPr>
          <w:color w:val="auto"/>
          <w:sz w:val="24"/>
          <w:highlight w:val="none"/>
        </w:rPr>
        <w:t>部门。</w:t>
      </w:r>
    </w:p>
    <w:p w14:paraId="29AC1584">
      <w:pPr>
        <w:pStyle w:val="21"/>
        <w:keepNext w:val="0"/>
        <w:keepLines w:val="0"/>
        <w:pageBreakBefore w:val="0"/>
        <w:widowControl w:val="0"/>
        <w:kinsoku/>
        <w:wordWrap/>
        <w:overflowPunct/>
        <w:topLinePunct w:val="0"/>
        <w:autoSpaceDE/>
        <w:autoSpaceDN/>
        <w:bidi w:val="0"/>
        <w:adjustRightInd/>
        <w:snapToGrid/>
        <w:spacing w:line="480" w:lineRule="exact"/>
        <w:ind w:firstLine="472" w:firstLineChars="196"/>
        <w:contextualSpacing/>
        <w:textAlignment w:val="auto"/>
        <w:rPr>
          <w:rFonts w:ascii="Times New Roman" w:hAnsi="Times New Roman" w:eastAsia="宋体"/>
          <w:b/>
          <w:color w:val="auto"/>
          <w:sz w:val="24"/>
          <w:szCs w:val="24"/>
          <w:highlight w:val="none"/>
        </w:rPr>
      </w:pPr>
      <w:r>
        <w:rPr>
          <w:rFonts w:ascii="Times New Roman" w:hAnsi="Times New Roman" w:eastAsia="宋体"/>
          <w:b/>
          <w:color w:val="auto"/>
          <w:sz w:val="24"/>
          <w:szCs w:val="24"/>
          <w:highlight w:val="none"/>
        </w:rPr>
        <w:t>五、评审标准</w:t>
      </w:r>
    </w:p>
    <w:p w14:paraId="0F92F2A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cs="宋体"/>
          <w:color w:val="auto"/>
          <w:sz w:val="24"/>
          <w:highlight w:val="none"/>
        </w:rPr>
      </w:pPr>
      <w:r>
        <w:rPr>
          <w:color w:val="auto"/>
          <w:sz w:val="24"/>
          <w:highlight w:val="none"/>
        </w:rPr>
        <w:t>商务技术部分评审结束后，再开启最后报价计算分值。总分值为100分，加分和减分因素除外。</w:t>
      </w:r>
      <w:r>
        <w:rPr>
          <w:rFonts w:hint="eastAsia" w:ascii="宋体" w:hAnsi="宋体" w:cs="宋体"/>
          <w:color w:val="auto"/>
          <w:sz w:val="24"/>
          <w:highlight w:val="none"/>
        </w:rPr>
        <w:t>两部分评审因素比重如下（计算结果均四舍五入保留两位小数）：</w:t>
      </w:r>
    </w:p>
    <w:p w14:paraId="546CD69D">
      <w:pPr>
        <w:keepNext w:val="0"/>
        <w:keepLines w:val="0"/>
        <w:pageBreakBefore w:val="0"/>
        <w:widowControl w:val="0"/>
        <w:kinsoku/>
        <w:wordWrap/>
        <w:overflowPunct/>
        <w:topLinePunct w:val="0"/>
        <w:autoSpaceDE/>
        <w:autoSpaceDN/>
        <w:bidi w:val="0"/>
        <w:adjustRightInd/>
        <w:snapToGrid/>
        <w:spacing w:line="480" w:lineRule="exact"/>
        <w:ind w:firstLine="484" w:firstLineChars="202"/>
        <w:textAlignment w:val="auto"/>
        <w:rPr>
          <w:rFonts w:ascii="宋体" w:hAnsi="宋体" w:cs="宋体"/>
          <w:color w:val="auto"/>
          <w:sz w:val="24"/>
          <w:highlight w:val="none"/>
          <w:u w:val="single"/>
        </w:rPr>
      </w:pPr>
      <w:r>
        <w:rPr>
          <w:rFonts w:hint="eastAsia" w:ascii="宋体" w:hAnsi="宋体" w:cs="宋体"/>
          <w:color w:val="auto"/>
          <w:sz w:val="24"/>
          <w:highlight w:val="none"/>
        </w:rPr>
        <w:t>商务技术</w:t>
      </w:r>
      <w:r>
        <w:rPr>
          <w:rFonts w:hint="eastAsia" w:ascii="宋体" w:hAnsi="宋体" w:cs="宋体"/>
          <w:color w:val="auto"/>
          <w:sz w:val="24"/>
          <w:highlight w:val="none"/>
          <w:lang w:val="en-US" w:eastAsia="zh-CN"/>
        </w:rPr>
        <w:t>文件</w:t>
      </w:r>
      <w:r>
        <w:rPr>
          <w:rFonts w:hint="eastAsia" w:ascii="宋体" w:hAnsi="宋体" w:cs="宋体"/>
          <w:color w:val="auto"/>
          <w:sz w:val="24"/>
          <w:highlight w:val="none"/>
        </w:rPr>
        <w:t>分值占总分值的比重为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60</w:t>
      </w:r>
      <w:r>
        <w:rPr>
          <w:rFonts w:hint="eastAsia" w:ascii="宋体" w:hAnsi="宋体" w:cs="宋体"/>
          <w:color w:val="auto"/>
          <w:sz w:val="24"/>
          <w:highlight w:val="none"/>
          <w:u w:val="single"/>
        </w:rPr>
        <w:t>%（权重）</w:t>
      </w:r>
      <w:r>
        <w:rPr>
          <w:rFonts w:hint="eastAsia" w:ascii="宋体" w:hAnsi="宋体" w:cs="宋体"/>
          <w:color w:val="auto"/>
          <w:sz w:val="24"/>
          <w:highlight w:val="none"/>
        </w:rPr>
        <w:t>；</w:t>
      </w:r>
    </w:p>
    <w:p w14:paraId="27946A7A">
      <w:pPr>
        <w:keepNext w:val="0"/>
        <w:keepLines w:val="0"/>
        <w:pageBreakBefore w:val="0"/>
        <w:widowControl w:val="0"/>
        <w:kinsoku/>
        <w:wordWrap/>
        <w:overflowPunct/>
        <w:topLinePunct w:val="0"/>
        <w:autoSpaceDE/>
        <w:autoSpaceDN/>
        <w:bidi w:val="0"/>
        <w:adjustRightInd/>
        <w:snapToGrid/>
        <w:spacing w:line="480" w:lineRule="exact"/>
        <w:ind w:firstLine="484" w:firstLineChars="202"/>
        <w:textAlignment w:val="auto"/>
        <w:rPr>
          <w:color w:val="auto"/>
          <w:sz w:val="24"/>
          <w:highlight w:val="none"/>
        </w:rPr>
      </w:pPr>
      <w:r>
        <w:rPr>
          <w:rFonts w:hint="eastAsia" w:ascii="宋体" w:hAnsi="宋体" w:cs="宋体"/>
          <w:color w:val="auto"/>
          <w:sz w:val="24"/>
          <w:highlight w:val="none"/>
          <w:lang w:val="en-US" w:eastAsia="zh-CN"/>
        </w:rPr>
        <w:t>报价文件</w:t>
      </w:r>
      <w:r>
        <w:rPr>
          <w:rFonts w:hint="eastAsia" w:ascii="宋体" w:hAnsi="宋体" w:cs="宋体"/>
          <w:color w:val="auto"/>
          <w:sz w:val="24"/>
          <w:highlight w:val="none"/>
        </w:rPr>
        <w:t>分值占总分值的比重为</w:t>
      </w:r>
      <w:r>
        <w:rPr>
          <w:rFonts w:hint="eastAsia" w:ascii="宋体" w:hAnsi="宋体" w:cs="宋体"/>
          <w:color w:val="auto"/>
          <w:sz w:val="24"/>
          <w:highlight w:val="none"/>
          <w:u w:val="single"/>
          <w:lang w:val="en-US" w:eastAsia="zh-CN"/>
        </w:rPr>
        <w:t>40</w:t>
      </w:r>
      <w:r>
        <w:rPr>
          <w:rFonts w:hint="eastAsia" w:ascii="宋体" w:hAnsi="宋体" w:cs="宋体"/>
          <w:color w:val="auto"/>
          <w:sz w:val="24"/>
          <w:highlight w:val="none"/>
          <w:u w:val="single"/>
        </w:rPr>
        <w:t>%（权重）</w:t>
      </w:r>
      <w:r>
        <w:rPr>
          <w:rFonts w:hint="eastAsia"/>
          <w:color w:val="auto"/>
          <w:sz w:val="24"/>
          <w:highlight w:val="none"/>
        </w:rPr>
        <w:t>。</w:t>
      </w:r>
    </w:p>
    <w:p w14:paraId="516A2EBA">
      <w:pPr>
        <w:snapToGrid w:val="0"/>
        <w:spacing w:line="480" w:lineRule="exact"/>
        <w:ind w:firstLine="472" w:firstLineChars="196"/>
        <w:rPr>
          <w:rFonts w:ascii="宋体" w:hAnsi="宋体"/>
          <w:b/>
          <w:color w:val="auto"/>
          <w:sz w:val="24"/>
          <w:highlight w:val="none"/>
        </w:rPr>
      </w:pPr>
      <w:r>
        <w:rPr>
          <w:rFonts w:hint="eastAsia" w:ascii="宋体" w:hAnsi="宋体"/>
          <w:b/>
          <w:color w:val="auto"/>
          <w:sz w:val="24"/>
          <w:highlight w:val="none"/>
        </w:rPr>
        <w:t>（一）</w:t>
      </w:r>
      <w:r>
        <w:rPr>
          <w:rFonts w:hint="eastAsia" w:ascii="宋体" w:hAnsi="宋体"/>
          <w:b/>
          <w:color w:val="auto"/>
          <w:sz w:val="24"/>
          <w:highlight w:val="none"/>
          <w:lang w:val="zh-CN"/>
        </w:rPr>
        <w:t>商务技术分</w:t>
      </w:r>
      <w:r>
        <w:rPr>
          <w:rFonts w:hint="eastAsia" w:ascii="宋体" w:hAnsi="宋体"/>
          <w:color w:val="auto"/>
          <w:sz w:val="24"/>
          <w:highlight w:val="none"/>
          <w:lang w:val="zh-CN"/>
        </w:rPr>
        <w:t>：</w:t>
      </w:r>
      <w:r>
        <w:rPr>
          <w:rFonts w:hint="eastAsia" w:ascii="宋体" w:hAnsi="宋体"/>
          <w:color w:val="auto"/>
          <w:sz w:val="24"/>
          <w:highlight w:val="none"/>
          <w:u w:val="single"/>
          <w:lang w:val="en-US" w:eastAsia="zh-CN"/>
        </w:rPr>
        <w:t>60</w:t>
      </w:r>
      <w:r>
        <w:rPr>
          <w:rFonts w:hint="eastAsia" w:ascii="宋体" w:hAnsi="宋体"/>
          <w:color w:val="auto"/>
          <w:sz w:val="24"/>
          <w:highlight w:val="none"/>
          <w:u w:val="single"/>
          <w:lang w:val="zh-CN"/>
        </w:rPr>
        <w:t>分</w:t>
      </w:r>
    </w:p>
    <w:p w14:paraId="22F7F170">
      <w:pPr>
        <w:autoSpaceDE w:val="0"/>
        <w:autoSpaceDN w:val="0"/>
        <w:adjustRightInd w:val="0"/>
        <w:snapToGrid w:val="0"/>
        <w:spacing w:line="480" w:lineRule="exact"/>
        <w:ind w:firstLine="560" w:firstLineChars="0"/>
        <w:rPr>
          <w:rFonts w:ascii="宋体" w:hAnsi="宋体" w:cs="宋体"/>
          <w:color w:val="auto"/>
          <w:sz w:val="24"/>
          <w:highlight w:val="none"/>
        </w:rPr>
      </w:pPr>
      <w:r>
        <w:rPr>
          <w:rFonts w:hint="eastAsia" w:ascii="宋体" w:hAnsi="宋体"/>
          <w:color w:val="auto"/>
          <w:sz w:val="24"/>
          <w:highlight w:val="none"/>
        </w:rPr>
        <w:t>供应商得分为磋商小组成员评分的算术平均分,分值第三位四舍五入后保留小数点两位。</w:t>
      </w:r>
    </w:p>
    <w:tbl>
      <w:tblPr>
        <w:tblStyle w:val="16"/>
        <w:tblW w:w="506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9"/>
        <w:gridCol w:w="1353"/>
        <w:gridCol w:w="7155"/>
      </w:tblGrid>
      <w:tr w14:paraId="0E1DB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8" w:type="pct"/>
            <w:noWrap w:val="0"/>
            <w:vAlign w:val="center"/>
          </w:tcPr>
          <w:p w14:paraId="0857E00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序号 </w:t>
            </w:r>
          </w:p>
        </w:tc>
        <w:tc>
          <w:tcPr>
            <w:tcW w:w="746" w:type="pct"/>
            <w:noWrap w:val="0"/>
            <w:vAlign w:val="center"/>
          </w:tcPr>
          <w:p w14:paraId="50A6408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评分点名称</w:t>
            </w:r>
            <w:r>
              <w:rPr>
                <w:rFonts w:hint="eastAsia" w:ascii="宋体" w:hAnsi="宋体" w:eastAsia="宋体" w:cs="宋体"/>
                <w:color w:val="auto"/>
                <w:kern w:val="0"/>
                <w:sz w:val="22"/>
                <w:szCs w:val="22"/>
                <w:highlight w:val="none"/>
                <w:lang w:val="en-US" w:eastAsia="zh-CN"/>
              </w:rPr>
              <w:t>及分值</w:t>
            </w:r>
            <w:r>
              <w:rPr>
                <w:rFonts w:hint="eastAsia" w:ascii="宋体" w:hAnsi="宋体" w:eastAsia="宋体" w:cs="宋体"/>
                <w:color w:val="auto"/>
                <w:kern w:val="0"/>
                <w:sz w:val="22"/>
                <w:szCs w:val="22"/>
                <w:highlight w:val="none"/>
              </w:rPr>
              <w:t xml:space="preserve"> </w:t>
            </w:r>
          </w:p>
        </w:tc>
        <w:tc>
          <w:tcPr>
            <w:tcW w:w="3945" w:type="pct"/>
            <w:noWrap w:val="0"/>
            <w:vAlign w:val="center"/>
          </w:tcPr>
          <w:p w14:paraId="6701E5C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评审标准</w:t>
            </w:r>
          </w:p>
        </w:tc>
      </w:tr>
      <w:tr w14:paraId="05B1F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308" w:type="pct"/>
            <w:vMerge w:val="restart"/>
            <w:noWrap w:val="0"/>
            <w:vAlign w:val="center"/>
          </w:tcPr>
          <w:p w14:paraId="515B604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w:t>
            </w:r>
          </w:p>
        </w:tc>
        <w:tc>
          <w:tcPr>
            <w:tcW w:w="746" w:type="pct"/>
            <w:vMerge w:val="restart"/>
            <w:noWrap w:val="0"/>
            <w:vAlign w:val="center"/>
          </w:tcPr>
          <w:p w14:paraId="614DAD6A">
            <w:pPr>
              <w:pStyle w:val="2"/>
              <w:pageBreakBefore w:val="0"/>
              <w:kinsoku/>
              <w:wordWrap/>
              <w:overflowPunct/>
              <w:topLinePunct w:val="0"/>
              <w:autoSpaceDE/>
              <w:autoSpaceDN/>
              <w:bidi w:val="0"/>
              <w:adjustRightInd/>
              <w:snapToGrid/>
              <w:spacing w:before="0" w:after="0" w:line="44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投标企业实力</w:t>
            </w:r>
          </w:p>
          <w:p w14:paraId="4019D567">
            <w:pPr>
              <w:pStyle w:val="2"/>
              <w:pageBreakBefore w:val="0"/>
              <w:kinsoku/>
              <w:wordWrap/>
              <w:overflowPunct/>
              <w:topLinePunct w:val="0"/>
              <w:autoSpaceDE/>
              <w:autoSpaceDN/>
              <w:bidi w:val="0"/>
              <w:adjustRightInd/>
              <w:snapToGrid/>
              <w:spacing w:before="0" w:after="0" w:line="44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（15分</w:t>
            </w:r>
            <w:r>
              <w:rPr>
                <w:rFonts w:hint="eastAsia" w:ascii="宋体" w:hAnsi="宋体" w:eastAsia="宋体" w:cs="宋体"/>
                <w:b w:val="0"/>
                <w:bCs w:val="0"/>
                <w:color w:val="auto"/>
                <w:sz w:val="24"/>
                <w:szCs w:val="24"/>
                <w:highlight w:val="none"/>
                <w:lang w:eastAsia="zh-CN"/>
              </w:rPr>
              <w:t>）</w:t>
            </w:r>
          </w:p>
        </w:tc>
        <w:tc>
          <w:tcPr>
            <w:tcW w:w="3945" w:type="pct"/>
            <w:noWrap w:val="0"/>
            <w:vAlign w:val="center"/>
          </w:tcPr>
          <w:p w14:paraId="46C0C68C">
            <w:pPr>
              <w:keepNext w:val="0"/>
              <w:keepLines w:val="0"/>
              <w:pageBreakBefore w:val="0"/>
              <w:widowControl w:val="0"/>
              <w:numPr>
                <w:ilvl w:val="0"/>
                <w:numId w:val="0"/>
              </w:numPr>
              <w:kinsoku/>
              <w:wordWrap/>
              <w:overflowPunct/>
              <w:topLinePunct w:val="0"/>
              <w:autoSpaceDE/>
              <w:autoSpaceDN/>
              <w:bidi w:val="0"/>
              <w:adjustRightInd w:val="0"/>
              <w:snapToGrid/>
              <w:spacing w:line="48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投标供应商</w:t>
            </w:r>
            <w:r>
              <w:rPr>
                <w:rFonts w:hint="eastAsia" w:ascii="宋体" w:hAnsi="宋体" w:eastAsia="宋体" w:cs="宋体"/>
                <w:color w:val="auto"/>
                <w:sz w:val="24"/>
                <w:szCs w:val="24"/>
                <w:highlight w:val="none"/>
              </w:rPr>
              <w:t>具备建筑幕墙</w:t>
            </w:r>
            <w:r>
              <w:rPr>
                <w:rFonts w:hint="eastAsia" w:ascii="宋体" w:hAnsi="宋体" w:eastAsia="宋体" w:cs="宋体"/>
                <w:color w:val="auto"/>
                <w:sz w:val="24"/>
                <w:szCs w:val="24"/>
                <w:highlight w:val="none"/>
                <w:lang w:eastAsia="zh-CN"/>
              </w:rPr>
              <w:t>工程专业承包</w:t>
            </w:r>
            <w:r>
              <w:rPr>
                <w:rFonts w:hint="eastAsia" w:ascii="宋体" w:hAnsi="宋体" w:eastAsia="宋体" w:cs="宋体"/>
                <w:color w:val="auto"/>
                <w:sz w:val="24"/>
                <w:szCs w:val="24"/>
                <w:highlight w:val="none"/>
              </w:rPr>
              <w:t>壹级资质，同时具备有效的安全生产许可证得</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具备建筑幕墙</w:t>
            </w:r>
            <w:r>
              <w:rPr>
                <w:rFonts w:hint="eastAsia" w:ascii="宋体" w:hAnsi="宋体" w:eastAsia="宋体" w:cs="宋体"/>
                <w:color w:val="auto"/>
                <w:sz w:val="24"/>
                <w:szCs w:val="24"/>
                <w:highlight w:val="none"/>
                <w:lang w:eastAsia="zh-CN"/>
              </w:rPr>
              <w:t>工程专业承包贰</w:t>
            </w:r>
            <w:r>
              <w:rPr>
                <w:rFonts w:hint="eastAsia" w:ascii="宋体" w:hAnsi="宋体" w:eastAsia="宋体" w:cs="宋体"/>
                <w:color w:val="auto"/>
                <w:sz w:val="24"/>
                <w:szCs w:val="24"/>
                <w:highlight w:val="none"/>
              </w:rPr>
              <w:t>级资质，同时具备有效的安全生产许可证得</w:t>
            </w:r>
            <w:r>
              <w:rPr>
                <w:rFonts w:hint="eastAsia" w:ascii="宋体" w:hAnsi="宋体" w:eastAsia="宋体" w:cs="宋体"/>
                <w:color w:val="auto"/>
                <w:sz w:val="24"/>
                <w:szCs w:val="24"/>
                <w:highlight w:val="none"/>
                <w:lang w:val="en-US" w:eastAsia="zh-CN"/>
              </w:rPr>
              <w:t>3分</w:t>
            </w:r>
            <w:r>
              <w:rPr>
                <w:rFonts w:hint="eastAsia" w:ascii="宋体" w:hAnsi="宋体" w:eastAsia="宋体" w:cs="宋体"/>
                <w:color w:val="auto"/>
                <w:sz w:val="24"/>
                <w:szCs w:val="24"/>
                <w:highlight w:val="none"/>
              </w:rPr>
              <w:t>。</w:t>
            </w:r>
          </w:p>
          <w:p w14:paraId="79653A03">
            <w:pPr>
              <w:pStyle w:val="15"/>
              <w:keepNext w:val="0"/>
              <w:keepLines w:val="0"/>
              <w:pageBreakBefore w:val="0"/>
              <w:kinsoku/>
              <w:wordWrap/>
              <w:overflowPunct/>
              <w:topLinePunct w:val="0"/>
              <w:autoSpaceDE/>
              <w:autoSpaceDN/>
              <w:bidi w:val="0"/>
              <w:snapToGrid/>
              <w:spacing w:after="0" w:line="480" w:lineRule="exact"/>
              <w:ind w:left="0" w:leftChars="0" w:firstLine="482"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须提供有效的证书复印件并加盖投标供应商单位公章。</w:t>
            </w:r>
          </w:p>
        </w:tc>
      </w:tr>
      <w:tr w14:paraId="28DA4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308" w:type="pct"/>
            <w:vMerge w:val="continue"/>
            <w:noWrap w:val="0"/>
            <w:vAlign w:val="center"/>
          </w:tcPr>
          <w:p w14:paraId="4008BB4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0"/>
                <w:sz w:val="24"/>
                <w:szCs w:val="24"/>
                <w:highlight w:val="none"/>
                <w:lang w:val="en-US" w:eastAsia="zh-CN"/>
              </w:rPr>
            </w:pPr>
          </w:p>
        </w:tc>
        <w:tc>
          <w:tcPr>
            <w:tcW w:w="746" w:type="pct"/>
            <w:vMerge w:val="continue"/>
            <w:noWrap w:val="0"/>
            <w:vAlign w:val="center"/>
          </w:tcPr>
          <w:p w14:paraId="35B2ACC3">
            <w:pPr>
              <w:pStyle w:val="2"/>
              <w:pageBreakBefore w:val="0"/>
              <w:kinsoku/>
              <w:wordWrap/>
              <w:overflowPunct/>
              <w:topLinePunct w:val="0"/>
              <w:autoSpaceDE/>
              <w:autoSpaceDN/>
              <w:bidi w:val="0"/>
              <w:adjustRightInd/>
              <w:snapToGrid/>
              <w:spacing w:before="0" w:after="0" w:line="440" w:lineRule="exact"/>
              <w:jc w:val="center"/>
              <w:textAlignment w:val="auto"/>
              <w:rPr>
                <w:rFonts w:hint="eastAsia" w:ascii="宋体" w:hAnsi="宋体" w:eastAsia="宋体" w:cs="宋体"/>
                <w:b w:val="0"/>
                <w:bCs w:val="0"/>
                <w:color w:val="auto"/>
                <w:sz w:val="24"/>
                <w:szCs w:val="24"/>
                <w:highlight w:val="none"/>
              </w:rPr>
            </w:pPr>
          </w:p>
        </w:tc>
        <w:tc>
          <w:tcPr>
            <w:tcW w:w="3945" w:type="pct"/>
            <w:noWrap w:val="0"/>
            <w:vAlign w:val="center"/>
          </w:tcPr>
          <w:p w14:paraId="3C379465">
            <w:pPr>
              <w:keepNext w:val="0"/>
              <w:keepLines w:val="0"/>
              <w:pageBreakBefore w:val="0"/>
              <w:widowControl w:val="0"/>
              <w:numPr>
                <w:ilvl w:val="0"/>
                <w:numId w:val="0"/>
              </w:numPr>
              <w:kinsoku/>
              <w:wordWrap/>
              <w:overflowPunct/>
              <w:topLinePunct w:val="0"/>
              <w:autoSpaceDE/>
              <w:autoSpaceDN/>
              <w:bidi w:val="0"/>
              <w:adjustRightInd w:val="0"/>
              <w:snapToGrid/>
              <w:spacing w:line="480" w:lineRule="exact"/>
              <w:ind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拟派项目负责人及现场人员满足以下条件的，给予对应得分：</w:t>
            </w:r>
          </w:p>
          <w:p w14:paraId="1240B1B9">
            <w:pPr>
              <w:keepNext w:val="0"/>
              <w:keepLines w:val="0"/>
              <w:pageBreakBefore w:val="0"/>
              <w:widowControl w:val="0"/>
              <w:numPr>
                <w:ilvl w:val="0"/>
                <w:numId w:val="0"/>
              </w:numPr>
              <w:kinsoku/>
              <w:wordWrap/>
              <w:overflowPunct/>
              <w:topLinePunct w:val="0"/>
              <w:autoSpaceDE/>
              <w:autoSpaceDN/>
              <w:bidi w:val="0"/>
              <w:adjustRightInd w:val="0"/>
              <w:snapToGrid/>
              <w:spacing w:line="480" w:lineRule="exact"/>
              <w:ind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w:t>
            </w:r>
            <w:r>
              <w:rPr>
                <w:rFonts w:hint="eastAsia" w:ascii="宋体" w:hAnsi="宋体" w:eastAsia="宋体" w:cs="宋体"/>
                <w:color w:val="auto"/>
                <w:sz w:val="24"/>
                <w:szCs w:val="24"/>
                <w:highlight w:val="none"/>
              </w:rPr>
              <w:t>拟派项目负责人具有建筑专业一级注册建造师</w:t>
            </w:r>
            <w:r>
              <w:rPr>
                <w:rFonts w:hint="eastAsia" w:ascii="宋体" w:hAnsi="宋体" w:eastAsia="宋体" w:cs="宋体"/>
                <w:color w:val="auto"/>
                <w:sz w:val="24"/>
                <w:szCs w:val="24"/>
                <w:highlight w:val="none"/>
                <w:lang w:val="en-US" w:eastAsia="zh-CN"/>
              </w:rPr>
              <w:t>注册证书</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并</w:t>
            </w:r>
            <w:r>
              <w:rPr>
                <w:rFonts w:hint="eastAsia" w:ascii="宋体" w:hAnsi="宋体" w:eastAsia="宋体" w:cs="宋体"/>
                <w:color w:val="auto"/>
                <w:sz w:val="24"/>
                <w:szCs w:val="24"/>
                <w:highlight w:val="none"/>
              </w:rPr>
              <w:t>具备有效的安全生产考核合格证书(B证)</w:t>
            </w:r>
            <w:r>
              <w:rPr>
                <w:rFonts w:hint="eastAsia" w:ascii="宋体" w:hAnsi="宋体" w:eastAsia="宋体" w:cs="宋体"/>
                <w:color w:val="auto"/>
                <w:sz w:val="24"/>
                <w:szCs w:val="24"/>
                <w:highlight w:val="none"/>
                <w:lang w:val="en-US" w:eastAsia="zh-CN"/>
              </w:rPr>
              <w:t>得6分</w:t>
            </w:r>
            <w:r>
              <w:rPr>
                <w:rFonts w:hint="eastAsia" w:ascii="宋体" w:hAnsi="宋体" w:eastAsia="宋体" w:cs="宋体"/>
                <w:color w:val="auto"/>
                <w:sz w:val="24"/>
                <w:szCs w:val="24"/>
                <w:highlight w:val="none"/>
              </w:rPr>
              <w:t>；拟派项目负责人具有建筑专业</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级注册建造师</w:t>
            </w:r>
            <w:r>
              <w:rPr>
                <w:rFonts w:hint="eastAsia" w:ascii="宋体" w:hAnsi="宋体" w:eastAsia="宋体" w:cs="宋体"/>
                <w:color w:val="auto"/>
                <w:sz w:val="24"/>
                <w:szCs w:val="24"/>
                <w:highlight w:val="none"/>
                <w:lang w:val="en-US" w:eastAsia="zh-CN"/>
              </w:rPr>
              <w:t>注册证书</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并</w:t>
            </w:r>
            <w:r>
              <w:rPr>
                <w:rFonts w:hint="eastAsia" w:ascii="宋体" w:hAnsi="宋体" w:eastAsia="宋体" w:cs="宋体"/>
                <w:color w:val="auto"/>
                <w:sz w:val="24"/>
                <w:szCs w:val="24"/>
                <w:highlight w:val="none"/>
              </w:rPr>
              <w:t>具备有效的安全生产考核合格证书(B证)</w:t>
            </w:r>
            <w:r>
              <w:rPr>
                <w:rFonts w:hint="eastAsia" w:ascii="宋体" w:hAnsi="宋体" w:eastAsia="宋体" w:cs="宋体"/>
                <w:color w:val="auto"/>
                <w:sz w:val="24"/>
                <w:szCs w:val="24"/>
                <w:highlight w:val="none"/>
                <w:lang w:val="en-US" w:eastAsia="zh-CN"/>
              </w:rPr>
              <w:t>得3分；</w:t>
            </w:r>
          </w:p>
          <w:p w14:paraId="5589CB66">
            <w:pPr>
              <w:keepNext w:val="0"/>
              <w:keepLines w:val="0"/>
              <w:pageBreakBefore w:val="0"/>
              <w:widowControl w:val="0"/>
              <w:numPr>
                <w:ilvl w:val="0"/>
                <w:numId w:val="0"/>
              </w:numPr>
              <w:kinsoku/>
              <w:wordWrap/>
              <w:overflowPunct/>
              <w:topLinePunct w:val="0"/>
              <w:autoSpaceDE/>
              <w:autoSpaceDN/>
              <w:bidi w:val="0"/>
              <w:adjustRightInd w:val="0"/>
              <w:snapToGrid/>
              <w:spacing w:line="480" w:lineRule="exact"/>
              <w:ind w:firstLine="480" w:firstLineChars="20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且拟派项目负责人须为投标供应商单位正式人员，并提供社保机构出具的</w:t>
            </w:r>
            <w:r>
              <w:rPr>
                <w:rFonts w:hint="eastAsia" w:ascii="宋体" w:hAnsi="宋体" w:eastAsia="宋体" w:cs="宋体"/>
                <w:color w:val="auto"/>
                <w:sz w:val="24"/>
                <w:szCs w:val="24"/>
                <w:highlight w:val="none"/>
              </w:rPr>
              <w:t>投标企业为项目负责人缴纳</w:t>
            </w:r>
            <w:r>
              <w:rPr>
                <w:rFonts w:hint="eastAsia" w:ascii="宋体" w:hAnsi="宋体" w:eastAsia="宋体" w:cs="宋体"/>
                <w:color w:val="auto"/>
                <w:sz w:val="24"/>
                <w:szCs w:val="24"/>
                <w:highlight w:val="none"/>
                <w:lang w:val="en-US" w:eastAsia="zh-CN"/>
              </w:rPr>
              <w:t>2024年9-11月近三个月内其中一个月</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社会</w:t>
            </w:r>
            <w:r>
              <w:rPr>
                <w:rFonts w:hint="eastAsia" w:ascii="宋体" w:hAnsi="宋体" w:eastAsia="宋体" w:cs="宋体"/>
                <w:color w:val="auto"/>
                <w:sz w:val="24"/>
                <w:szCs w:val="24"/>
                <w:highlight w:val="none"/>
              </w:rPr>
              <w:t>保险缴纳证明</w:t>
            </w:r>
            <w:r>
              <w:rPr>
                <w:rFonts w:hint="eastAsia" w:ascii="宋体" w:hAnsi="宋体" w:eastAsia="宋体" w:cs="宋体"/>
                <w:color w:val="auto"/>
                <w:sz w:val="24"/>
                <w:szCs w:val="24"/>
                <w:highlight w:val="none"/>
                <w:lang w:eastAsia="zh-CN"/>
              </w:rPr>
              <w:t>。</w:t>
            </w:r>
          </w:p>
          <w:p w14:paraId="4E984024">
            <w:pPr>
              <w:keepNext w:val="0"/>
              <w:keepLines w:val="0"/>
              <w:pageBreakBefore w:val="0"/>
              <w:widowControl w:val="0"/>
              <w:numPr>
                <w:ilvl w:val="0"/>
                <w:numId w:val="0"/>
              </w:numPr>
              <w:kinsoku/>
              <w:wordWrap/>
              <w:overflowPunct/>
              <w:topLinePunct w:val="0"/>
              <w:autoSpaceDE/>
              <w:autoSpaceDN/>
              <w:bidi w:val="0"/>
              <w:adjustRightInd w:val="0"/>
              <w:snapToGrid/>
              <w:spacing w:line="480" w:lineRule="exact"/>
              <w:ind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②拟派现场人员具有特种作业操作证（高处作业）的，每提供一个证书得1分，最高得3分。</w:t>
            </w:r>
          </w:p>
          <w:p w14:paraId="534B590B">
            <w:pPr>
              <w:keepNext w:val="0"/>
              <w:keepLines w:val="0"/>
              <w:pageBreakBefore w:val="0"/>
              <w:widowControl w:val="0"/>
              <w:numPr>
                <w:ilvl w:val="0"/>
                <w:numId w:val="0"/>
              </w:numPr>
              <w:kinsoku/>
              <w:wordWrap/>
              <w:overflowPunct/>
              <w:topLinePunct w:val="0"/>
              <w:autoSpaceDE/>
              <w:autoSpaceDN/>
              <w:bidi w:val="0"/>
              <w:adjustRightInd w:val="0"/>
              <w:snapToGrid/>
              <w:spacing w:line="480" w:lineRule="exact"/>
              <w:ind w:firstLine="482"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须提供有效的证书及拟派项目负责人的社保证明材料复印件并加盖投标供应商单位公章。</w:t>
            </w:r>
          </w:p>
        </w:tc>
      </w:tr>
      <w:tr w14:paraId="0B203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308" w:type="pct"/>
            <w:shd w:val="clear" w:color="auto" w:fill="auto"/>
            <w:noWrap w:val="0"/>
            <w:vAlign w:val="center"/>
          </w:tcPr>
          <w:p w14:paraId="5D79F45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cs="宋体"/>
                <w:b w:val="0"/>
                <w:bCs w:val="0"/>
                <w:color w:val="auto"/>
                <w:kern w:val="0"/>
                <w:sz w:val="24"/>
                <w:szCs w:val="24"/>
                <w:highlight w:val="none"/>
                <w:lang w:val="en-US" w:eastAsia="zh-CN"/>
              </w:rPr>
              <w:t>2</w:t>
            </w:r>
          </w:p>
        </w:tc>
        <w:tc>
          <w:tcPr>
            <w:tcW w:w="746" w:type="pct"/>
            <w:shd w:val="clear" w:color="auto" w:fill="auto"/>
            <w:noWrap w:val="0"/>
            <w:vAlign w:val="center"/>
          </w:tcPr>
          <w:p w14:paraId="691ACFBB">
            <w:pPr>
              <w:widowControl/>
              <w:spacing w:line="360" w:lineRule="exact"/>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售后服务</w:t>
            </w:r>
          </w:p>
          <w:p w14:paraId="5AC7FDA9">
            <w:pPr>
              <w:pStyle w:val="2"/>
              <w:pageBreakBefore w:val="0"/>
              <w:kinsoku/>
              <w:wordWrap/>
              <w:overflowPunct/>
              <w:topLinePunct w:val="0"/>
              <w:autoSpaceDE/>
              <w:autoSpaceDN/>
              <w:bidi w:val="0"/>
              <w:adjustRightInd/>
              <w:snapToGrid/>
              <w:spacing w:before="0" w:after="0" w:line="440" w:lineRule="exact"/>
              <w:jc w:val="center"/>
              <w:textAlignment w:val="auto"/>
              <w:rPr>
                <w:rFonts w:hint="eastAsia" w:ascii="宋体" w:hAnsi="宋体" w:eastAsia="宋体" w:cs="宋体"/>
                <w:b w:val="0"/>
                <w:bCs w:val="0"/>
                <w:color w:val="auto"/>
                <w:kern w:val="44"/>
                <w:sz w:val="24"/>
                <w:szCs w:val="24"/>
                <w:highlight w:val="none"/>
                <w:lang w:val="en-US" w:eastAsia="zh-CN" w:bidi="ar-SA"/>
              </w:rPr>
            </w:pP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分）</w:t>
            </w:r>
          </w:p>
        </w:tc>
        <w:tc>
          <w:tcPr>
            <w:tcW w:w="3945" w:type="pct"/>
            <w:shd w:val="clear" w:color="auto" w:fill="auto"/>
            <w:noWrap w:val="0"/>
            <w:vAlign w:val="center"/>
          </w:tcPr>
          <w:p w14:paraId="32482F55">
            <w:pPr>
              <w:pStyle w:val="14"/>
              <w:keepNext w:val="0"/>
              <w:keepLines w:val="0"/>
              <w:pageBreakBefore w:val="0"/>
              <w:kinsoku/>
              <w:wordWrap/>
              <w:overflowPunct/>
              <w:topLinePunct w:val="0"/>
              <w:autoSpaceDE/>
              <w:autoSpaceDN/>
              <w:bidi w:val="0"/>
              <w:snapToGrid/>
              <w:spacing w:line="480" w:lineRule="exact"/>
              <w:ind w:firstLine="480" w:firstLineChars="20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rPr>
              <w:t>服务期内，普通维修接到甲方通知后6小时内到场。紧急抢修接到甲方通知后1小时内到场。提供承诺函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格式自拟，加盖供应商单位公章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，得3分。</w:t>
            </w:r>
          </w:p>
        </w:tc>
      </w:tr>
      <w:tr w14:paraId="18A7C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308" w:type="pct"/>
            <w:shd w:val="clear" w:color="auto" w:fill="auto"/>
            <w:noWrap w:val="0"/>
            <w:vAlign w:val="center"/>
          </w:tcPr>
          <w:p w14:paraId="52C9B68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cs="宋体"/>
                <w:b w:val="0"/>
                <w:bCs w:val="0"/>
                <w:color w:val="auto"/>
                <w:kern w:val="0"/>
                <w:sz w:val="24"/>
                <w:szCs w:val="24"/>
                <w:highlight w:val="none"/>
                <w:lang w:val="en-US" w:eastAsia="zh-CN"/>
              </w:rPr>
              <w:t>3</w:t>
            </w:r>
          </w:p>
        </w:tc>
        <w:tc>
          <w:tcPr>
            <w:tcW w:w="746" w:type="pct"/>
            <w:shd w:val="clear" w:color="auto" w:fill="auto"/>
            <w:noWrap w:val="0"/>
            <w:vAlign w:val="center"/>
          </w:tcPr>
          <w:p w14:paraId="2F1AEF00">
            <w:pPr>
              <w:pStyle w:val="2"/>
              <w:pageBreakBefore w:val="0"/>
              <w:kinsoku/>
              <w:wordWrap/>
              <w:overflowPunct/>
              <w:topLinePunct w:val="0"/>
              <w:autoSpaceDE/>
              <w:autoSpaceDN/>
              <w:bidi w:val="0"/>
              <w:adjustRightInd/>
              <w:snapToGrid/>
              <w:spacing w:before="0" w:after="0" w:line="44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拟派项目负责人</w:t>
            </w:r>
            <w:r>
              <w:rPr>
                <w:rFonts w:hint="eastAsia" w:ascii="宋体" w:hAnsi="宋体" w:eastAsia="宋体" w:cs="宋体"/>
                <w:b w:val="0"/>
                <w:bCs w:val="0"/>
                <w:color w:val="auto"/>
                <w:sz w:val="24"/>
                <w:szCs w:val="24"/>
                <w:highlight w:val="none"/>
              </w:rPr>
              <w:t>业绩</w:t>
            </w:r>
          </w:p>
          <w:p w14:paraId="1FBB66E7">
            <w:pPr>
              <w:pStyle w:val="2"/>
              <w:pageBreakBefore w:val="0"/>
              <w:kinsoku/>
              <w:wordWrap/>
              <w:overflowPunct/>
              <w:topLinePunct w:val="0"/>
              <w:autoSpaceDE/>
              <w:autoSpaceDN/>
              <w:bidi w:val="0"/>
              <w:adjustRightInd/>
              <w:snapToGrid/>
              <w:spacing w:before="0" w:after="0" w:line="440" w:lineRule="exact"/>
              <w:jc w:val="center"/>
              <w:textAlignment w:val="auto"/>
              <w:rPr>
                <w:rFonts w:hint="eastAsia" w:ascii="宋体" w:hAnsi="宋体" w:eastAsia="宋体" w:cs="宋体"/>
                <w:b w:val="0"/>
                <w:bCs w:val="0"/>
                <w:color w:val="auto"/>
                <w:kern w:val="44"/>
                <w:sz w:val="24"/>
                <w:szCs w:val="24"/>
                <w:highlight w:val="none"/>
                <w:lang w:val="en-US" w:eastAsia="zh-CN" w:bidi="ar-SA"/>
              </w:rPr>
            </w:pP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分）</w:t>
            </w:r>
          </w:p>
        </w:tc>
        <w:tc>
          <w:tcPr>
            <w:tcW w:w="3945" w:type="pct"/>
            <w:shd w:val="clear" w:color="auto" w:fill="auto"/>
            <w:noWrap w:val="0"/>
            <w:vAlign w:val="center"/>
          </w:tcPr>
          <w:p w14:paraId="0FC59496">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拟派项目负责人自2021年</w:t>
            </w:r>
            <w:r>
              <w:rPr>
                <w:rFonts w:hint="eastAsia" w:ascii="宋体" w:hAnsi="宋体" w:cs="宋体"/>
                <w:color w:val="auto"/>
                <w:kern w:val="0"/>
                <w:sz w:val="24"/>
                <w:szCs w:val="24"/>
                <w:highlight w:val="none"/>
                <w:lang w:val="en-US" w:eastAsia="zh-CN" w:bidi="ar-SA"/>
              </w:rPr>
              <w:t>6</w:t>
            </w:r>
            <w:r>
              <w:rPr>
                <w:rFonts w:hint="eastAsia" w:ascii="宋体" w:hAnsi="宋体" w:eastAsia="宋体" w:cs="宋体"/>
                <w:color w:val="auto"/>
                <w:kern w:val="0"/>
                <w:sz w:val="24"/>
                <w:szCs w:val="24"/>
                <w:highlight w:val="none"/>
                <w:lang w:val="en-US" w:eastAsia="zh-CN" w:bidi="ar-SA"/>
              </w:rPr>
              <w:t>月1日以来（以合同签订时间为准）在供应商企业任职期间承担过单项合同中玻璃幕墙面积15000平方米及以上的施工或维保业绩，每提供一个业绩，得5分，满分5分。</w:t>
            </w:r>
          </w:p>
          <w:p w14:paraId="7F016492">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提供合同及对应业绩发票复印件并加盖供应商单位公章。</w:t>
            </w:r>
          </w:p>
        </w:tc>
      </w:tr>
      <w:tr w14:paraId="42EA7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308" w:type="pct"/>
            <w:vMerge w:val="restart"/>
            <w:noWrap w:val="0"/>
            <w:vAlign w:val="center"/>
          </w:tcPr>
          <w:p w14:paraId="094E0E8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4</w:t>
            </w:r>
          </w:p>
        </w:tc>
        <w:tc>
          <w:tcPr>
            <w:tcW w:w="746" w:type="pct"/>
            <w:vMerge w:val="restart"/>
            <w:noWrap w:val="0"/>
            <w:vAlign w:val="center"/>
          </w:tcPr>
          <w:p w14:paraId="73C6790F">
            <w:pPr>
              <w:keepNext w:val="0"/>
              <w:keepLines w:val="0"/>
              <w:pageBreakBefore w:val="0"/>
              <w:widowControl/>
              <w:numPr>
                <w:ilvl w:val="-1"/>
                <w:numId w:val="0"/>
              </w:numPr>
              <w:tabs>
                <w:tab w:val="left" w:pos="0"/>
              </w:tabs>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维保方案</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32</w:t>
            </w:r>
            <w:r>
              <w:rPr>
                <w:rFonts w:hint="eastAsia" w:ascii="宋体" w:hAnsi="宋体" w:eastAsia="宋体" w:cs="宋体"/>
                <w:b w:val="0"/>
                <w:bCs w:val="0"/>
                <w:color w:val="auto"/>
                <w:sz w:val="24"/>
                <w:szCs w:val="24"/>
                <w:highlight w:val="none"/>
              </w:rPr>
              <w:t>分）</w:t>
            </w:r>
          </w:p>
        </w:tc>
        <w:tc>
          <w:tcPr>
            <w:tcW w:w="3945" w:type="pct"/>
            <w:noWrap w:val="0"/>
            <w:vAlign w:val="center"/>
          </w:tcPr>
          <w:p w14:paraId="14B78EF9">
            <w:pPr>
              <w:keepNext w:val="0"/>
              <w:keepLines w:val="0"/>
              <w:pageBreakBefore w:val="0"/>
              <w:widowControl w:val="0"/>
              <w:numPr>
                <w:ilvl w:val="0"/>
                <w:numId w:val="0"/>
              </w:numPr>
              <w:kinsoku/>
              <w:wordWrap/>
              <w:overflowPunct/>
              <w:topLinePunct w:val="0"/>
              <w:autoSpaceDE/>
              <w:autoSpaceDN/>
              <w:bidi w:val="0"/>
              <w:adjustRightInd w:val="0"/>
              <w:snapToGrid/>
              <w:spacing w:line="480" w:lineRule="exact"/>
              <w:ind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（1）供应商针对采购项目需求自行勘察现场，提供玻璃幕墙安装及维保详细实施方案及维保方案，磋商小组根据供应商的方案进行综合打分：</w:t>
            </w:r>
          </w:p>
          <w:p w14:paraId="4D1846B0">
            <w:pPr>
              <w:keepNext w:val="0"/>
              <w:keepLines w:val="0"/>
              <w:pageBreakBefore w:val="0"/>
              <w:widowControl w:val="0"/>
              <w:numPr>
                <w:ilvl w:val="0"/>
                <w:numId w:val="0"/>
              </w:numPr>
              <w:kinsoku/>
              <w:wordWrap/>
              <w:overflowPunct/>
              <w:topLinePunct w:val="0"/>
              <w:autoSpaceDE/>
              <w:autoSpaceDN/>
              <w:bidi w:val="0"/>
              <w:adjustRightInd w:val="0"/>
              <w:snapToGrid/>
              <w:spacing w:line="480" w:lineRule="exact"/>
              <w:ind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①方案全面完善、科学合理、针对性强、可操作性强、内容详细的得8分；</w:t>
            </w:r>
          </w:p>
          <w:p w14:paraId="1CA07D67">
            <w:pPr>
              <w:keepNext w:val="0"/>
              <w:keepLines w:val="0"/>
              <w:pageBreakBefore w:val="0"/>
              <w:widowControl w:val="0"/>
              <w:numPr>
                <w:ilvl w:val="0"/>
                <w:numId w:val="0"/>
              </w:numPr>
              <w:kinsoku/>
              <w:wordWrap/>
              <w:overflowPunct/>
              <w:topLinePunct w:val="0"/>
              <w:autoSpaceDE/>
              <w:autoSpaceDN/>
              <w:bidi w:val="0"/>
              <w:adjustRightInd w:val="0"/>
              <w:snapToGrid/>
              <w:spacing w:line="480" w:lineRule="exact"/>
              <w:ind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②方案较完善、针对性尚可、可操作性尚可的得6分；</w:t>
            </w:r>
          </w:p>
          <w:p w14:paraId="4620AEE8">
            <w:pPr>
              <w:keepNext w:val="0"/>
              <w:keepLines w:val="0"/>
              <w:pageBreakBefore w:val="0"/>
              <w:widowControl w:val="0"/>
              <w:numPr>
                <w:ilvl w:val="0"/>
                <w:numId w:val="0"/>
              </w:numPr>
              <w:kinsoku/>
              <w:wordWrap/>
              <w:overflowPunct/>
              <w:topLinePunct w:val="0"/>
              <w:autoSpaceDE/>
              <w:autoSpaceDN/>
              <w:bidi w:val="0"/>
              <w:adjustRightInd w:val="0"/>
              <w:snapToGrid/>
              <w:spacing w:line="480" w:lineRule="exact"/>
              <w:ind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③有涉及但不全面的得4分；</w:t>
            </w:r>
          </w:p>
          <w:p w14:paraId="2DE363DC">
            <w:pPr>
              <w:keepNext w:val="0"/>
              <w:keepLines w:val="0"/>
              <w:pageBreakBefore w:val="0"/>
              <w:widowControl w:val="0"/>
              <w:numPr>
                <w:ilvl w:val="0"/>
                <w:numId w:val="0"/>
              </w:numPr>
              <w:kinsoku/>
              <w:wordWrap/>
              <w:overflowPunct/>
              <w:topLinePunct w:val="0"/>
              <w:autoSpaceDE/>
              <w:autoSpaceDN/>
              <w:bidi w:val="0"/>
              <w:adjustRightInd w:val="0"/>
              <w:snapToGrid/>
              <w:spacing w:line="480" w:lineRule="exact"/>
              <w:ind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④未提供不得分。</w:t>
            </w:r>
          </w:p>
        </w:tc>
      </w:tr>
      <w:tr w14:paraId="3C2AB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308" w:type="pct"/>
            <w:vMerge w:val="continue"/>
            <w:noWrap w:val="0"/>
            <w:vAlign w:val="center"/>
          </w:tcPr>
          <w:p w14:paraId="741F1D2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0"/>
                <w:sz w:val="24"/>
                <w:szCs w:val="24"/>
                <w:highlight w:val="none"/>
                <w:lang w:val="en-US" w:eastAsia="zh-CN"/>
              </w:rPr>
            </w:pPr>
          </w:p>
        </w:tc>
        <w:tc>
          <w:tcPr>
            <w:tcW w:w="746" w:type="pct"/>
            <w:vMerge w:val="continue"/>
            <w:noWrap w:val="0"/>
            <w:vAlign w:val="center"/>
          </w:tcPr>
          <w:p w14:paraId="4DC5FDE7">
            <w:pPr>
              <w:pStyle w:val="2"/>
              <w:pageBreakBefore w:val="0"/>
              <w:kinsoku/>
              <w:wordWrap/>
              <w:overflowPunct/>
              <w:topLinePunct w:val="0"/>
              <w:autoSpaceDE/>
              <w:autoSpaceDN/>
              <w:bidi w:val="0"/>
              <w:adjustRightInd/>
              <w:snapToGrid/>
              <w:spacing w:before="0" w:after="0" w:line="440" w:lineRule="exact"/>
              <w:jc w:val="center"/>
              <w:textAlignment w:val="auto"/>
              <w:rPr>
                <w:rFonts w:hint="eastAsia" w:ascii="宋体" w:hAnsi="宋体" w:eastAsia="宋体" w:cs="宋体"/>
                <w:b w:val="0"/>
                <w:bCs w:val="0"/>
                <w:color w:val="auto"/>
                <w:sz w:val="24"/>
                <w:szCs w:val="24"/>
                <w:highlight w:val="none"/>
              </w:rPr>
            </w:pPr>
          </w:p>
        </w:tc>
        <w:tc>
          <w:tcPr>
            <w:tcW w:w="3945" w:type="pct"/>
            <w:noWrap w:val="0"/>
            <w:vAlign w:val="center"/>
          </w:tcPr>
          <w:p w14:paraId="258EA0C1">
            <w:pPr>
              <w:keepNext w:val="0"/>
              <w:keepLines w:val="0"/>
              <w:pageBreakBefore w:val="0"/>
              <w:widowControl w:val="0"/>
              <w:numPr>
                <w:ilvl w:val="0"/>
                <w:numId w:val="0"/>
              </w:numPr>
              <w:kinsoku/>
              <w:wordWrap/>
              <w:overflowPunct/>
              <w:topLinePunct w:val="0"/>
              <w:autoSpaceDE/>
              <w:autoSpaceDN/>
              <w:bidi w:val="0"/>
              <w:adjustRightInd w:val="0"/>
              <w:snapToGrid/>
              <w:spacing w:line="480" w:lineRule="exact"/>
              <w:ind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（2）供应商提供针对本采购项目的维保重难点及解决方案，磋商小组根据供应商的方案进行综合打分：</w:t>
            </w:r>
          </w:p>
          <w:p w14:paraId="6C8BE04F">
            <w:pPr>
              <w:keepNext w:val="0"/>
              <w:keepLines w:val="0"/>
              <w:pageBreakBefore w:val="0"/>
              <w:widowControl w:val="0"/>
              <w:numPr>
                <w:ilvl w:val="0"/>
                <w:numId w:val="0"/>
              </w:numPr>
              <w:kinsoku/>
              <w:wordWrap/>
              <w:overflowPunct/>
              <w:topLinePunct w:val="0"/>
              <w:autoSpaceDE/>
              <w:autoSpaceDN/>
              <w:bidi w:val="0"/>
              <w:adjustRightInd w:val="0"/>
              <w:snapToGrid/>
              <w:spacing w:line="480" w:lineRule="exact"/>
              <w:ind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①方案全面完善、科学合理、针对性强、可操作性强、内容详细的得8分；</w:t>
            </w:r>
          </w:p>
          <w:p w14:paraId="23A8E9B9">
            <w:pPr>
              <w:keepNext w:val="0"/>
              <w:keepLines w:val="0"/>
              <w:pageBreakBefore w:val="0"/>
              <w:widowControl w:val="0"/>
              <w:numPr>
                <w:ilvl w:val="0"/>
                <w:numId w:val="0"/>
              </w:numPr>
              <w:kinsoku/>
              <w:wordWrap/>
              <w:overflowPunct/>
              <w:topLinePunct w:val="0"/>
              <w:autoSpaceDE/>
              <w:autoSpaceDN/>
              <w:bidi w:val="0"/>
              <w:adjustRightInd w:val="0"/>
              <w:snapToGrid/>
              <w:spacing w:line="480" w:lineRule="exact"/>
              <w:ind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②方案较完善、针对性尚可、可操作性尚可的得6分；</w:t>
            </w:r>
          </w:p>
          <w:p w14:paraId="6DCFBC15">
            <w:pPr>
              <w:keepNext w:val="0"/>
              <w:keepLines w:val="0"/>
              <w:pageBreakBefore w:val="0"/>
              <w:widowControl w:val="0"/>
              <w:numPr>
                <w:ilvl w:val="0"/>
                <w:numId w:val="0"/>
              </w:numPr>
              <w:kinsoku/>
              <w:wordWrap/>
              <w:overflowPunct/>
              <w:topLinePunct w:val="0"/>
              <w:autoSpaceDE/>
              <w:autoSpaceDN/>
              <w:bidi w:val="0"/>
              <w:adjustRightInd w:val="0"/>
              <w:snapToGrid/>
              <w:spacing w:line="480" w:lineRule="exact"/>
              <w:ind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③有涉及但不全面的得4分；</w:t>
            </w:r>
          </w:p>
          <w:p w14:paraId="1459196C">
            <w:pPr>
              <w:keepNext w:val="0"/>
              <w:keepLines w:val="0"/>
              <w:pageBreakBefore w:val="0"/>
              <w:widowControl w:val="0"/>
              <w:numPr>
                <w:ilvl w:val="0"/>
                <w:numId w:val="0"/>
              </w:numPr>
              <w:kinsoku/>
              <w:wordWrap/>
              <w:overflowPunct/>
              <w:topLinePunct w:val="0"/>
              <w:autoSpaceDE/>
              <w:autoSpaceDN/>
              <w:bidi w:val="0"/>
              <w:adjustRightInd w:val="0"/>
              <w:snapToGrid/>
              <w:spacing w:line="480" w:lineRule="exact"/>
              <w:ind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④未提供不得分。</w:t>
            </w:r>
          </w:p>
        </w:tc>
      </w:tr>
      <w:tr w14:paraId="0CBB4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308" w:type="pct"/>
            <w:vMerge w:val="continue"/>
            <w:noWrap w:val="0"/>
            <w:vAlign w:val="center"/>
          </w:tcPr>
          <w:p w14:paraId="2935C91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0"/>
                <w:sz w:val="24"/>
                <w:szCs w:val="24"/>
                <w:highlight w:val="none"/>
                <w:lang w:val="en-US" w:eastAsia="zh-CN"/>
              </w:rPr>
            </w:pPr>
          </w:p>
        </w:tc>
        <w:tc>
          <w:tcPr>
            <w:tcW w:w="746" w:type="pct"/>
            <w:vMerge w:val="continue"/>
            <w:noWrap w:val="0"/>
            <w:vAlign w:val="center"/>
          </w:tcPr>
          <w:p w14:paraId="5F1E67A9">
            <w:pPr>
              <w:keepNext w:val="0"/>
              <w:keepLines w:val="0"/>
              <w:pageBreakBefore w:val="0"/>
              <w:widowControl/>
              <w:numPr>
                <w:ilvl w:val="-1"/>
                <w:numId w:val="0"/>
              </w:numPr>
              <w:tabs>
                <w:tab w:val="left" w:pos="0"/>
              </w:tabs>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auto"/>
                <w:sz w:val="24"/>
                <w:szCs w:val="24"/>
                <w:highlight w:val="none"/>
                <w:lang w:val="en-US" w:eastAsia="zh-CN"/>
              </w:rPr>
            </w:pPr>
          </w:p>
        </w:tc>
        <w:tc>
          <w:tcPr>
            <w:tcW w:w="3945" w:type="pct"/>
            <w:noWrap w:val="0"/>
            <w:vAlign w:val="center"/>
          </w:tcPr>
          <w:p w14:paraId="28FF71CF">
            <w:pPr>
              <w:keepNext w:val="0"/>
              <w:keepLines w:val="0"/>
              <w:pageBreakBefore w:val="0"/>
              <w:widowControl w:val="0"/>
              <w:numPr>
                <w:ilvl w:val="0"/>
                <w:numId w:val="0"/>
              </w:numPr>
              <w:kinsoku/>
              <w:wordWrap/>
              <w:overflowPunct/>
              <w:topLinePunct w:val="0"/>
              <w:autoSpaceDE/>
              <w:autoSpaceDN/>
              <w:bidi w:val="0"/>
              <w:adjustRightInd w:val="0"/>
              <w:snapToGrid/>
              <w:spacing w:line="480" w:lineRule="exact"/>
              <w:ind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（3）供应商提供针对本采购项目的维保计划的安全措施方案（</w:t>
            </w:r>
            <w:r>
              <w:rPr>
                <w:rFonts w:hint="eastAsia" w:ascii="宋体" w:hAnsi="宋体" w:eastAsia="宋体" w:cs="宋体"/>
                <w:b/>
                <w:bCs/>
                <w:color w:val="auto"/>
                <w:sz w:val="24"/>
                <w:szCs w:val="24"/>
                <w:highlight w:val="none"/>
                <w:lang w:val="en-US" w:eastAsia="zh-CN"/>
              </w:rPr>
              <w:t>包括但不限于人员要求、技术要求、安全操作、消防管理、防风措施、外立面的安全防护等</w:t>
            </w:r>
            <w:r>
              <w:rPr>
                <w:rFonts w:hint="eastAsia" w:ascii="宋体" w:hAnsi="宋体" w:eastAsia="宋体" w:cs="宋体"/>
                <w:color w:val="auto"/>
                <w:sz w:val="24"/>
                <w:szCs w:val="24"/>
                <w:highlight w:val="none"/>
                <w:lang w:val="en-US" w:eastAsia="zh-CN"/>
              </w:rPr>
              <w:t>），磋商小组根据供应商提供的方案进行综合打分：</w:t>
            </w:r>
          </w:p>
          <w:p w14:paraId="03408A4A">
            <w:pPr>
              <w:keepNext w:val="0"/>
              <w:keepLines w:val="0"/>
              <w:pageBreakBefore w:val="0"/>
              <w:widowControl w:val="0"/>
              <w:numPr>
                <w:ilvl w:val="0"/>
                <w:numId w:val="0"/>
              </w:numPr>
              <w:kinsoku/>
              <w:wordWrap/>
              <w:overflowPunct/>
              <w:topLinePunct w:val="0"/>
              <w:autoSpaceDE/>
              <w:autoSpaceDN/>
              <w:bidi w:val="0"/>
              <w:adjustRightInd w:val="0"/>
              <w:snapToGrid/>
              <w:spacing w:line="480" w:lineRule="exact"/>
              <w:ind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①方案全面完善、科学合理、针对性强、可操作性强、内容详细的得8分；</w:t>
            </w:r>
          </w:p>
          <w:p w14:paraId="0CAC5EDF">
            <w:pPr>
              <w:keepNext w:val="0"/>
              <w:keepLines w:val="0"/>
              <w:pageBreakBefore w:val="0"/>
              <w:widowControl w:val="0"/>
              <w:numPr>
                <w:ilvl w:val="0"/>
                <w:numId w:val="0"/>
              </w:numPr>
              <w:kinsoku/>
              <w:wordWrap/>
              <w:overflowPunct/>
              <w:topLinePunct w:val="0"/>
              <w:autoSpaceDE/>
              <w:autoSpaceDN/>
              <w:bidi w:val="0"/>
              <w:adjustRightInd w:val="0"/>
              <w:snapToGrid/>
              <w:spacing w:line="480" w:lineRule="exact"/>
              <w:ind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②方案较完善、针对性尚可、可操作性尚可的得6分；</w:t>
            </w:r>
          </w:p>
          <w:p w14:paraId="643552EA">
            <w:pPr>
              <w:keepNext w:val="0"/>
              <w:keepLines w:val="0"/>
              <w:pageBreakBefore w:val="0"/>
              <w:widowControl w:val="0"/>
              <w:numPr>
                <w:ilvl w:val="0"/>
                <w:numId w:val="0"/>
              </w:numPr>
              <w:kinsoku/>
              <w:wordWrap/>
              <w:overflowPunct/>
              <w:topLinePunct w:val="0"/>
              <w:autoSpaceDE/>
              <w:autoSpaceDN/>
              <w:bidi w:val="0"/>
              <w:adjustRightInd w:val="0"/>
              <w:snapToGrid/>
              <w:spacing w:line="480" w:lineRule="exact"/>
              <w:ind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③有涉及但不全面的得4分；</w:t>
            </w:r>
          </w:p>
          <w:p w14:paraId="7C5B6A53">
            <w:pPr>
              <w:keepNext w:val="0"/>
              <w:keepLines w:val="0"/>
              <w:pageBreakBefore w:val="0"/>
              <w:kinsoku/>
              <w:wordWrap/>
              <w:overflowPunct/>
              <w:topLinePunct w:val="0"/>
              <w:autoSpaceDE/>
              <w:autoSpaceDN/>
              <w:bidi w:val="0"/>
              <w:snapToGrid/>
              <w:spacing w:line="48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④未提供不得分。</w:t>
            </w:r>
          </w:p>
        </w:tc>
      </w:tr>
      <w:tr w14:paraId="2D9D6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308" w:type="pct"/>
            <w:vMerge w:val="continue"/>
            <w:noWrap w:val="0"/>
            <w:vAlign w:val="center"/>
          </w:tcPr>
          <w:p w14:paraId="2DC33EC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0"/>
                <w:sz w:val="24"/>
                <w:szCs w:val="24"/>
                <w:highlight w:val="none"/>
                <w:lang w:val="en-US" w:eastAsia="zh-CN"/>
              </w:rPr>
            </w:pPr>
          </w:p>
        </w:tc>
        <w:tc>
          <w:tcPr>
            <w:tcW w:w="746" w:type="pct"/>
            <w:vMerge w:val="continue"/>
            <w:noWrap w:val="0"/>
            <w:vAlign w:val="center"/>
          </w:tcPr>
          <w:p w14:paraId="6AEDB7F9">
            <w:pPr>
              <w:keepNext w:val="0"/>
              <w:keepLines w:val="0"/>
              <w:pageBreakBefore w:val="0"/>
              <w:widowControl/>
              <w:numPr>
                <w:ilvl w:val="-1"/>
                <w:numId w:val="0"/>
              </w:numPr>
              <w:tabs>
                <w:tab w:val="left" w:pos="0"/>
              </w:tabs>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auto"/>
                <w:sz w:val="24"/>
                <w:szCs w:val="24"/>
                <w:highlight w:val="none"/>
              </w:rPr>
            </w:pPr>
          </w:p>
        </w:tc>
        <w:tc>
          <w:tcPr>
            <w:tcW w:w="3945" w:type="pct"/>
            <w:noWrap w:val="0"/>
            <w:vAlign w:val="center"/>
          </w:tcPr>
          <w:p w14:paraId="24622291">
            <w:pPr>
              <w:keepNext w:val="0"/>
              <w:keepLines w:val="0"/>
              <w:pageBreakBefore w:val="0"/>
              <w:widowControl w:val="0"/>
              <w:numPr>
                <w:ilvl w:val="0"/>
                <w:numId w:val="0"/>
              </w:numPr>
              <w:kinsoku/>
              <w:wordWrap/>
              <w:overflowPunct/>
              <w:topLinePunct w:val="0"/>
              <w:autoSpaceDE/>
              <w:autoSpaceDN/>
              <w:bidi w:val="0"/>
              <w:adjustRightInd w:val="0"/>
              <w:snapToGrid/>
              <w:spacing w:line="480" w:lineRule="exact"/>
              <w:ind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（4）供应商提供针对本采购项目的维保计划的质量控制方案（</w:t>
            </w:r>
            <w:r>
              <w:rPr>
                <w:rFonts w:hint="eastAsia" w:ascii="宋体" w:hAnsi="宋体" w:eastAsia="宋体" w:cs="宋体"/>
                <w:b/>
                <w:bCs/>
                <w:color w:val="auto"/>
                <w:sz w:val="24"/>
                <w:szCs w:val="24"/>
                <w:highlight w:val="none"/>
                <w:lang w:val="en-US" w:eastAsia="zh-CN"/>
              </w:rPr>
              <w:t>包括但不限于维保标准、维保人员的培训及管理、维保档案记录等</w:t>
            </w:r>
            <w:r>
              <w:rPr>
                <w:rFonts w:hint="eastAsia" w:ascii="宋体" w:hAnsi="宋体" w:eastAsia="宋体" w:cs="宋体"/>
                <w:color w:val="auto"/>
                <w:sz w:val="24"/>
                <w:szCs w:val="24"/>
                <w:highlight w:val="none"/>
                <w:lang w:val="en-US" w:eastAsia="zh-CN"/>
              </w:rPr>
              <w:t>），磋商小组根据供应商提供的质量控制方案进行综合打分：</w:t>
            </w:r>
          </w:p>
          <w:p w14:paraId="3D5C45DB">
            <w:pPr>
              <w:keepNext w:val="0"/>
              <w:keepLines w:val="0"/>
              <w:pageBreakBefore w:val="0"/>
              <w:widowControl w:val="0"/>
              <w:numPr>
                <w:ilvl w:val="0"/>
                <w:numId w:val="0"/>
              </w:numPr>
              <w:kinsoku/>
              <w:wordWrap/>
              <w:overflowPunct/>
              <w:topLinePunct w:val="0"/>
              <w:autoSpaceDE/>
              <w:autoSpaceDN/>
              <w:bidi w:val="0"/>
              <w:adjustRightInd w:val="0"/>
              <w:snapToGrid/>
              <w:spacing w:line="480" w:lineRule="exact"/>
              <w:ind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①方案全面完善、科学合理、针对性强、可操作性强、内容详细的得8分；</w:t>
            </w:r>
          </w:p>
          <w:p w14:paraId="5CEFDBC5">
            <w:pPr>
              <w:keepNext w:val="0"/>
              <w:keepLines w:val="0"/>
              <w:pageBreakBefore w:val="0"/>
              <w:widowControl w:val="0"/>
              <w:numPr>
                <w:ilvl w:val="0"/>
                <w:numId w:val="0"/>
              </w:numPr>
              <w:kinsoku/>
              <w:wordWrap/>
              <w:overflowPunct/>
              <w:topLinePunct w:val="0"/>
              <w:autoSpaceDE/>
              <w:autoSpaceDN/>
              <w:bidi w:val="0"/>
              <w:adjustRightInd w:val="0"/>
              <w:snapToGrid/>
              <w:spacing w:line="480" w:lineRule="exact"/>
              <w:ind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②方案较完善、针对性尚可、可操作性尚可的得6分；</w:t>
            </w:r>
          </w:p>
          <w:p w14:paraId="78095F67">
            <w:pPr>
              <w:keepNext w:val="0"/>
              <w:keepLines w:val="0"/>
              <w:pageBreakBefore w:val="0"/>
              <w:widowControl w:val="0"/>
              <w:numPr>
                <w:ilvl w:val="0"/>
                <w:numId w:val="0"/>
              </w:numPr>
              <w:kinsoku/>
              <w:wordWrap/>
              <w:overflowPunct/>
              <w:topLinePunct w:val="0"/>
              <w:autoSpaceDE/>
              <w:autoSpaceDN/>
              <w:bidi w:val="0"/>
              <w:adjustRightInd w:val="0"/>
              <w:snapToGrid/>
              <w:spacing w:line="480" w:lineRule="exact"/>
              <w:ind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③有涉及但不全面的得4分；</w:t>
            </w:r>
          </w:p>
          <w:p w14:paraId="1D5B1B79">
            <w:pPr>
              <w:keepNext w:val="0"/>
              <w:keepLines w:val="0"/>
              <w:pageBreakBefore w:val="0"/>
              <w:kinsoku/>
              <w:wordWrap/>
              <w:overflowPunct/>
              <w:topLinePunct w:val="0"/>
              <w:autoSpaceDE/>
              <w:autoSpaceDN/>
              <w:bidi w:val="0"/>
              <w:snapToGrid/>
              <w:spacing w:line="48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④未提供不得分。</w:t>
            </w:r>
          </w:p>
        </w:tc>
      </w:tr>
      <w:tr w14:paraId="78A1A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8" w:type="pct"/>
            <w:noWrap w:val="0"/>
            <w:vAlign w:val="center"/>
          </w:tcPr>
          <w:p w14:paraId="1895B28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5</w:t>
            </w:r>
          </w:p>
        </w:tc>
        <w:tc>
          <w:tcPr>
            <w:tcW w:w="746" w:type="pct"/>
            <w:noWrap w:val="0"/>
            <w:vAlign w:val="center"/>
          </w:tcPr>
          <w:p w14:paraId="3AB9874E">
            <w:pPr>
              <w:pStyle w:val="2"/>
              <w:pageBreakBefore w:val="0"/>
              <w:kinsoku/>
              <w:wordWrap/>
              <w:overflowPunct/>
              <w:topLinePunct w:val="0"/>
              <w:autoSpaceDE/>
              <w:autoSpaceDN/>
              <w:bidi w:val="0"/>
              <w:adjustRightInd/>
              <w:snapToGrid/>
              <w:spacing w:before="0" w:after="0" w:line="440" w:lineRule="exact"/>
              <w:jc w:val="center"/>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应急预案</w:t>
            </w:r>
          </w:p>
          <w:p w14:paraId="7E300B56">
            <w:pPr>
              <w:jc w:val="center"/>
              <w:rPr>
                <w:rFonts w:hint="default"/>
                <w:color w:val="auto"/>
                <w:highlight w:val="none"/>
                <w:lang w:val="en-US" w:eastAsia="zh-CN"/>
              </w:rPr>
            </w:pPr>
            <w:r>
              <w:rPr>
                <w:rFonts w:hint="eastAsia" w:ascii="宋体" w:hAnsi="宋体" w:cs="宋体"/>
                <w:b w:val="0"/>
                <w:bCs w:val="0"/>
                <w:color w:val="auto"/>
                <w:sz w:val="24"/>
                <w:szCs w:val="24"/>
                <w:highlight w:val="none"/>
                <w:lang w:val="en-US" w:eastAsia="zh-CN"/>
              </w:rPr>
              <w:t>（5分）</w:t>
            </w:r>
          </w:p>
        </w:tc>
        <w:tc>
          <w:tcPr>
            <w:tcW w:w="3945" w:type="pct"/>
            <w:noWrap w:val="0"/>
            <w:vAlign w:val="center"/>
          </w:tcPr>
          <w:p w14:paraId="56D9E75E">
            <w:pPr>
              <w:pStyle w:val="14"/>
              <w:keepNext w:val="0"/>
              <w:keepLines w:val="0"/>
              <w:pageBreakBefore w:val="0"/>
              <w:kinsoku/>
              <w:wordWrap/>
              <w:overflowPunct/>
              <w:topLinePunct w:val="0"/>
              <w:autoSpaceDE/>
              <w:autoSpaceDN/>
              <w:bidi w:val="0"/>
              <w:snapToGrid/>
              <w:spacing w:line="48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提供针对本采购项目的维保计划的应急预案（包括但不限于发生玻璃幕墙发生破损或脱落或其他突发情况时，供应商的应急处理时间、快速调配所需人员、应急处理措施等内容），磋商小组根据供应商提供的质量控制方案进行综合打分：</w:t>
            </w:r>
          </w:p>
          <w:p w14:paraId="449A3C7E">
            <w:pPr>
              <w:pStyle w:val="14"/>
              <w:keepNext w:val="0"/>
              <w:keepLines w:val="0"/>
              <w:pageBreakBefore w:val="0"/>
              <w:kinsoku/>
              <w:wordWrap/>
              <w:overflowPunct/>
              <w:topLinePunct w:val="0"/>
              <w:autoSpaceDE/>
              <w:autoSpaceDN/>
              <w:bidi w:val="0"/>
              <w:snapToGrid/>
              <w:spacing w:line="48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①方案全面完善、科学合理、针对性强、可操作性强、内容详细的得5分；</w:t>
            </w:r>
          </w:p>
          <w:p w14:paraId="7C4DEEE4">
            <w:pPr>
              <w:pStyle w:val="14"/>
              <w:keepNext w:val="0"/>
              <w:keepLines w:val="0"/>
              <w:pageBreakBefore w:val="0"/>
              <w:kinsoku/>
              <w:wordWrap/>
              <w:overflowPunct/>
              <w:topLinePunct w:val="0"/>
              <w:autoSpaceDE/>
              <w:autoSpaceDN/>
              <w:bidi w:val="0"/>
              <w:snapToGrid/>
              <w:spacing w:line="48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②方案较完善、针对性尚可、可操作性尚可的得3分；</w:t>
            </w:r>
          </w:p>
          <w:p w14:paraId="1426370C">
            <w:pPr>
              <w:pStyle w:val="14"/>
              <w:keepNext w:val="0"/>
              <w:keepLines w:val="0"/>
              <w:pageBreakBefore w:val="0"/>
              <w:kinsoku/>
              <w:wordWrap/>
              <w:overflowPunct/>
              <w:topLinePunct w:val="0"/>
              <w:autoSpaceDE/>
              <w:autoSpaceDN/>
              <w:bidi w:val="0"/>
              <w:snapToGrid/>
              <w:spacing w:line="48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③有涉及但不全面的得1分；</w:t>
            </w:r>
          </w:p>
          <w:p w14:paraId="1F52C5A6">
            <w:pPr>
              <w:pStyle w:val="14"/>
              <w:keepNext w:val="0"/>
              <w:keepLines w:val="0"/>
              <w:pageBreakBefore w:val="0"/>
              <w:kinsoku/>
              <w:wordWrap/>
              <w:overflowPunct/>
              <w:topLinePunct w:val="0"/>
              <w:autoSpaceDE/>
              <w:autoSpaceDN/>
              <w:bidi w:val="0"/>
              <w:snapToGrid/>
              <w:spacing w:line="48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④未提供不得分。</w:t>
            </w:r>
          </w:p>
        </w:tc>
      </w:tr>
    </w:tbl>
    <w:p w14:paraId="6A71FAAC">
      <w:pPr>
        <w:autoSpaceDE w:val="0"/>
        <w:autoSpaceDN w:val="0"/>
        <w:adjustRightInd w:val="0"/>
        <w:snapToGrid w:val="0"/>
        <w:spacing w:line="480" w:lineRule="exact"/>
        <w:ind w:firstLine="560"/>
        <w:rPr>
          <w:color w:val="auto"/>
          <w:sz w:val="24"/>
          <w:highlight w:val="none"/>
          <w:u w:val="single"/>
          <w:lang w:val="zh-CN"/>
        </w:rPr>
      </w:pPr>
      <w:r>
        <w:rPr>
          <w:b/>
          <w:color w:val="auto"/>
          <w:sz w:val="24"/>
          <w:highlight w:val="none"/>
        </w:rPr>
        <w:t xml:space="preserve"> (二）价格分：</w:t>
      </w:r>
      <w:r>
        <w:rPr>
          <w:rFonts w:hint="eastAsia"/>
          <w:color w:val="auto"/>
          <w:sz w:val="24"/>
          <w:highlight w:val="none"/>
          <w:u w:val="single"/>
          <w:lang w:val="en-US" w:eastAsia="zh-CN"/>
        </w:rPr>
        <w:t>40</w:t>
      </w:r>
      <w:r>
        <w:rPr>
          <w:color w:val="auto"/>
          <w:sz w:val="24"/>
          <w:highlight w:val="none"/>
          <w:u w:val="single"/>
          <w:lang w:val="zh-CN"/>
        </w:rPr>
        <w:t>分</w:t>
      </w:r>
    </w:p>
    <w:p w14:paraId="4A18EA83">
      <w:pPr>
        <w:autoSpaceDE w:val="0"/>
        <w:autoSpaceDN w:val="0"/>
        <w:adjustRightInd w:val="0"/>
        <w:snapToGrid w:val="0"/>
        <w:spacing w:line="480" w:lineRule="exact"/>
        <w:ind w:firstLine="560"/>
        <w:rPr>
          <w:rFonts w:hint="eastAsia" w:eastAsia="宋体"/>
          <w:b/>
          <w:bCs/>
          <w:color w:val="auto"/>
          <w:sz w:val="24"/>
          <w:highlight w:val="none"/>
          <w:lang w:eastAsia="zh-CN"/>
        </w:rPr>
      </w:pPr>
      <w:r>
        <w:rPr>
          <w:rFonts w:hint="eastAsia"/>
          <w:b/>
          <w:bCs/>
          <w:color w:val="auto"/>
          <w:sz w:val="24"/>
          <w:highlight w:val="none"/>
        </w:rPr>
        <w:t>本次项目总价限价</w:t>
      </w:r>
      <w:r>
        <w:rPr>
          <w:rFonts w:hint="eastAsia"/>
          <w:b/>
          <w:bCs/>
          <w:color w:val="auto"/>
          <w:sz w:val="24"/>
          <w:highlight w:val="none"/>
          <w:u w:val="single"/>
          <w:lang w:val="en-US" w:eastAsia="zh-CN"/>
        </w:rPr>
        <w:t>75万元/3年</w:t>
      </w:r>
      <w:r>
        <w:rPr>
          <w:rFonts w:hint="eastAsia"/>
          <w:b/>
          <w:bCs/>
          <w:color w:val="auto"/>
          <w:sz w:val="24"/>
          <w:highlight w:val="none"/>
          <w:lang w:eastAsia="zh-CN"/>
        </w:rPr>
        <w:t>。</w:t>
      </w:r>
      <w:r>
        <w:rPr>
          <w:rFonts w:hint="eastAsia"/>
          <w:b/>
          <w:bCs/>
          <w:color w:val="auto"/>
          <w:sz w:val="24"/>
          <w:highlight w:val="none"/>
        </w:rPr>
        <w:t>超过限价作无效</w:t>
      </w:r>
      <w:r>
        <w:rPr>
          <w:rFonts w:hint="eastAsia"/>
          <w:b/>
          <w:bCs/>
          <w:color w:val="auto"/>
          <w:sz w:val="24"/>
          <w:highlight w:val="none"/>
          <w:lang w:val="en-US" w:eastAsia="zh-CN"/>
        </w:rPr>
        <w:t>响应</w:t>
      </w:r>
      <w:r>
        <w:rPr>
          <w:rFonts w:hint="eastAsia"/>
          <w:b/>
          <w:bCs/>
          <w:color w:val="auto"/>
          <w:sz w:val="24"/>
          <w:highlight w:val="none"/>
        </w:rPr>
        <w:t>处理</w:t>
      </w:r>
      <w:r>
        <w:rPr>
          <w:rFonts w:hint="eastAsia"/>
          <w:b/>
          <w:bCs/>
          <w:color w:val="auto"/>
          <w:sz w:val="24"/>
          <w:highlight w:val="none"/>
          <w:lang w:eastAsia="zh-CN"/>
        </w:rPr>
        <w:t>。</w:t>
      </w:r>
    </w:p>
    <w:p w14:paraId="3518C485">
      <w:pPr>
        <w:autoSpaceDE w:val="0"/>
        <w:autoSpaceDN w:val="0"/>
        <w:adjustRightInd w:val="0"/>
        <w:snapToGrid w:val="0"/>
        <w:spacing w:line="480" w:lineRule="exact"/>
        <w:ind w:firstLine="560"/>
        <w:rPr>
          <w:b/>
          <w:bCs/>
          <w:color w:val="auto"/>
          <w:sz w:val="24"/>
          <w:highlight w:val="none"/>
        </w:rPr>
      </w:pPr>
      <w:r>
        <w:rPr>
          <w:rFonts w:hint="eastAsia"/>
          <w:b/>
          <w:bCs/>
          <w:color w:val="auto"/>
          <w:sz w:val="24"/>
          <w:highlight w:val="none"/>
          <w:lang w:val="en-US" w:eastAsia="zh-CN"/>
        </w:rPr>
        <w:t>计算价格分时均以最后报价中的不含税总报价为准进行计算。</w:t>
      </w:r>
    </w:p>
    <w:p w14:paraId="1A3AF01F">
      <w:pPr>
        <w:autoSpaceDE w:val="0"/>
        <w:autoSpaceDN w:val="0"/>
        <w:adjustRightInd w:val="0"/>
        <w:snapToGrid w:val="0"/>
        <w:spacing w:line="480" w:lineRule="exact"/>
        <w:ind w:firstLine="560"/>
        <w:rPr>
          <w:color w:val="auto"/>
          <w:sz w:val="24"/>
          <w:highlight w:val="none"/>
        </w:rPr>
      </w:pPr>
      <w:r>
        <w:rPr>
          <w:color w:val="auto"/>
          <w:sz w:val="24"/>
          <w:highlight w:val="none"/>
        </w:rPr>
        <w:t>综合评分法中的价格分统一采用低价优先法计算，即满足磋商文件要求且最后报价</w:t>
      </w:r>
      <w:r>
        <w:rPr>
          <w:rFonts w:hint="eastAsia"/>
          <w:color w:val="auto"/>
          <w:sz w:val="24"/>
          <w:highlight w:val="none"/>
          <w:lang w:val="en-US" w:eastAsia="zh-CN"/>
        </w:rPr>
        <w:t>中不含税</w:t>
      </w:r>
      <w:r>
        <w:rPr>
          <w:rFonts w:hint="eastAsia"/>
          <w:b w:val="0"/>
          <w:bCs w:val="0"/>
          <w:color w:val="auto"/>
          <w:sz w:val="24"/>
          <w:highlight w:val="none"/>
          <w:lang w:val="en-US" w:eastAsia="zh-CN"/>
        </w:rPr>
        <w:t>总报价</w:t>
      </w:r>
      <w:r>
        <w:rPr>
          <w:color w:val="auto"/>
          <w:sz w:val="24"/>
          <w:highlight w:val="none"/>
        </w:rPr>
        <w:t>最低的供应商的价格为磋商基准价，其价格分为满分。其他供应商的价格分统一按照下列公式计算：</w:t>
      </w:r>
    </w:p>
    <w:p w14:paraId="1056D692">
      <w:pPr>
        <w:autoSpaceDE w:val="0"/>
        <w:autoSpaceDN w:val="0"/>
        <w:adjustRightInd w:val="0"/>
        <w:snapToGrid w:val="0"/>
        <w:spacing w:line="480" w:lineRule="exact"/>
        <w:ind w:firstLine="560"/>
        <w:rPr>
          <w:rFonts w:hint="default"/>
          <w:color w:val="auto"/>
          <w:sz w:val="24"/>
          <w:highlight w:val="none"/>
          <w:lang w:val="en-US"/>
        </w:rPr>
      </w:pPr>
      <w:r>
        <w:rPr>
          <w:color w:val="auto"/>
          <w:sz w:val="24"/>
          <w:highlight w:val="none"/>
        </w:rPr>
        <w:t>磋商报价得分=（磋商基准价/最后报价）×</w:t>
      </w:r>
      <w:r>
        <w:rPr>
          <w:rFonts w:hint="eastAsia"/>
          <w:color w:val="auto"/>
          <w:sz w:val="24"/>
          <w:highlight w:val="none"/>
          <w:lang w:val="en-US" w:eastAsia="zh-CN"/>
        </w:rPr>
        <w:t>40</w:t>
      </w:r>
    </w:p>
    <w:p w14:paraId="214C46C1">
      <w:pPr>
        <w:autoSpaceDE w:val="0"/>
        <w:autoSpaceDN w:val="0"/>
        <w:adjustRightInd w:val="0"/>
        <w:snapToGrid w:val="0"/>
        <w:spacing w:line="480" w:lineRule="exact"/>
        <w:ind w:firstLine="560"/>
        <w:rPr>
          <w:rFonts w:hint="eastAsia" w:eastAsia="宋体"/>
          <w:color w:val="auto"/>
          <w:sz w:val="24"/>
          <w:highlight w:val="none"/>
          <w:lang w:eastAsia="zh-CN"/>
        </w:rPr>
      </w:pPr>
      <w:r>
        <w:rPr>
          <w:color w:val="auto"/>
          <w:sz w:val="24"/>
          <w:highlight w:val="none"/>
        </w:rPr>
        <w:t>项目评审过程中，不得去掉最后报价中的最高报价和最低报价。分值</w:t>
      </w:r>
      <w:r>
        <w:rPr>
          <w:rFonts w:hint="eastAsia"/>
          <w:color w:val="auto"/>
          <w:sz w:val="24"/>
          <w:highlight w:val="none"/>
          <w:lang w:val="en-US" w:eastAsia="zh-CN"/>
        </w:rPr>
        <w:t>第三位四舍五入后</w:t>
      </w:r>
      <w:r>
        <w:rPr>
          <w:color w:val="auto"/>
          <w:sz w:val="24"/>
          <w:highlight w:val="none"/>
        </w:rPr>
        <w:t>保留小数点两位</w:t>
      </w:r>
      <w:r>
        <w:rPr>
          <w:rFonts w:hint="eastAsia"/>
          <w:color w:val="auto"/>
          <w:sz w:val="24"/>
          <w:highlight w:val="none"/>
          <w:lang w:eastAsia="zh-CN"/>
        </w:rPr>
        <w:t>。</w:t>
      </w:r>
      <w:r>
        <w:rPr>
          <w:rFonts w:hint="eastAsia"/>
          <w:b/>
          <w:bCs/>
          <w:color w:val="auto"/>
          <w:sz w:val="24"/>
          <w:highlight w:val="none"/>
          <w:lang w:eastAsia="zh-CN"/>
        </w:rPr>
        <w:t>最后报价不得高于各自供应商首次报价，否则作无效标处理。</w:t>
      </w:r>
    </w:p>
    <w:p w14:paraId="72A204BB">
      <w:pPr>
        <w:snapToGrid w:val="0"/>
        <w:spacing w:line="480" w:lineRule="exact"/>
        <w:ind w:firstLine="570"/>
        <w:rPr>
          <w:b/>
          <w:color w:val="auto"/>
          <w:kern w:val="0"/>
          <w:sz w:val="24"/>
          <w:highlight w:val="none"/>
        </w:rPr>
      </w:pPr>
      <w:r>
        <w:rPr>
          <w:rFonts w:hint="eastAsia"/>
          <w:b/>
          <w:color w:val="auto"/>
          <w:sz w:val="24"/>
          <w:highlight w:val="none"/>
          <w:lang w:val="en-US" w:eastAsia="zh-CN"/>
        </w:rPr>
        <w:t>六</w:t>
      </w:r>
      <w:r>
        <w:rPr>
          <w:b/>
          <w:color w:val="auto"/>
          <w:sz w:val="24"/>
          <w:highlight w:val="none"/>
          <w:lang w:val="zh-CN"/>
        </w:rPr>
        <w:t>、</w:t>
      </w:r>
      <w:r>
        <w:rPr>
          <w:rFonts w:hint="eastAsia"/>
          <w:b/>
          <w:color w:val="auto"/>
          <w:kern w:val="0"/>
          <w:sz w:val="24"/>
          <w:highlight w:val="none"/>
        </w:rPr>
        <w:t>成交</w:t>
      </w:r>
      <w:r>
        <w:rPr>
          <w:b/>
          <w:color w:val="auto"/>
          <w:kern w:val="0"/>
          <w:sz w:val="24"/>
          <w:highlight w:val="none"/>
        </w:rPr>
        <w:t>人的确定</w:t>
      </w:r>
    </w:p>
    <w:p w14:paraId="4CF4F2FC">
      <w:pPr>
        <w:snapToGrid w:val="0"/>
        <w:spacing w:line="480" w:lineRule="exact"/>
        <w:ind w:firstLine="570"/>
        <w:rPr>
          <w:bCs/>
          <w:color w:val="auto"/>
          <w:sz w:val="24"/>
          <w:highlight w:val="none"/>
        </w:rPr>
      </w:pPr>
      <w:r>
        <w:rPr>
          <w:rFonts w:hint="eastAsia"/>
          <w:bCs/>
          <w:color w:val="auto"/>
          <w:sz w:val="24"/>
          <w:highlight w:val="none"/>
        </w:rPr>
        <w:t>磋商小组</w:t>
      </w:r>
      <w:r>
        <w:rPr>
          <w:rFonts w:hint="eastAsia"/>
          <w:bCs/>
          <w:color w:val="auto"/>
          <w:sz w:val="24"/>
          <w:highlight w:val="none"/>
          <w:lang w:eastAsia="zh-CN"/>
        </w:rPr>
        <w:t>认为</w:t>
      </w:r>
      <w:r>
        <w:rPr>
          <w:rFonts w:hint="eastAsia"/>
          <w:bCs/>
          <w:color w:val="auto"/>
          <w:sz w:val="24"/>
          <w:highlight w:val="none"/>
          <w:lang w:val="en-US" w:eastAsia="zh-CN"/>
        </w:rPr>
        <w:t>供应商</w:t>
      </w:r>
      <w:r>
        <w:rPr>
          <w:bCs/>
          <w:color w:val="auto"/>
          <w:sz w:val="24"/>
          <w:highlight w:val="none"/>
        </w:rPr>
        <w:t>的报价明显低于其他通过符合性审查</w:t>
      </w:r>
      <w:r>
        <w:rPr>
          <w:rFonts w:hint="eastAsia"/>
          <w:bCs/>
          <w:color w:val="auto"/>
          <w:sz w:val="24"/>
          <w:highlight w:val="none"/>
          <w:lang w:val="en-US" w:eastAsia="zh-CN"/>
        </w:rPr>
        <w:t>供应商</w:t>
      </w:r>
      <w:r>
        <w:rPr>
          <w:bCs/>
          <w:color w:val="auto"/>
          <w:sz w:val="24"/>
          <w:highlight w:val="none"/>
        </w:rPr>
        <w:t>的报价，有可能影响产品质量或者不能诚信履约的，应当要求其在合理的时间内提供书面说明，必要时提交相关证明材料；</w:t>
      </w:r>
      <w:r>
        <w:rPr>
          <w:rFonts w:hint="eastAsia"/>
          <w:bCs/>
          <w:color w:val="auto"/>
          <w:sz w:val="24"/>
          <w:highlight w:val="none"/>
          <w:lang w:val="en-US" w:eastAsia="zh-CN"/>
        </w:rPr>
        <w:t>供应商</w:t>
      </w:r>
      <w:r>
        <w:rPr>
          <w:bCs/>
          <w:color w:val="auto"/>
          <w:sz w:val="24"/>
          <w:highlight w:val="none"/>
        </w:rPr>
        <w:t>不能证明其报价合理性的，</w:t>
      </w:r>
      <w:r>
        <w:rPr>
          <w:rFonts w:hint="eastAsia"/>
          <w:bCs/>
          <w:color w:val="auto"/>
          <w:sz w:val="24"/>
          <w:highlight w:val="none"/>
        </w:rPr>
        <w:t>磋商小组</w:t>
      </w:r>
      <w:r>
        <w:rPr>
          <w:bCs/>
          <w:color w:val="auto"/>
          <w:sz w:val="24"/>
          <w:highlight w:val="none"/>
        </w:rPr>
        <w:t>应当将其作为无效</w:t>
      </w:r>
      <w:r>
        <w:rPr>
          <w:rFonts w:hint="eastAsia"/>
          <w:bCs/>
          <w:color w:val="auto"/>
          <w:sz w:val="24"/>
          <w:highlight w:val="none"/>
          <w:lang w:val="en-US" w:eastAsia="zh-CN"/>
        </w:rPr>
        <w:t>响应</w:t>
      </w:r>
      <w:r>
        <w:rPr>
          <w:bCs/>
          <w:color w:val="auto"/>
          <w:sz w:val="24"/>
          <w:highlight w:val="none"/>
        </w:rPr>
        <w:t>处理。</w:t>
      </w:r>
    </w:p>
    <w:p w14:paraId="6158E60D">
      <w:pPr>
        <w:snapToGrid w:val="0"/>
        <w:spacing w:line="480" w:lineRule="exact"/>
        <w:ind w:firstLine="570"/>
        <w:rPr>
          <w:bCs/>
          <w:color w:val="auto"/>
          <w:sz w:val="24"/>
          <w:highlight w:val="none"/>
        </w:rPr>
      </w:pPr>
      <w:r>
        <w:rPr>
          <w:rFonts w:hint="eastAsia"/>
          <w:bCs/>
          <w:color w:val="auto"/>
          <w:sz w:val="24"/>
          <w:highlight w:val="none"/>
        </w:rPr>
        <w:t>磋商小组</w:t>
      </w:r>
      <w:r>
        <w:rPr>
          <w:bCs/>
          <w:color w:val="auto"/>
          <w:sz w:val="24"/>
          <w:highlight w:val="none"/>
        </w:rPr>
        <w:t>对</w:t>
      </w:r>
      <w:r>
        <w:rPr>
          <w:rFonts w:hint="eastAsia" w:cs="Times New Roman"/>
          <w:color w:val="auto"/>
          <w:sz w:val="24"/>
          <w:highlight w:val="none"/>
          <w:lang w:val="en-US" w:eastAsia="zh-CN"/>
        </w:rPr>
        <w:t>成交</w:t>
      </w:r>
      <w:r>
        <w:rPr>
          <w:bCs/>
          <w:color w:val="auto"/>
          <w:sz w:val="24"/>
          <w:highlight w:val="none"/>
        </w:rPr>
        <w:t>候选人报价总表和明细表进行审核，应审核供应商</w:t>
      </w:r>
      <w:r>
        <w:rPr>
          <w:rFonts w:hint="eastAsia"/>
          <w:bCs/>
          <w:color w:val="auto"/>
          <w:sz w:val="24"/>
          <w:highlight w:val="none"/>
          <w:lang w:val="en-US" w:eastAsia="zh-CN"/>
        </w:rPr>
        <w:t>响应</w:t>
      </w:r>
      <w:r>
        <w:rPr>
          <w:bCs/>
          <w:color w:val="auto"/>
          <w:sz w:val="24"/>
          <w:highlight w:val="none"/>
        </w:rPr>
        <w:t>报价是否前后一致、大小写金额是否一致、总价金额与单价汇总金额是否一致。对过高过低报价的并作为</w:t>
      </w:r>
      <w:r>
        <w:rPr>
          <w:rFonts w:hint="eastAsia" w:cs="Times New Roman"/>
          <w:color w:val="auto"/>
          <w:sz w:val="24"/>
          <w:highlight w:val="none"/>
          <w:lang w:val="en-US" w:eastAsia="zh-CN"/>
        </w:rPr>
        <w:t>成交</w:t>
      </w:r>
      <w:r>
        <w:rPr>
          <w:bCs/>
          <w:color w:val="auto"/>
          <w:sz w:val="24"/>
          <w:highlight w:val="none"/>
        </w:rPr>
        <w:t>候选人的，应重点审核报价明细表</w:t>
      </w:r>
      <w:r>
        <w:rPr>
          <w:rFonts w:hint="eastAsia"/>
          <w:bCs/>
          <w:color w:val="auto"/>
          <w:sz w:val="24"/>
          <w:highlight w:val="none"/>
        </w:rPr>
        <w:t>是</w:t>
      </w:r>
      <w:r>
        <w:rPr>
          <w:bCs/>
          <w:color w:val="auto"/>
          <w:sz w:val="24"/>
          <w:highlight w:val="none"/>
        </w:rPr>
        <w:t>否</w:t>
      </w:r>
      <w:r>
        <w:rPr>
          <w:rFonts w:hint="eastAsia"/>
          <w:bCs/>
          <w:color w:val="auto"/>
          <w:sz w:val="24"/>
          <w:highlight w:val="none"/>
        </w:rPr>
        <w:t>有</w:t>
      </w:r>
      <w:r>
        <w:rPr>
          <w:bCs/>
          <w:color w:val="auto"/>
          <w:sz w:val="24"/>
          <w:highlight w:val="none"/>
        </w:rPr>
        <w:t>重大重复报价或漏项报价等情况，一经发现，现场请</w:t>
      </w:r>
      <w:r>
        <w:rPr>
          <w:rFonts w:hint="eastAsia" w:cs="Times New Roman"/>
          <w:color w:val="auto"/>
          <w:sz w:val="24"/>
          <w:highlight w:val="none"/>
          <w:lang w:val="en-US" w:eastAsia="zh-CN"/>
        </w:rPr>
        <w:t>成交</w:t>
      </w:r>
      <w:r>
        <w:rPr>
          <w:bCs/>
          <w:color w:val="auto"/>
          <w:sz w:val="24"/>
          <w:highlight w:val="none"/>
        </w:rPr>
        <w:t>候选人予以澄清，明显过错或不能澄清的，经超半数以上评委认定，有权取消供应商</w:t>
      </w:r>
      <w:r>
        <w:rPr>
          <w:rFonts w:hint="eastAsia" w:cs="Times New Roman"/>
          <w:color w:val="auto"/>
          <w:sz w:val="24"/>
          <w:highlight w:val="none"/>
          <w:lang w:val="en-US" w:eastAsia="zh-CN"/>
        </w:rPr>
        <w:t>成交</w:t>
      </w:r>
      <w:r>
        <w:rPr>
          <w:bCs/>
          <w:color w:val="auto"/>
          <w:sz w:val="24"/>
          <w:highlight w:val="none"/>
        </w:rPr>
        <w:t>候选人资格。</w:t>
      </w:r>
    </w:p>
    <w:p w14:paraId="483DDC67">
      <w:pPr>
        <w:adjustRightInd w:val="0"/>
        <w:snapToGrid w:val="0"/>
        <w:spacing w:line="500" w:lineRule="exact"/>
        <w:ind w:firstLine="570"/>
        <w:rPr>
          <w:color w:val="auto"/>
          <w:sz w:val="24"/>
          <w:highlight w:val="none"/>
        </w:rPr>
      </w:pPr>
      <w:r>
        <w:rPr>
          <w:rFonts w:hint="eastAsia"/>
          <w:bCs/>
          <w:color w:val="auto"/>
          <w:sz w:val="24"/>
          <w:highlight w:val="none"/>
        </w:rPr>
        <w:t>磋商小组</w:t>
      </w:r>
      <w:r>
        <w:rPr>
          <w:color w:val="auto"/>
          <w:sz w:val="24"/>
          <w:highlight w:val="none"/>
        </w:rPr>
        <w:t>会汇总各评委评分后，按照得分从高到低的顺序推荐三名</w:t>
      </w:r>
      <w:r>
        <w:rPr>
          <w:rFonts w:hint="eastAsia" w:cs="Times New Roman"/>
          <w:color w:val="auto"/>
          <w:sz w:val="24"/>
          <w:highlight w:val="none"/>
          <w:lang w:val="en-US" w:eastAsia="zh-CN"/>
        </w:rPr>
        <w:t>成交</w:t>
      </w:r>
      <w:r>
        <w:rPr>
          <w:color w:val="auto"/>
          <w:sz w:val="24"/>
          <w:highlight w:val="none"/>
        </w:rPr>
        <w:t>候选人，并编写</w:t>
      </w:r>
      <w:r>
        <w:rPr>
          <w:rFonts w:hint="eastAsia"/>
          <w:color w:val="auto"/>
          <w:sz w:val="24"/>
          <w:highlight w:val="none"/>
          <w:lang w:val="en-US" w:eastAsia="zh-CN"/>
        </w:rPr>
        <w:t>评审</w:t>
      </w:r>
      <w:r>
        <w:rPr>
          <w:color w:val="auto"/>
          <w:sz w:val="24"/>
          <w:highlight w:val="none"/>
        </w:rPr>
        <w:t>报告。</w:t>
      </w:r>
    </w:p>
    <w:p w14:paraId="0DC00128">
      <w:pPr>
        <w:autoSpaceDE w:val="0"/>
        <w:autoSpaceDN w:val="0"/>
        <w:adjustRightInd w:val="0"/>
        <w:snapToGrid w:val="0"/>
        <w:spacing w:line="480" w:lineRule="exact"/>
        <w:ind w:left="-178" w:right="210" w:firstLine="636"/>
        <w:rPr>
          <w:b/>
          <w:color w:val="auto"/>
          <w:sz w:val="24"/>
          <w:highlight w:val="none"/>
          <w:lang w:val="zh-CN"/>
        </w:rPr>
      </w:pPr>
      <w:r>
        <w:rPr>
          <w:b/>
          <w:color w:val="auto"/>
          <w:sz w:val="24"/>
          <w:highlight w:val="none"/>
        </w:rPr>
        <w:t>采购人</w:t>
      </w:r>
      <w:r>
        <w:rPr>
          <w:bCs/>
          <w:color w:val="auto"/>
          <w:sz w:val="24"/>
          <w:highlight w:val="none"/>
        </w:rPr>
        <w:t>在</w:t>
      </w:r>
      <w:r>
        <w:rPr>
          <w:rFonts w:hint="eastAsia"/>
          <w:bCs/>
          <w:color w:val="auto"/>
          <w:sz w:val="24"/>
          <w:highlight w:val="none"/>
          <w:lang w:val="en-US" w:eastAsia="zh-CN"/>
        </w:rPr>
        <w:t>评审</w:t>
      </w:r>
      <w:r>
        <w:rPr>
          <w:bCs/>
          <w:color w:val="auto"/>
          <w:sz w:val="24"/>
          <w:highlight w:val="none"/>
        </w:rPr>
        <w:t>报告确定的</w:t>
      </w:r>
      <w:r>
        <w:rPr>
          <w:rFonts w:hint="eastAsia"/>
          <w:bCs/>
          <w:color w:val="auto"/>
          <w:sz w:val="24"/>
          <w:highlight w:val="none"/>
        </w:rPr>
        <w:t>成交</w:t>
      </w:r>
      <w:r>
        <w:rPr>
          <w:bCs/>
          <w:color w:val="auto"/>
          <w:sz w:val="24"/>
          <w:highlight w:val="none"/>
        </w:rPr>
        <w:t>候选人名单中按顺序确定</w:t>
      </w:r>
      <w:r>
        <w:rPr>
          <w:rFonts w:hint="eastAsia" w:cs="Times New Roman"/>
          <w:color w:val="auto"/>
          <w:sz w:val="24"/>
          <w:highlight w:val="none"/>
          <w:lang w:val="en-US" w:eastAsia="zh-CN"/>
        </w:rPr>
        <w:t>成交</w:t>
      </w:r>
      <w:r>
        <w:rPr>
          <w:bCs/>
          <w:color w:val="auto"/>
          <w:sz w:val="24"/>
          <w:highlight w:val="none"/>
        </w:rPr>
        <w:t>人。</w:t>
      </w:r>
      <w:r>
        <w:rPr>
          <w:rFonts w:hint="eastAsia" w:cs="Times New Roman"/>
          <w:color w:val="auto"/>
          <w:sz w:val="24"/>
          <w:highlight w:val="none"/>
          <w:lang w:val="en-US" w:eastAsia="zh-CN"/>
        </w:rPr>
        <w:t>成交</w:t>
      </w:r>
      <w:r>
        <w:rPr>
          <w:bCs/>
          <w:color w:val="auto"/>
          <w:sz w:val="24"/>
          <w:highlight w:val="none"/>
        </w:rPr>
        <w:t>候选人并列的，由采购人或者采购人委托</w:t>
      </w:r>
      <w:r>
        <w:rPr>
          <w:rFonts w:hint="eastAsia"/>
          <w:bCs/>
          <w:color w:val="auto"/>
          <w:sz w:val="24"/>
          <w:highlight w:val="none"/>
          <w:lang w:val="en-US" w:eastAsia="zh-CN"/>
        </w:rPr>
        <w:t>磋商小组</w:t>
      </w:r>
      <w:r>
        <w:rPr>
          <w:bCs/>
          <w:color w:val="auto"/>
          <w:sz w:val="24"/>
          <w:highlight w:val="none"/>
        </w:rPr>
        <w:t>按照现场抽签方式确定</w:t>
      </w:r>
      <w:r>
        <w:rPr>
          <w:rFonts w:hint="eastAsia" w:cs="Times New Roman"/>
          <w:color w:val="auto"/>
          <w:sz w:val="24"/>
          <w:highlight w:val="none"/>
          <w:lang w:val="en-US" w:eastAsia="zh-CN"/>
        </w:rPr>
        <w:t>成交</w:t>
      </w:r>
      <w:r>
        <w:rPr>
          <w:bCs/>
          <w:color w:val="auto"/>
          <w:sz w:val="24"/>
          <w:highlight w:val="none"/>
        </w:rPr>
        <w:t>人。</w:t>
      </w:r>
    </w:p>
    <w:p w14:paraId="183C2545">
      <w:pPr>
        <w:autoSpaceDE w:val="0"/>
        <w:autoSpaceDN w:val="0"/>
        <w:adjustRightInd w:val="0"/>
        <w:snapToGrid w:val="0"/>
        <w:spacing w:line="480" w:lineRule="exact"/>
        <w:ind w:left="-178" w:right="210" w:firstLine="636"/>
        <w:rPr>
          <w:b/>
          <w:color w:val="auto"/>
          <w:sz w:val="24"/>
          <w:highlight w:val="none"/>
          <w:lang w:val="zh-CN"/>
        </w:rPr>
      </w:pPr>
      <w:r>
        <w:rPr>
          <w:rFonts w:hint="eastAsia"/>
          <w:b/>
          <w:color w:val="auto"/>
          <w:sz w:val="24"/>
          <w:highlight w:val="none"/>
          <w:lang w:val="en-US" w:eastAsia="zh-CN"/>
        </w:rPr>
        <w:t>七、</w:t>
      </w:r>
      <w:r>
        <w:rPr>
          <w:b/>
          <w:color w:val="auto"/>
          <w:sz w:val="24"/>
          <w:highlight w:val="none"/>
          <w:lang w:val="zh-CN"/>
        </w:rPr>
        <w:t>成交通知</w:t>
      </w:r>
    </w:p>
    <w:p w14:paraId="368201F3">
      <w:pPr>
        <w:snapToGrid w:val="0"/>
        <w:spacing w:line="480" w:lineRule="exact"/>
        <w:ind w:firstLine="480" w:firstLineChars="200"/>
        <w:rPr>
          <w:color w:val="auto"/>
          <w:sz w:val="24"/>
          <w:highlight w:val="none"/>
        </w:rPr>
      </w:pPr>
      <w:r>
        <w:rPr>
          <w:color w:val="auto"/>
          <w:sz w:val="24"/>
          <w:highlight w:val="none"/>
        </w:rPr>
        <w:t>成交结果在</w:t>
      </w:r>
      <w:r>
        <w:rPr>
          <w:rFonts w:hint="eastAsia"/>
          <w:color w:val="auto"/>
          <w:sz w:val="24"/>
          <w:highlight w:val="none"/>
          <w:lang w:val="en-US" w:eastAsia="zh-CN"/>
        </w:rPr>
        <w:t>南通网、南通市公共资源交易网</w:t>
      </w:r>
      <w:r>
        <w:rPr>
          <w:color w:val="auto"/>
          <w:sz w:val="24"/>
          <w:highlight w:val="none"/>
        </w:rPr>
        <w:t>公告，公告期限为1个工作日。《成交通知书》一经发出，采购人改变成交结果，或者成交供应商放弃成交的，各自承担相应的法律责任。《成交通知书》是采购合同的组成部分。</w:t>
      </w:r>
    </w:p>
    <w:p w14:paraId="43895D06">
      <w:pPr>
        <w:autoSpaceDE w:val="0"/>
        <w:autoSpaceDN w:val="0"/>
        <w:adjustRightInd w:val="0"/>
        <w:snapToGrid w:val="0"/>
        <w:spacing w:line="480" w:lineRule="exact"/>
        <w:ind w:left="-178" w:right="210" w:firstLine="636"/>
        <w:rPr>
          <w:rFonts w:hint="eastAsia" w:ascii="Times New Roman" w:hAnsi="Times New Roman" w:eastAsia="宋体" w:cs="Times New Roman"/>
          <w:b/>
          <w:color w:val="auto"/>
          <w:sz w:val="24"/>
          <w:highlight w:val="none"/>
          <w:lang w:val="en-US" w:eastAsia="zh-CN"/>
        </w:rPr>
      </w:pPr>
      <w:r>
        <w:rPr>
          <w:rFonts w:hint="eastAsia" w:ascii="Times New Roman" w:hAnsi="Times New Roman" w:eastAsia="宋体" w:cs="Times New Roman"/>
          <w:b/>
          <w:color w:val="auto"/>
          <w:sz w:val="24"/>
          <w:highlight w:val="none"/>
          <w:lang w:val="en-US" w:eastAsia="zh-CN"/>
        </w:rPr>
        <w:t>十、</w:t>
      </w:r>
      <w:r>
        <w:rPr>
          <w:rFonts w:ascii="Times New Roman" w:hAnsi="Times New Roman" w:eastAsia="宋体" w:cs="Times New Roman"/>
          <w:b/>
          <w:color w:val="auto"/>
          <w:sz w:val="24"/>
          <w:highlight w:val="none"/>
          <w:lang w:val="zh-CN"/>
        </w:rPr>
        <w:t>发放</w:t>
      </w:r>
      <w:r>
        <w:rPr>
          <w:rFonts w:hint="eastAsia" w:ascii="Times New Roman" w:hAnsi="Times New Roman" w:eastAsia="宋体" w:cs="Times New Roman"/>
          <w:b/>
          <w:color w:val="auto"/>
          <w:sz w:val="24"/>
          <w:highlight w:val="none"/>
          <w:lang w:val="zh-CN"/>
        </w:rPr>
        <w:t>成交</w:t>
      </w:r>
      <w:r>
        <w:rPr>
          <w:rFonts w:ascii="Times New Roman" w:hAnsi="Times New Roman" w:eastAsia="宋体" w:cs="Times New Roman"/>
          <w:b/>
          <w:color w:val="auto"/>
          <w:sz w:val="24"/>
          <w:highlight w:val="none"/>
          <w:lang w:val="zh-CN"/>
        </w:rPr>
        <w:t>通知书</w:t>
      </w:r>
    </w:p>
    <w:p w14:paraId="3FA443C5">
      <w:pPr>
        <w:autoSpaceDE w:val="0"/>
        <w:autoSpaceDN w:val="0"/>
        <w:adjustRightInd w:val="0"/>
        <w:snapToGrid w:val="0"/>
        <w:spacing w:line="480" w:lineRule="exact"/>
        <w:ind w:left="-178" w:right="210" w:firstLine="636"/>
        <w:rPr>
          <w:rFonts w:hint="eastAsia" w:ascii="Times New Roman" w:hAnsi="Times New Roman" w:eastAsia="宋体" w:cs="Times New Roman"/>
          <w:b w:val="0"/>
          <w:bCs/>
          <w:color w:val="auto"/>
          <w:sz w:val="24"/>
          <w:highlight w:val="none"/>
          <w:lang w:val="en-US" w:eastAsia="zh-CN"/>
        </w:rPr>
      </w:pPr>
      <w:r>
        <w:rPr>
          <w:rFonts w:hint="eastAsia" w:ascii="Times New Roman" w:hAnsi="Times New Roman" w:eastAsia="宋体" w:cs="Times New Roman"/>
          <w:b w:val="0"/>
          <w:bCs/>
          <w:color w:val="auto"/>
          <w:sz w:val="24"/>
          <w:highlight w:val="none"/>
          <w:lang w:val="en-US" w:eastAsia="zh-CN"/>
        </w:rPr>
        <w:t>成交通知书发放条件和途径：发布</w:t>
      </w:r>
      <w:r>
        <w:rPr>
          <w:rFonts w:hint="eastAsia" w:cs="Times New Roman"/>
          <w:color w:val="auto"/>
          <w:sz w:val="24"/>
          <w:highlight w:val="none"/>
          <w:lang w:val="en-US" w:eastAsia="zh-CN"/>
        </w:rPr>
        <w:t>成交</w:t>
      </w:r>
      <w:r>
        <w:rPr>
          <w:rFonts w:hint="eastAsia" w:ascii="Times New Roman" w:hAnsi="Times New Roman" w:eastAsia="宋体" w:cs="Times New Roman"/>
          <w:b w:val="0"/>
          <w:bCs/>
          <w:color w:val="auto"/>
          <w:sz w:val="24"/>
          <w:highlight w:val="none"/>
          <w:lang w:val="en-US" w:eastAsia="zh-CN"/>
        </w:rPr>
        <w:t>结果公告的同时，采购人或者采购代理机构应当向</w:t>
      </w:r>
      <w:r>
        <w:rPr>
          <w:rFonts w:hint="eastAsia" w:cs="Times New Roman"/>
          <w:color w:val="auto"/>
          <w:sz w:val="24"/>
          <w:highlight w:val="none"/>
          <w:lang w:val="en-US" w:eastAsia="zh-CN"/>
        </w:rPr>
        <w:t>成交</w:t>
      </w:r>
      <w:r>
        <w:rPr>
          <w:rFonts w:hint="eastAsia" w:ascii="Times New Roman" w:hAnsi="Times New Roman" w:eastAsia="宋体" w:cs="Times New Roman"/>
          <w:b w:val="0"/>
          <w:bCs/>
          <w:color w:val="auto"/>
          <w:sz w:val="24"/>
          <w:highlight w:val="none"/>
          <w:lang w:val="en-US" w:eastAsia="zh-CN"/>
        </w:rPr>
        <w:t>人发放</w:t>
      </w:r>
      <w:r>
        <w:rPr>
          <w:rFonts w:hint="eastAsia" w:cs="Times New Roman"/>
          <w:color w:val="auto"/>
          <w:sz w:val="24"/>
          <w:highlight w:val="none"/>
          <w:lang w:val="en-US" w:eastAsia="zh-CN"/>
        </w:rPr>
        <w:t>成交</w:t>
      </w:r>
      <w:r>
        <w:rPr>
          <w:rFonts w:hint="eastAsia" w:ascii="Times New Roman" w:hAnsi="Times New Roman" w:eastAsia="宋体" w:cs="Times New Roman"/>
          <w:b w:val="0"/>
          <w:bCs/>
          <w:color w:val="auto"/>
          <w:sz w:val="24"/>
          <w:highlight w:val="none"/>
          <w:lang w:val="en-US" w:eastAsia="zh-CN"/>
        </w:rPr>
        <w:t>通知书。领取地址：</w:t>
      </w:r>
      <w:r>
        <w:rPr>
          <w:rFonts w:hint="eastAsia" w:ascii="Times New Roman" w:hAnsi="Times New Roman" w:eastAsia="宋体" w:cs="Times New Roman"/>
          <w:b w:val="0"/>
          <w:bCs/>
          <w:color w:val="auto"/>
          <w:sz w:val="24"/>
          <w:highlight w:val="none"/>
          <w:u w:val="single"/>
          <w:lang w:val="en-US" w:eastAsia="zh-CN"/>
        </w:rPr>
        <w:t>南通市星城路299号创源科技园3号楼5楼501室</w:t>
      </w:r>
      <w:r>
        <w:rPr>
          <w:rFonts w:hint="eastAsia" w:ascii="Times New Roman" w:hAnsi="Times New Roman" w:eastAsia="宋体" w:cs="Times New Roman"/>
          <w:b w:val="0"/>
          <w:bCs/>
          <w:color w:val="auto"/>
          <w:sz w:val="24"/>
          <w:highlight w:val="none"/>
          <w:lang w:val="en-US" w:eastAsia="zh-CN"/>
        </w:rPr>
        <w:t xml:space="preserve"> ，电话：</w:t>
      </w:r>
      <w:r>
        <w:rPr>
          <w:rFonts w:hint="eastAsia" w:cs="Times New Roman"/>
          <w:b w:val="0"/>
          <w:bCs/>
          <w:color w:val="auto"/>
          <w:sz w:val="24"/>
          <w:highlight w:val="none"/>
          <w:u w:val="single"/>
          <w:lang w:val="en-US" w:eastAsia="zh-CN"/>
        </w:rPr>
        <w:t>18012222810</w:t>
      </w:r>
      <w:r>
        <w:rPr>
          <w:rFonts w:hint="eastAsia" w:ascii="Times New Roman" w:hAnsi="Times New Roman" w:eastAsia="宋体" w:cs="Times New Roman"/>
          <w:b w:val="0"/>
          <w:bCs/>
          <w:color w:val="auto"/>
          <w:sz w:val="24"/>
          <w:highlight w:val="none"/>
          <w:lang w:val="en-US" w:eastAsia="zh-CN"/>
        </w:rPr>
        <w:t>。</w:t>
      </w:r>
    </w:p>
    <w:p w14:paraId="05E478A4">
      <w:pPr>
        <w:autoSpaceDE w:val="0"/>
        <w:autoSpaceDN w:val="0"/>
        <w:adjustRightInd w:val="0"/>
        <w:snapToGrid w:val="0"/>
        <w:spacing w:line="480" w:lineRule="exact"/>
        <w:ind w:left="-178" w:right="210" w:firstLine="636"/>
        <w:rPr>
          <w:rFonts w:hint="eastAsia" w:ascii="Times New Roman" w:hAnsi="Times New Roman" w:eastAsia="宋体" w:cs="Times New Roman"/>
          <w:b w:val="0"/>
          <w:bCs/>
          <w:color w:val="auto"/>
          <w:sz w:val="24"/>
          <w:highlight w:val="none"/>
          <w:lang w:val="en-US" w:eastAsia="zh-CN"/>
        </w:rPr>
      </w:pPr>
      <w:r>
        <w:rPr>
          <w:rFonts w:hint="eastAsia" w:cs="Times New Roman"/>
          <w:color w:val="auto"/>
          <w:sz w:val="24"/>
          <w:highlight w:val="none"/>
          <w:lang w:val="en-US" w:eastAsia="zh-CN"/>
        </w:rPr>
        <w:t>成交</w:t>
      </w:r>
      <w:r>
        <w:rPr>
          <w:rFonts w:hint="eastAsia" w:ascii="Times New Roman" w:hAnsi="Times New Roman" w:eastAsia="宋体" w:cs="Times New Roman"/>
          <w:b w:val="0"/>
          <w:bCs/>
          <w:color w:val="auto"/>
          <w:sz w:val="24"/>
          <w:highlight w:val="none"/>
          <w:lang w:val="en-US" w:eastAsia="zh-CN"/>
        </w:rPr>
        <w:t>通知书发出后，采购人不得违法改变成交结果，</w:t>
      </w:r>
      <w:r>
        <w:rPr>
          <w:rFonts w:hint="eastAsia" w:cs="Times New Roman"/>
          <w:color w:val="auto"/>
          <w:sz w:val="24"/>
          <w:highlight w:val="none"/>
          <w:lang w:val="en-US" w:eastAsia="zh-CN"/>
        </w:rPr>
        <w:t>成交</w:t>
      </w:r>
      <w:r>
        <w:rPr>
          <w:rFonts w:hint="eastAsia" w:ascii="Times New Roman" w:hAnsi="Times New Roman" w:eastAsia="宋体" w:cs="Times New Roman"/>
          <w:b w:val="0"/>
          <w:bCs/>
          <w:color w:val="auto"/>
          <w:sz w:val="24"/>
          <w:highlight w:val="none"/>
          <w:lang w:val="en-US" w:eastAsia="zh-CN"/>
        </w:rPr>
        <w:t>供应商无正当理由不得放弃</w:t>
      </w:r>
      <w:r>
        <w:rPr>
          <w:rFonts w:hint="eastAsia" w:cs="Times New Roman"/>
          <w:color w:val="auto"/>
          <w:sz w:val="24"/>
          <w:highlight w:val="none"/>
          <w:lang w:val="en-US" w:eastAsia="zh-CN"/>
        </w:rPr>
        <w:t>成交</w:t>
      </w:r>
      <w:r>
        <w:rPr>
          <w:rFonts w:hint="eastAsia" w:ascii="Times New Roman" w:hAnsi="Times New Roman" w:eastAsia="宋体" w:cs="Times New Roman"/>
          <w:b w:val="0"/>
          <w:bCs/>
          <w:color w:val="auto"/>
          <w:sz w:val="24"/>
          <w:highlight w:val="none"/>
          <w:lang w:val="en-US" w:eastAsia="zh-CN"/>
        </w:rPr>
        <w:t>。</w:t>
      </w:r>
    </w:p>
    <w:p w14:paraId="2EA4E6F6">
      <w:pPr>
        <w:snapToGrid w:val="0"/>
        <w:spacing w:line="480" w:lineRule="exact"/>
        <w:ind w:firstLine="477" w:firstLineChars="198"/>
        <w:rPr>
          <w:b/>
          <w:color w:val="auto"/>
          <w:sz w:val="24"/>
          <w:highlight w:val="none"/>
        </w:rPr>
      </w:pPr>
      <w:r>
        <w:rPr>
          <w:rFonts w:hint="eastAsia"/>
          <w:b/>
          <w:color w:val="auto"/>
          <w:sz w:val="24"/>
          <w:highlight w:val="none"/>
          <w:lang w:val="en-US" w:eastAsia="zh-CN"/>
        </w:rPr>
        <w:t>十一</w:t>
      </w:r>
      <w:r>
        <w:rPr>
          <w:b/>
          <w:color w:val="auto"/>
          <w:sz w:val="24"/>
          <w:highlight w:val="none"/>
        </w:rPr>
        <w:t>、其他注意事项</w:t>
      </w:r>
    </w:p>
    <w:p w14:paraId="07EF40BD">
      <w:pPr>
        <w:snapToGrid w:val="0"/>
        <w:spacing w:line="480" w:lineRule="exact"/>
        <w:ind w:firstLine="570"/>
        <w:rPr>
          <w:color w:val="auto"/>
          <w:sz w:val="24"/>
          <w:highlight w:val="none"/>
        </w:rPr>
      </w:pPr>
      <w:r>
        <w:rPr>
          <w:color w:val="auto"/>
          <w:sz w:val="24"/>
          <w:highlight w:val="none"/>
        </w:rPr>
        <w:t>1、在</w:t>
      </w:r>
      <w:r>
        <w:rPr>
          <w:rFonts w:hint="eastAsia"/>
          <w:color w:val="auto"/>
          <w:sz w:val="24"/>
          <w:highlight w:val="none"/>
          <w:lang w:val="en-US" w:eastAsia="zh-CN"/>
        </w:rPr>
        <w:t>采购活动过程中</w:t>
      </w:r>
      <w:r>
        <w:rPr>
          <w:color w:val="auto"/>
          <w:sz w:val="24"/>
          <w:highlight w:val="none"/>
        </w:rPr>
        <w:t>，</w:t>
      </w:r>
      <w:r>
        <w:rPr>
          <w:rFonts w:hint="eastAsia"/>
          <w:color w:val="auto"/>
          <w:sz w:val="24"/>
          <w:highlight w:val="none"/>
          <w:lang w:val="en-US" w:eastAsia="zh-CN"/>
        </w:rPr>
        <w:t>供应商</w:t>
      </w:r>
      <w:r>
        <w:rPr>
          <w:color w:val="auto"/>
          <w:sz w:val="24"/>
          <w:highlight w:val="none"/>
        </w:rPr>
        <w:t>不得向</w:t>
      </w:r>
      <w:r>
        <w:rPr>
          <w:rFonts w:hint="eastAsia"/>
          <w:bCs/>
          <w:color w:val="auto"/>
          <w:sz w:val="24"/>
          <w:highlight w:val="none"/>
        </w:rPr>
        <w:t>磋商小组</w:t>
      </w:r>
      <w:r>
        <w:rPr>
          <w:color w:val="auto"/>
          <w:sz w:val="24"/>
          <w:highlight w:val="none"/>
        </w:rPr>
        <w:t>询问情况，不得进行旨在影响</w:t>
      </w:r>
      <w:r>
        <w:rPr>
          <w:rFonts w:hint="eastAsia"/>
          <w:color w:val="auto"/>
          <w:sz w:val="24"/>
          <w:highlight w:val="none"/>
          <w:lang w:val="en-US" w:eastAsia="zh-CN"/>
        </w:rPr>
        <w:t>评审</w:t>
      </w:r>
      <w:r>
        <w:rPr>
          <w:color w:val="auto"/>
          <w:sz w:val="24"/>
          <w:highlight w:val="none"/>
        </w:rPr>
        <w:t>结果的活动。</w:t>
      </w:r>
    </w:p>
    <w:p w14:paraId="0594D99C">
      <w:pPr>
        <w:snapToGrid w:val="0"/>
        <w:spacing w:line="480" w:lineRule="exact"/>
        <w:ind w:firstLine="570"/>
        <w:rPr>
          <w:color w:val="auto"/>
          <w:sz w:val="24"/>
          <w:highlight w:val="none"/>
        </w:rPr>
      </w:pPr>
      <w:r>
        <w:rPr>
          <w:color w:val="auto"/>
          <w:sz w:val="24"/>
          <w:highlight w:val="none"/>
        </w:rPr>
        <w:t>2、</w:t>
      </w:r>
      <w:r>
        <w:rPr>
          <w:rFonts w:hint="eastAsia"/>
          <w:bCs/>
          <w:color w:val="auto"/>
          <w:sz w:val="24"/>
          <w:highlight w:val="none"/>
        </w:rPr>
        <w:t>磋商小组</w:t>
      </w:r>
      <w:r>
        <w:rPr>
          <w:color w:val="auto"/>
          <w:sz w:val="24"/>
          <w:highlight w:val="none"/>
        </w:rPr>
        <w:t>不得向</w:t>
      </w:r>
      <w:r>
        <w:rPr>
          <w:rFonts w:hint="eastAsia"/>
          <w:color w:val="auto"/>
          <w:sz w:val="24"/>
          <w:highlight w:val="none"/>
          <w:lang w:val="en-US" w:eastAsia="zh-CN"/>
        </w:rPr>
        <w:t>供应商</w:t>
      </w:r>
      <w:r>
        <w:rPr>
          <w:color w:val="auto"/>
          <w:sz w:val="24"/>
          <w:highlight w:val="none"/>
        </w:rPr>
        <w:t>解释落标原因。</w:t>
      </w:r>
    </w:p>
    <w:p w14:paraId="15E30C21">
      <w:pPr>
        <w:snapToGrid w:val="0"/>
        <w:spacing w:line="480" w:lineRule="exact"/>
        <w:ind w:firstLine="570"/>
        <w:rPr>
          <w:color w:val="auto"/>
          <w:sz w:val="24"/>
          <w:highlight w:val="none"/>
        </w:rPr>
      </w:pPr>
      <w:r>
        <w:rPr>
          <w:color w:val="auto"/>
          <w:sz w:val="24"/>
          <w:highlight w:val="none"/>
        </w:rPr>
        <w:t>3、在</w:t>
      </w:r>
      <w:r>
        <w:rPr>
          <w:rFonts w:hint="eastAsia"/>
          <w:color w:val="auto"/>
          <w:sz w:val="24"/>
          <w:highlight w:val="none"/>
          <w:lang w:val="en-US" w:eastAsia="zh-CN"/>
        </w:rPr>
        <w:t>采购活动</w:t>
      </w:r>
      <w:r>
        <w:rPr>
          <w:color w:val="auto"/>
          <w:sz w:val="24"/>
          <w:highlight w:val="none"/>
        </w:rPr>
        <w:t>过程中，如果</w:t>
      </w:r>
      <w:r>
        <w:rPr>
          <w:rFonts w:hint="eastAsia"/>
          <w:color w:val="auto"/>
          <w:sz w:val="24"/>
          <w:highlight w:val="none"/>
          <w:lang w:val="en-US" w:eastAsia="zh-CN"/>
        </w:rPr>
        <w:t>供应商</w:t>
      </w:r>
      <w:r>
        <w:rPr>
          <w:color w:val="auto"/>
          <w:sz w:val="24"/>
          <w:highlight w:val="none"/>
        </w:rPr>
        <w:t>联合故意抬高报价或出现其他不正当行为，采购人有权中止</w:t>
      </w:r>
      <w:r>
        <w:rPr>
          <w:rFonts w:hint="eastAsia"/>
          <w:color w:val="auto"/>
          <w:sz w:val="24"/>
          <w:highlight w:val="none"/>
          <w:lang w:val="en-US" w:eastAsia="zh-CN"/>
        </w:rPr>
        <w:t>采购活动</w:t>
      </w:r>
      <w:r>
        <w:rPr>
          <w:color w:val="auto"/>
          <w:sz w:val="24"/>
          <w:highlight w:val="none"/>
        </w:rPr>
        <w:t>。</w:t>
      </w:r>
    </w:p>
    <w:p w14:paraId="5C8ACFF1">
      <w:pPr>
        <w:snapToGrid w:val="0"/>
        <w:spacing w:line="480" w:lineRule="exact"/>
        <w:ind w:firstLine="570"/>
        <w:rPr>
          <w:color w:val="auto"/>
          <w:sz w:val="24"/>
          <w:highlight w:val="none"/>
        </w:rPr>
      </w:pPr>
      <w:r>
        <w:rPr>
          <w:color w:val="auto"/>
          <w:sz w:val="24"/>
          <w:highlight w:val="none"/>
        </w:rPr>
        <w:t>4、凡在</w:t>
      </w:r>
      <w:r>
        <w:rPr>
          <w:rFonts w:hint="eastAsia"/>
          <w:color w:val="auto"/>
          <w:sz w:val="24"/>
          <w:highlight w:val="none"/>
          <w:lang w:val="en-US" w:eastAsia="zh-CN"/>
        </w:rPr>
        <w:t>采购活动</w:t>
      </w:r>
      <w:r>
        <w:rPr>
          <w:color w:val="auto"/>
          <w:sz w:val="24"/>
          <w:highlight w:val="none"/>
        </w:rPr>
        <w:t>过程中，已提示是否异议的事项，</w:t>
      </w:r>
      <w:r>
        <w:rPr>
          <w:rFonts w:hint="eastAsia"/>
          <w:color w:val="auto"/>
          <w:sz w:val="24"/>
          <w:highlight w:val="none"/>
          <w:lang w:val="en-US" w:eastAsia="zh-CN"/>
        </w:rPr>
        <w:t>供应商</w:t>
      </w:r>
      <w:r>
        <w:rPr>
          <w:color w:val="auto"/>
          <w:sz w:val="24"/>
          <w:highlight w:val="none"/>
        </w:rPr>
        <w:t>当时没有提出异议的，事后不得针对上述事项提出质疑。</w:t>
      </w:r>
    </w:p>
    <w:p w14:paraId="0B75A436">
      <w:pPr>
        <w:autoSpaceDE w:val="0"/>
        <w:autoSpaceDN w:val="0"/>
        <w:adjustRightInd w:val="0"/>
        <w:snapToGrid w:val="0"/>
        <w:spacing w:line="480" w:lineRule="exact"/>
        <w:ind w:left="-178" w:right="210" w:firstLine="636"/>
        <w:jc w:val="center"/>
        <w:rPr>
          <w:rFonts w:asciiTheme="minorEastAsia" w:hAnsiTheme="minorEastAsia" w:eastAsiaTheme="minorEastAsia"/>
          <w:b/>
          <w:color w:val="auto"/>
          <w:sz w:val="36"/>
          <w:szCs w:val="36"/>
          <w:highlight w:val="none"/>
        </w:rPr>
      </w:pPr>
      <w:r>
        <w:rPr>
          <w:rFonts w:ascii="仿宋_GB2312" w:hAnsi="宋体" w:eastAsia="仿宋_GB2312" w:cs="宋体"/>
          <w:color w:val="auto"/>
          <w:kern w:val="0"/>
          <w:sz w:val="28"/>
          <w:szCs w:val="28"/>
          <w:highlight w:val="none"/>
          <w:lang w:val="zh-CN"/>
        </w:rPr>
        <w:br w:type="page"/>
      </w:r>
      <w:r>
        <w:rPr>
          <w:rFonts w:hint="eastAsia" w:asciiTheme="minorEastAsia" w:hAnsiTheme="minorEastAsia" w:eastAsiaTheme="minorEastAsia"/>
          <w:b/>
          <w:color w:val="auto"/>
          <w:sz w:val="36"/>
          <w:szCs w:val="36"/>
          <w:highlight w:val="none"/>
        </w:rPr>
        <w:t>第五部分  合同签订与验收付款</w:t>
      </w:r>
    </w:p>
    <w:p w14:paraId="7A4C6395">
      <w:pPr>
        <w:snapToGrid w:val="0"/>
        <w:spacing w:line="480" w:lineRule="exact"/>
        <w:ind w:firstLine="480" w:firstLineChars="200"/>
        <w:rPr>
          <w:color w:val="auto"/>
          <w:sz w:val="24"/>
          <w:highlight w:val="none"/>
          <w:lang w:val="zh-CN"/>
        </w:rPr>
      </w:pPr>
      <w:r>
        <w:rPr>
          <w:color w:val="auto"/>
          <w:sz w:val="24"/>
          <w:highlight w:val="none"/>
          <w:lang w:val="zh-CN"/>
        </w:rPr>
        <w:t>一、成交供应商和采购单位</w:t>
      </w:r>
      <w:r>
        <w:rPr>
          <w:rFonts w:hint="eastAsia" w:ascii="宋体" w:hAnsi="宋体"/>
          <w:color w:val="auto"/>
          <w:sz w:val="24"/>
          <w:highlight w:val="none"/>
        </w:rPr>
        <w:t>需在</w:t>
      </w:r>
      <w:r>
        <w:rPr>
          <w:color w:val="auto"/>
          <w:sz w:val="24"/>
          <w:highlight w:val="none"/>
          <w:lang w:val="zh-CN"/>
        </w:rPr>
        <w:t>《成交通知书》</w:t>
      </w:r>
      <w:r>
        <w:rPr>
          <w:rFonts w:hint="eastAsia"/>
          <w:color w:val="auto"/>
          <w:sz w:val="24"/>
          <w:highlight w:val="none"/>
        </w:rPr>
        <w:t>发出之日起</w:t>
      </w:r>
      <w:r>
        <w:rPr>
          <w:rFonts w:hint="eastAsia"/>
          <w:color w:val="auto"/>
          <w:sz w:val="24"/>
          <w:highlight w:val="none"/>
          <w:lang w:val="en-US" w:eastAsia="zh-CN"/>
        </w:rPr>
        <w:t>10</w:t>
      </w:r>
      <w:r>
        <w:rPr>
          <w:rFonts w:hint="eastAsia"/>
          <w:color w:val="auto"/>
          <w:sz w:val="24"/>
          <w:highlight w:val="none"/>
        </w:rPr>
        <w:t>日内</w:t>
      </w:r>
      <w:r>
        <w:rPr>
          <w:rFonts w:hint="eastAsia" w:ascii="宋体" w:hAnsi="宋体"/>
          <w:color w:val="auto"/>
          <w:sz w:val="24"/>
          <w:highlight w:val="none"/>
        </w:rPr>
        <w:t>签订合同</w:t>
      </w:r>
      <w:r>
        <w:rPr>
          <w:color w:val="auto"/>
          <w:sz w:val="24"/>
          <w:highlight w:val="none"/>
          <w:lang w:val="zh-CN"/>
        </w:rPr>
        <w:t>。合同签订后成交供应商方可履约，否则引起的一切后果由成交人自行承</w:t>
      </w:r>
      <w:r>
        <w:rPr>
          <w:color w:val="auto"/>
          <w:sz w:val="24"/>
          <w:highlight w:val="none"/>
        </w:rPr>
        <w:t>担。纸质合同一式</w:t>
      </w:r>
      <w:r>
        <w:rPr>
          <w:rFonts w:hint="eastAsia"/>
          <w:color w:val="auto"/>
          <w:sz w:val="24"/>
          <w:highlight w:val="none"/>
          <w:lang w:val="en-US" w:eastAsia="zh-CN"/>
        </w:rPr>
        <w:t>肆</w:t>
      </w:r>
      <w:r>
        <w:rPr>
          <w:color w:val="auto"/>
          <w:sz w:val="24"/>
          <w:highlight w:val="none"/>
        </w:rPr>
        <w:t>份，采购人、供应商各两份</w:t>
      </w:r>
      <w:r>
        <w:rPr>
          <w:rFonts w:hint="eastAsia"/>
          <w:color w:val="auto"/>
          <w:sz w:val="24"/>
          <w:highlight w:val="none"/>
        </w:rPr>
        <w:t>。</w:t>
      </w:r>
      <w:r>
        <w:rPr>
          <w:color w:val="auto"/>
          <w:sz w:val="24"/>
          <w:highlight w:val="none"/>
          <w:lang w:val="zh-CN"/>
        </w:rPr>
        <w:t>采购单位不得向成交供应商提出不合理的要求作为签订合同的条件，不得与成交供应商私下订立背离采购文件实质性内容的协议。</w:t>
      </w:r>
    </w:p>
    <w:p w14:paraId="70E6F362">
      <w:pPr>
        <w:snapToGrid w:val="0"/>
        <w:spacing w:line="480" w:lineRule="exact"/>
        <w:ind w:firstLine="482" w:firstLineChars="200"/>
        <w:rPr>
          <w:color w:val="auto"/>
          <w:sz w:val="24"/>
          <w:highlight w:val="none"/>
        </w:rPr>
      </w:pPr>
      <w:r>
        <w:rPr>
          <w:b/>
          <w:color w:val="auto"/>
          <w:sz w:val="24"/>
          <w:highlight w:val="none"/>
        </w:rPr>
        <w:t>二</w:t>
      </w:r>
      <w:r>
        <w:rPr>
          <w:color w:val="auto"/>
          <w:sz w:val="24"/>
          <w:highlight w:val="none"/>
        </w:rPr>
        <w:t>、采购人按合同约定积极配合成交供应商履约，成交供应商履约到位后，请以书面形式向采购单位提出验收申请，采购人接到申请后及时组织相关专业技术人员，必要时邀请采购人、质检等部门共同参与验收，并出具验收报告，验收合格的支付相应款项。</w:t>
      </w:r>
    </w:p>
    <w:p w14:paraId="5D39007E">
      <w:pPr>
        <w:snapToGrid w:val="0"/>
        <w:spacing w:line="480" w:lineRule="exact"/>
        <w:ind w:firstLine="480" w:firstLineChars="200"/>
        <w:contextualSpacing/>
        <w:rPr>
          <w:color w:val="auto"/>
          <w:sz w:val="24"/>
          <w:highlight w:val="none"/>
        </w:rPr>
      </w:pPr>
      <w:r>
        <w:rPr>
          <w:color w:val="auto"/>
          <w:sz w:val="24"/>
          <w:highlight w:val="none"/>
        </w:rPr>
        <w:t>三、采购人故意推迟项目验收时间的，与成交供应商串通或要求成交供应商通过减少货物数量或降低服务标准的，在履行合同中采取更改配置、调换物品等手段的，要求成交供应商出具虚假发票或任意更改销售发票的，谋取不正当利益的，承担相应的法律责任。</w:t>
      </w:r>
    </w:p>
    <w:p w14:paraId="299D3CDC">
      <w:pPr>
        <w:snapToGrid w:val="0"/>
        <w:spacing w:line="480" w:lineRule="exact"/>
        <w:ind w:firstLine="480" w:firstLineChars="200"/>
        <w:contextualSpacing/>
        <w:rPr>
          <w:color w:val="auto"/>
          <w:sz w:val="24"/>
          <w:highlight w:val="none"/>
        </w:rPr>
      </w:pPr>
      <w:r>
        <w:rPr>
          <w:color w:val="auto"/>
          <w:sz w:val="24"/>
          <w:highlight w:val="none"/>
        </w:rPr>
        <w:t>四、成交供应商出现违约情形，应当及时纠正或补偿；造成损失的，按合同约定追究违约责任；发现有假冒、伪劣、走私产品、商业贿赂等违法情形的，应由采购人移交工商、质监、公安等行政执法部门依法查处。</w:t>
      </w:r>
    </w:p>
    <w:p w14:paraId="74647C72">
      <w:pPr>
        <w:pStyle w:val="5"/>
        <w:kinsoku w:val="0"/>
        <w:topLinePunct/>
        <w:autoSpaceDE w:val="0"/>
        <w:autoSpaceDN w:val="0"/>
        <w:snapToGrid w:val="0"/>
        <w:spacing w:line="480" w:lineRule="exact"/>
        <w:ind w:right="210" w:firstLine="513" w:firstLineChars="214"/>
        <w:contextualSpacing/>
        <w:rPr>
          <w:b/>
          <w:color w:val="auto"/>
          <w:sz w:val="24"/>
          <w:szCs w:val="24"/>
          <w:highlight w:val="none"/>
        </w:rPr>
      </w:pPr>
      <w:r>
        <w:rPr>
          <w:color w:val="auto"/>
          <w:sz w:val="24"/>
          <w:szCs w:val="24"/>
          <w:highlight w:val="none"/>
          <w:lang w:val="zh-CN"/>
        </w:rPr>
        <w:t>五、</w:t>
      </w:r>
      <w:r>
        <w:rPr>
          <w:b/>
          <w:color w:val="auto"/>
          <w:sz w:val="24"/>
          <w:szCs w:val="24"/>
          <w:highlight w:val="none"/>
        </w:rPr>
        <w:t>不响应付款方式的，视同响应文件无效处理。</w:t>
      </w:r>
      <w:r>
        <w:rPr>
          <w:rFonts w:hint="eastAsia"/>
          <w:b/>
          <w:color w:val="auto"/>
          <w:sz w:val="24"/>
          <w:highlight w:val="none"/>
        </w:rPr>
        <w:t>实际付款方式以最终签订采购合同为准。</w:t>
      </w:r>
    </w:p>
    <w:p w14:paraId="291D2BB7">
      <w:pPr>
        <w:pStyle w:val="5"/>
        <w:kinsoku w:val="0"/>
        <w:topLinePunct/>
        <w:autoSpaceDE w:val="0"/>
        <w:autoSpaceDN w:val="0"/>
        <w:snapToGrid w:val="0"/>
        <w:spacing w:line="480" w:lineRule="exact"/>
        <w:ind w:right="210" w:firstLine="480" w:firstLineChars="200"/>
        <w:contextualSpacing/>
        <w:rPr>
          <w:color w:val="auto"/>
          <w:sz w:val="24"/>
          <w:szCs w:val="24"/>
          <w:highlight w:val="none"/>
          <w:lang w:val="zh-CN"/>
        </w:rPr>
      </w:pPr>
      <w:r>
        <w:rPr>
          <w:color w:val="auto"/>
          <w:sz w:val="24"/>
          <w:szCs w:val="24"/>
          <w:highlight w:val="none"/>
        </w:rPr>
        <w:t>款项由采购人按相关财务支付规定办理支付手续。不得故意拖延支付时间。</w:t>
      </w:r>
    </w:p>
    <w:p w14:paraId="618B43B6">
      <w:pPr>
        <w:pStyle w:val="5"/>
        <w:kinsoku w:val="0"/>
        <w:topLinePunct/>
        <w:autoSpaceDE w:val="0"/>
        <w:autoSpaceDN w:val="0"/>
        <w:snapToGrid w:val="0"/>
        <w:spacing w:line="480" w:lineRule="exact"/>
        <w:ind w:right="210" w:firstLine="513" w:firstLineChars="214"/>
        <w:contextualSpacing/>
        <w:rPr>
          <w:color w:val="auto"/>
          <w:sz w:val="24"/>
          <w:szCs w:val="24"/>
          <w:highlight w:val="none"/>
        </w:rPr>
      </w:pPr>
      <w:r>
        <w:rPr>
          <w:rFonts w:hint="eastAsia"/>
          <w:color w:val="auto"/>
          <w:sz w:val="24"/>
          <w:szCs w:val="24"/>
          <w:highlight w:val="none"/>
        </w:rPr>
        <w:t>六、合同主要条款</w:t>
      </w:r>
    </w:p>
    <w:p w14:paraId="66132CD9">
      <w:pPr>
        <w:pStyle w:val="5"/>
        <w:kinsoku w:val="0"/>
        <w:topLinePunct/>
        <w:autoSpaceDE w:val="0"/>
        <w:autoSpaceDN w:val="0"/>
        <w:snapToGrid w:val="0"/>
        <w:spacing w:line="480" w:lineRule="exact"/>
        <w:ind w:right="210" w:firstLine="599" w:firstLineChars="214"/>
        <w:contextualSpacing/>
        <w:rPr>
          <w:rFonts w:ascii="仿宋_GB2312" w:eastAsia="仿宋_GB2312"/>
          <w:color w:val="auto"/>
          <w:sz w:val="28"/>
          <w:szCs w:val="28"/>
          <w:highlight w:val="none"/>
          <w:lang w:val="zh-CN"/>
        </w:rPr>
      </w:pPr>
    </w:p>
    <w:p w14:paraId="16C93332">
      <w:pPr>
        <w:pStyle w:val="3"/>
        <w:tabs>
          <w:tab w:val="left" w:pos="1290"/>
        </w:tabs>
        <w:jc w:val="center"/>
        <w:rPr>
          <w:rFonts w:hint="eastAsia" w:ascii="宋体" w:hAnsi="宋体" w:eastAsia="宋体" w:cs="宋体"/>
          <w:bCs/>
          <w:color w:val="auto"/>
          <w:highlight w:val="none"/>
        </w:rPr>
      </w:pPr>
      <w:r>
        <w:rPr>
          <w:b/>
          <w:bCs/>
          <w:color w:val="auto"/>
          <w:w w:val="80"/>
          <w:sz w:val="36"/>
          <w:szCs w:val="36"/>
          <w:highlight w:val="none"/>
        </w:rPr>
        <w:br w:type="page"/>
      </w:r>
      <w:r>
        <w:rPr>
          <w:rFonts w:hint="eastAsia" w:ascii="宋体" w:hAnsi="宋体" w:eastAsia="宋体" w:cs="宋体"/>
          <w:bCs/>
          <w:color w:val="auto"/>
          <w:highlight w:val="none"/>
        </w:rPr>
        <w:t>合同条款及格式</w:t>
      </w:r>
    </w:p>
    <w:p w14:paraId="3E5ACFD4">
      <w:pPr>
        <w:spacing w:line="360" w:lineRule="auto"/>
        <w:ind w:right="344" w:rightChars="164" w:firstLine="567"/>
        <w:rPr>
          <w:rFonts w:hint="eastAsia" w:ascii="宋体" w:hAnsi="宋体" w:eastAsia="宋体" w:cs="宋体"/>
          <w:b/>
          <w:bCs/>
          <w:snapToGrid w:val="0"/>
          <w:color w:val="auto"/>
          <w:sz w:val="24"/>
          <w:szCs w:val="24"/>
          <w:highlight w:val="none"/>
        </w:rPr>
      </w:pPr>
      <w:r>
        <w:rPr>
          <w:rFonts w:hint="eastAsia" w:ascii="宋体" w:hAnsi="宋体" w:eastAsia="宋体" w:cs="宋体"/>
          <w:b/>
          <w:bCs/>
          <w:snapToGrid w:val="0"/>
          <w:color w:val="auto"/>
          <w:sz w:val="24"/>
          <w:szCs w:val="24"/>
          <w:highlight w:val="none"/>
        </w:rPr>
        <w:t>甲方： 南通日报社</w:t>
      </w:r>
    </w:p>
    <w:p w14:paraId="41D0EE37">
      <w:pPr>
        <w:spacing w:line="360" w:lineRule="auto"/>
        <w:ind w:right="344" w:rightChars="164" w:firstLine="567"/>
        <w:rPr>
          <w:rFonts w:hint="eastAsia" w:ascii="宋体" w:hAnsi="宋体" w:eastAsia="宋体" w:cs="宋体"/>
          <w:b/>
          <w:bCs/>
          <w:snapToGrid w:val="0"/>
          <w:color w:val="auto"/>
          <w:sz w:val="24"/>
          <w:szCs w:val="24"/>
          <w:highlight w:val="none"/>
          <w:u w:val="single"/>
          <w:lang w:val="en-US" w:eastAsia="zh-CN"/>
        </w:rPr>
      </w:pPr>
      <w:r>
        <w:rPr>
          <w:rFonts w:hint="eastAsia" w:ascii="宋体" w:hAnsi="宋体" w:eastAsia="宋体" w:cs="宋体"/>
          <w:b/>
          <w:bCs/>
          <w:snapToGrid w:val="0"/>
          <w:color w:val="auto"/>
          <w:sz w:val="24"/>
          <w:szCs w:val="24"/>
          <w:highlight w:val="none"/>
        </w:rPr>
        <w:t>乙方：</w:t>
      </w:r>
      <w:r>
        <w:rPr>
          <w:rFonts w:hint="eastAsia" w:ascii="宋体" w:hAnsi="宋体" w:eastAsia="宋体" w:cs="宋体"/>
          <w:b/>
          <w:bCs/>
          <w:snapToGrid w:val="0"/>
          <w:color w:val="auto"/>
          <w:sz w:val="24"/>
          <w:szCs w:val="24"/>
          <w:highlight w:val="none"/>
          <w:u w:val="single"/>
          <w:lang w:val="en-US" w:eastAsia="zh-CN"/>
        </w:rPr>
        <w:t xml:space="preserve">           </w:t>
      </w:r>
    </w:p>
    <w:p w14:paraId="54F59272">
      <w:pPr>
        <w:spacing w:line="360" w:lineRule="auto"/>
        <w:ind w:right="344" w:rightChars="164" w:firstLine="56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甲、乙双方经过友好协商，依据《中华人民共和国</w:t>
      </w:r>
      <w:r>
        <w:rPr>
          <w:rFonts w:hint="eastAsia" w:ascii="宋体" w:hAnsi="宋体" w:cs="宋体"/>
          <w:color w:val="auto"/>
          <w:sz w:val="24"/>
          <w:szCs w:val="24"/>
          <w:highlight w:val="none"/>
          <w:lang w:val="en-US" w:eastAsia="zh-CN"/>
        </w:rPr>
        <w:t>民法典</w:t>
      </w:r>
      <w:r>
        <w:rPr>
          <w:rFonts w:hint="eastAsia" w:ascii="宋体" w:hAnsi="宋体" w:eastAsia="宋体" w:cs="宋体"/>
          <w:color w:val="auto"/>
          <w:sz w:val="24"/>
          <w:szCs w:val="24"/>
          <w:highlight w:val="none"/>
        </w:rPr>
        <w:t>》，双方就</w:t>
      </w:r>
      <w:r>
        <w:rPr>
          <w:rFonts w:hint="eastAsia" w:ascii="宋体" w:hAnsi="宋体" w:eastAsia="宋体" w:cs="宋体"/>
          <w:color w:val="auto"/>
          <w:sz w:val="24"/>
          <w:szCs w:val="24"/>
          <w:highlight w:val="none"/>
          <w:u w:val="single"/>
        </w:rPr>
        <w:t>南通报业新闻传媒中心幕墙维护保养项目</w:t>
      </w:r>
      <w:r>
        <w:rPr>
          <w:rFonts w:hint="eastAsia" w:ascii="宋体" w:hAnsi="宋体" w:eastAsia="宋体" w:cs="宋体"/>
          <w:color w:val="auto"/>
          <w:sz w:val="24"/>
          <w:szCs w:val="24"/>
          <w:highlight w:val="none"/>
        </w:rPr>
        <w:t>事宜签订合同。</w:t>
      </w:r>
    </w:p>
    <w:p w14:paraId="6C545490">
      <w:pPr>
        <w:tabs>
          <w:tab w:val="left" w:pos="636"/>
        </w:tabs>
        <w:spacing w:line="360" w:lineRule="auto"/>
        <w:ind w:right="344" w:rightChars="164" w:firstLine="482" w:firstLineChars="200"/>
        <w:outlineLvl w:val="1"/>
        <w:rPr>
          <w:rFonts w:hint="eastAsia" w:ascii="宋体" w:hAnsi="宋体" w:eastAsia="宋体" w:cs="宋体"/>
          <w:b/>
          <w:color w:val="auto"/>
          <w:sz w:val="24"/>
          <w:szCs w:val="24"/>
          <w:highlight w:val="none"/>
        </w:rPr>
      </w:pPr>
      <w:bookmarkStart w:id="1" w:name="_Toc241917649"/>
      <w:r>
        <w:rPr>
          <w:rFonts w:hint="eastAsia" w:ascii="宋体" w:hAnsi="宋体" w:eastAsia="宋体" w:cs="宋体"/>
          <w:b/>
          <w:color w:val="auto"/>
          <w:sz w:val="24"/>
          <w:szCs w:val="24"/>
          <w:highlight w:val="none"/>
        </w:rPr>
        <w:t>一、项目名称</w:t>
      </w:r>
      <w:bookmarkEnd w:id="1"/>
    </w:p>
    <w:p w14:paraId="7B54D571">
      <w:pPr>
        <w:tabs>
          <w:tab w:val="left" w:pos="4550"/>
        </w:tabs>
        <w:spacing w:line="360" w:lineRule="auto"/>
        <w:ind w:right="344" w:rightChars="164" w:firstLine="56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南通报业新闻传媒中心幕墙维护保养项目。</w:t>
      </w:r>
    </w:p>
    <w:p w14:paraId="4FD8CA47">
      <w:pPr>
        <w:tabs>
          <w:tab w:val="left" w:pos="636"/>
        </w:tabs>
        <w:spacing w:line="360" w:lineRule="auto"/>
        <w:ind w:right="344" w:rightChars="164" w:firstLine="482" w:firstLineChars="200"/>
        <w:outlineLvl w:val="1"/>
        <w:rPr>
          <w:rFonts w:hint="eastAsia" w:ascii="宋体" w:hAnsi="宋体" w:eastAsia="宋体" w:cs="宋体"/>
          <w:b/>
          <w:color w:val="auto"/>
          <w:sz w:val="24"/>
          <w:szCs w:val="24"/>
          <w:highlight w:val="none"/>
        </w:rPr>
      </w:pPr>
      <w:bookmarkStart w:id="2" w:name="_Toc241917650"/>
      <w:r>
        <w:rPr>
          <w:rFonts w:hint="eastAsia" w:ascii="宋体" w:hAnsi="宋体" w:eastAsia="宋体" w:cs="宋体"/>
          <w:b/>
          <w:color w:val="auto"/>
          <w:sz w:val="24"/>
          <w:szCs w:val="24"/>
          <w:highlight w:val="none"/>
        </w:rPr>
        <w:t>二、项目地点</w:t>
      </w:r>
      <w:bookmarkEnd w:id="2"/>
    </w:p>
    <w:p w14:paraId="38B40240">
      <w:pPr>
        <w:tabs>
          <w:tab w:val="left" w:pos="636"/>
        </w:tabs>
        <w:spacing w:line="360" w:lineRule="auto"/>
        <w:ind w:right="344" w:rightChars="164" w:firstLine="567"/>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南通市世纪大道8号</w:t>
      </w:r>
    </w:p>
    <w:p w14:paraId="3DC6F8BE">
      <w:pPr>
        <w:tabs>
          <w:tab w:val="left" w:pos="650"/>
        </w:tabs>
        <w:spacing w:line="360" w:lineRule="auto"/>
        <w:ind w:right="344" w:rightChars="164" w:firstLine="482" w:firstLineChars="200"/>
        <w:outlineLvl w:val="1"/>
        <w:rPr>
          <w:rFonts w:hint="eastAsia" w:ascii="宋体" w:hAnsi="宋体" w:eastAsia="宋体" w:cs="宋体"/>
          <w:b/>
          <w:color w:val="auto"/>
          <w:sz w:val="24"/>
          <w:szCs w:val="24"/>
          <w:highlight w:val="none"/>
        </w:rPr>
      </w:pPr>
      <w:bookmarkStart w:id="3" w:name="_Toc241917651"/>
      <w:r>
        <w:rPr>
          <w:rFonts w:hint="eastAsia" w:ascii="宋体" w:hAnsi="宋体" w:eastAsia="宋体" w:cs="宋体"/>
          <w:b/>
          <w:color w:val="auto"/>
          <w:sz w:val="24"/>
          <w:szCs w:val="24"/>
          <w:highlight w:val="none"/>
        </w:rPr>
        <w:t>三、工作内容</w:t>
      </w:r>
      <w:bookmarkEnd w:id="3"/>
    </w:p>
    <w:p w14:paraId="57900FE4">
      <w:pPr>
        <w:tabs>
          <w:tab w:val="left" w:pos="0"/>
          <w:tab w:val="left" w:pos="540"/>
        </w:tabs>
        <w:spacing w:line="360" w:lineRule="auto"/>
        <w:ind w:firstLine="720" w:firstLineChars="3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所有外立面装饰</w:t>
      </w:r>
    </w:p>
    <w:p w14:paraId="17C69A7A">
      <w:pPr>
        <w:tabs>
          <w:tab w:val="left" w:pos="0"/>
          <w:tab w:val="left" w:pos="540"/>
        </w:tabs>
        <w:spacing w:line="360" w:lineRule="auto"/>
        <w:ind w:firstLine="720" w:firstLineChars="3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1、玻璃幕墙35000m</w:t>
      </w:r>
      <w:r>
        <w:rPr>
          <w:rFonts w:hint="eastAsia" w:ascii="宋体" w:hAnsi="宋体" w:eastAsia="宋体" w:cs="宋体"/>
          <w:color w:val="auto"/>
          <w:sz w:val="24"/>
          <w:szCs w:val="24"/>
          <w:highlight w:val="none"/>
          <w:vertAlign w:val="superscript"/>
        </w:rPr>
        <w:t>2</w:t>
      </w:r>
      <w:r>
        <w:rPr>
          <w:rFonts w:hint="eastAsia" w:ascii="宋体" w:hAnsi="宋体" w:eastAsia="宋体" w:cs="宋体"/>
          <w:color w:val="auto"/>
          <w:sz w:val="24"/>
          <w:szCs w:val="24"/>
          <w:highlight w:val="none"/>
        </w:rPr>
        <w:t>、铝单板幕墙6500m</w:t>
      </w:r>
      <w:r>
        <w:rPr>
          <w:rFonts w:hint="eastAsia" w:ascii="宋体" w:hAnsi="宋体" w:eastAsia="宋体" w:cs="宋体"/>
          <w:color w:val="auto"/>
          <w:sz w:val="24"/>
          <w:szCs w:val="24"/>
          <w:highlight w:val="none"/>
          <w:vertAlign w:val="superscript"/>
        </w:rPr>
        <w:t>2</w:t>
      </w:r>
      <w:r>
        <w:rPr>
          <w:rFonts w:hint="eastAsia" w:ascii="宋体" w:hAnsi="宋体" w:eastAsia="宋体" w:cs="宋体"/>
          <w:color w:val="auto"/>
          <w:sz w:val="24"/>
          <w:szCs w:val="24"/>
          <w:highlight w:val="none"/>
        </w:rPr>
        <w:t>、雨棚350m</w:t>
      </w:r>
      <w:r>
        <w:rPr>
          <w:rFonts w:hint="eastAsia" w:ascii="宋体" w:hAnsi="宋体" w:eastAsia="宋体" w:cs="宋体"/>
          <w:color w:val="auto"/>
          <w:sz w:val="24"/>
          <w:szCs w:val="24"/>
          <w:highlight w:val="none"/>
          <w:vertAlign w:val="superscript"/>
        </w:rPr>
        <w:t>2</w:t>
      </w:r>
      <w:r>
        <w:rPr>
          <w:rFonts w:hint="eastAsia" w:ascii="宋体" w:hAnsi="宋体" w:eastAsia="宋体" w:cs="宋体"/>
          <w:color w:val="auto"/>
          <w:sz w:val="24"/>
          <w:szCs w:val="24"/>
          <w:highlight w:val="none"/>
        </w:rPr>
        <w:t>、所有幕墙门窗。</w:t>
      </w:r>
    </w:p>
    <w:p w14:paraId="6FDD33E7">
      <w:pPr>
        <w:tabs>
          <w:tab w:val="left" w:pos="0"/>
          <w:tab w:val="left" w:pos="540"/>
        </w:tabs>
        <w:spacing w:line="360" w:lineRule="auto"/>
        <w:ind w:firstLine="720" w:firstLineChars="3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2、定期对外立面玻璃进行检查、确保无松动掉落现象发生。</w:t>
      </w:r>
    </w:p>
    <w:p w14:paraId="12137BF1">
      <w:pPr>
        <w:tabs>
          <w:tab w:val="left" w:pos="0"/>
          <w:tab w:val="left" w:pos="540"/>
        </w:tabs>
        <w:spacing w:line="360" w:lineRule="auto"/>
        <w:ind w:firstLine="720" w:firstLineChars="3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3、定期对所有开启窗进行检查维护，确保无松动掉落现象发生。</w:t>
      </w:r>
    </w:p>
    <w:p w14:paraId="4EAC5FA0">
      <w:pPr>
        <w:tabs>
          <w:tab w:val="left" w:pos="0"/>
          <w:tab w:val="left" w:pos="540"/>
        </w:tabs>
        <w:spacing w:line="360" w:lineRule="auto"/>
        <w:ind w:firstLine="720" w:firstLineChars="3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4、对所损坏的玻璃、五金配件进行更换维修。</w:t>
      </w:r>
    </w:p>
    <w:p w14:paraId="75045F0D">
      <w:pPr>
        <w:tabs>
          <w:tab w:val="left" w:pos="0"/>
          <w:tab w:val="left" w:pos="540"/>
        </w:tabs>
        <w:spacing w:line="360" w:lineRule="auto"/>
        <w:ind w:firstLine="720" w:firstLineChars="3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5、对幕墙内部结构进行检修保养，必要时进行更换。</w:t>
      </w:r>
    </w:p>
    <w:p w14:paraId="69EB5605">
      <w:pPr>
        <w:tabs>
          <w:tab w:val="left" w:pos="0"/>
          <w:tab w:val="left" w:pos="540"/>
        </w:tabs>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四、维保范畴界定及责任划分</w:t>
      </w:r>
    </w:p>
    <w:p w14:paraId="4E20C394">
      <w:pPr>
        <w:tabs>
          <w:tab w:val="left" w:pos="0"/>
          <w:tab w:val="left" w:pos="540"/>
        </w:tabs>
        <w:spacing w:line="360" w:lineRule="auto"/>
        <w:ind w:firstLine="720" w:firstLineChars="3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日常维护范围界定；</w:t>
      </w:r>
    </w:p>
    <w:p w14:paraId="2B7A636A">
      <w:pPr>
        <w:tabs>
          <w:tab w:val="left" w:pos="0"/>
          <w:tab w:val="left" w:pos="540"/>
        </w:tabs>
        <w:spacing w:line="360" w:lineRule="auto"/>
        <w:ind w:firstLine="720" w:firstLineChars="3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1、塔楼玻璃幕墙：27878.84m</w:t>
      </w:r>
      <w:r>
        <w:rPr>
          <w:rFonts w:hint="eastAsia" w:ascii="宋体" w:hAnsi="宋体" w:eastAsia="宋体" w:cs="宋体"/>
          <w:color w:val="auto"/>
          <w:sz w:val="24"/>
          <w:szCs w:val="24"/>
          <w:highlight w:val="none"/>
          <w:vertAlign w:val="superscript"/>
        </w:rPr>
        <w:t>2</w:t>
      </w:r>
    </w:p>
    <w:p w14:paraId="0D3C5A0E">
      <w:pPr>
        <w:tabs>
          <w:tab w:val="left" w:pos="0"/>
          <w:tab w:val="left" w:pos="540"/>
        </w:tabs>
        <w:spacing w:line="360" w:lineRule="auto"/>
        <w:ind w:firstLine="720" w:firstLineChars="3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2、塔楼铝板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2675.60m</w:t>
      </w:r>
      <w:r>
        <w:rPr>
          <w:rFonts w:hint="eastAsia" w:ascii="宋体" w:hAnsi="宋体" w:eastAsia="宋体" w:cs="宋体"/>
          <w:color w:val="auto"/>
          <w:sz w:val="24"/>
          <w:szCs w:val="24"/>
          <w:highlight w:val="none"/>
          <w:vertAlign w:val="superscript"/>
        </w:rPr>
        <w:t>2</w:t>
      </w:r>
    </w:p>
    <w:p w14:paraId="4341D91D">
      <w:pPr>
        <w:tabs>
          <w:tab w:val="left" w:pos="0"/>
          <w:tab w:val="left" w:pos="540"/>
        </w:tabs>
        <w:spacing w:line="360" w:lineRule="auto"/>
        <w:ind w:firstLine="720" w:firstLineChars="3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3、裙楼-玻璃幕墙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7853.63m</w:t>
      </w:r>
      <w:r>
        <w:rPr>
          <w:rFonts w:hint="eastAsia" w:ascii="宋体" w:hAnsi="宋体" w:eastAsia="宋体" w:cs="宋体"/>
          <w:color w:val="auto"/>
          <w:sz w:val="24"/>
          <w:szCs w:val="24"/>
          <w:highlight w:val="none"/>
          <w:vertAlign w:val="superscript"/>
        </w:rPr>
        <w:t>2</w:t>
      </w:r>
    </w:p>
    <w:p w14:paraId="4883A421">
      <w:pPr>
        <w:tabs>
          <w:tab w:val="left" w:pos="0"/>
          <w:tab w:val="left" w:pos="540"/>
        </w:tabs>
        <w:spacing w:line="360" w:lineRule="auto"/>
        <w:ind w:firstLine="720" w:firstLineChars="3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4、裙楼-铝单板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4461m</w:t>
      </w:r>
      <w:r>
        <w:rPr>
          <w:rFonts w:hint="eastAsia" w:ascii="宋体" w:hAnsi="宋体" w:eastAsia="宋体" w:cs="宋体"/>
          <w:color w:val="auto"/>
          <w:sz w:val="24"/>
          <w:szCs w:val="24"/>
          <w:highlight w:val="none"/>
          <w:vertAlign w:val="superscript"/>
        </w:rPr>
        <w:t>2</w:t>
      </w:r>
    </w:p>
    <w:p w14:paraId="0780C628">
      <w:pPr>
        <w:tabs>
          <w:tab w:val="left" w:pos="0"/>
          <w:tab w:val="left" w:pos="540"/>
        </w:tabs>
        <w:spacing w:line="360" w:lineRule="auto"/>
        <w:ind w:firstLine="720" w:firstLineChars="3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5、雨棚：275.85m</w:t>
      </w:r>
      <w:r>
        <w:rPr>
          <w:rFonts w:hint="eastAsia" w:ascii="宋体" w:hAnsi="宋体" w:eastAsia="宋体" w:cs="宋体"/>
          <w:color w:val="auto"/>
          <w:sz w:val="24"/>
          <w:szCs w:val="24"/>
          <w:highlight w:val="none"/>
          <w:vertAlign w:val="superscript"/>
        </w:rPr>
        <w:t>2</w:t>
      </w:r>
    </w:p>
    <w:p w14:paraId="77E3A9CF">
      <w:pPr>
        <w:tabs>
          <w:tab w:val="left" w:pos="0"/>
          <w:tab w:val="left" w:pos="540"/>
        </w:tabs>
        <w:spacing w:line="360" w:lineRule="auto"/>
        <w:ind w:firstLine="720" w:firstLineChars="3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6、栏杆：153.00m</w:t>
      </w:r>
    </w:p>
    <w:p w14:paraId="7D75AAE4">
      <w:pPr>
        <w:tabs>
          <w:tab w:val="left" w:pos="0"/>
          <w:tab w:val="left" w:pos="540"/>
        </w:tabs>
        <w:spacing w:line="360" w:lineRule="auto"/>
        <w:ind w:left="420" w:leftChars="200"/>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以上为日常维护范围，在此维保范围内的工作界面如下：</w:t>
      </w:r>
    </w:p>
    <w:p w14:paraId="4F944691">
      <w:pPr>
        <w:tabs>
          <w:tab w:val="left" w:pos="0"/>
          <w:tab w:val="left" w:pos="540"/>
        </w:tabs>
        <w:spacing w:line="360" w:lineRule="auto"/>
        <w:ind w:left="420" w:leftChars="200" w:firstLine="240" w:firstLineChars="1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1：日常维护对幕墙内部结构进行维护，每月不少于两次巡查。特殊季节或遇特殊天气需驻场服务。</w:t>
      </w:r>
    </w:p>
    <w:p w14:paraId="059E0225">
      <w:pPr>
        <w:tabs>
          <w:tab w:val="left" w:pos="0"/>
          <w:tab w:val="left" w:pos="540"/>
        </w:tabs>
        <w:spacing w:line="360" w:lineRule="auto"/>
        <w:ind w:left="420" w:leftChars="200" w:firstLine="240" w:firstLineChars="1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2：及时对漏点打胶维修。</w:t>
      </w:r>
    </w:p>
    <w:p w14:paraId="23C539DE">
      <w:pPr>
        <w:tabs>
          <w:tab w:val="left" w:pos="0"/>
          <w:tab w:val="left" w:pos="540"/>
        </w:tabs>
        <w:spacing w:line="360" w:lineRule="auto"/>
        <w:ind w:left="420" w:leftChars="200" w:firstLine="240" w:firstLineChars="1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3：维保范围内有安全隐患应及时加固处理。</w:t>
      </w:r>
    </w:p>
    <w:p w14:paraId="5DB0241A">
      <w:pPr>
        <w:tabs>
          <w:tab w:val="left" w:pos="0"/>
          <w:tab w:val="left" w:pos="540"/>
        </w:tabs>
        <w:spacing w:line="360" w:lineRule="auto"/>
        <w:ind w:left="420" w:leftChars="200" w:firstLine="240" w:firstLineChars="1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4：在维保期内必须对整个大楼外立面幕墙负责，如因维保不到位，发生玻璃及窗扇掉落，造成的损失由中标人承担。</w:t>
      </w:r>
    </w:p>
    <w:p w14:paraId="1713A3CF">
      <w:pPr>
        <w:tabs>
          <w:tab w:val="left" w:pos="0"/>
          <w:tab w:val="left" w:pos="540"/>
        </w:tabs>
        <w:spacing w:line="360" w:lineRule="auto"/>
        <w:ind w:left="422" w:leftChars="201" w:firstLine="240" w:firstLineChars="1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5：维保期内中标人自行负责安全，并签订安全协议。</w:t>
      </w:r>
    </w:p>
    <w:p w14:paraId="31D45D78">
      <w:pPr>
        <w:tabs>
          <w:tab w:val="left" w:pos="0"/>
          <w:tab w:val="left" w:pos="540"/>
        </w:tabs>
        <w:spacing w:line="360" w:lineRule="auto"/>
        <w:ind w:left="422" w:leftChars="201" w:firstLine="240" w:firstLineChars="1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6：维修的全部辅材包含在采购人报价中，由投标人自行承担，该费用由投标人自行考虑在报价中，结算时不作调整。</w:t>
      </w:r>
    </w:p>
    <w:p w14:paraId="3950324B">
      <w:pPr>
        <w:tabs>
          <w:tab w:val="left" w:pos="540"/>
        </w:tabs>
        <w:spacing w:line="360" w:lineRule="auto"/>
        <w:ind w:firstLine="484" w:firstLineChars="201"/>
        <w:contextualSpacing/>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主材推荐品牌</w:t>
      </w:r>
      <w:r>
        <w:rPr>
          <w:rFonts w:hint="eastAsia" w:ascii="宋体" w:hAnsi="宋体" w:eastAsia="宋体" w:cs="宋体"/>
          <w:color w:val="auto"/>
          <w:sz w:val="24"/>
          <w:szCs w:val="24"/>
          <w:highlight w:val="none"/>
        </w:rPr>
        <w:t>：</w:t>
      </w:r>
    </w:p>
    <w:tbl>
      <w:tblPr>
        <w:tblStyle w:val="17"/>
        <w:tblW w:w="47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7"/>
        <w:gridCol w:w="5241"/>
      </w:tblGrid>
      <w:tr w14:paraId="75A98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1898" w:type="pct"/>
            <w:vAlign w:val="center"/>
          </w:tcPr>
          <w:p w14:paraId="729ABC30">
            <w:pPr>
              <w:pStyle w:val="7"/>
              <w:numPr>
                <w:ilvl w:val="0"/>
                <w:numId w:val="0"/>
              </w:numPr>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主材</w:t>
            </w:r>
          </w:p>
        </w:tc>
        <w:tc>
          <w:tcPr>
            <w:tcW w:w="3101" w:type="pct"/>
            <w:vAlign w:val="center"/>
          </w:tcPr>
          <w:p w14:paraId="6F3E82F6">
            <w:pPr>
              <w:pStyle w:val="7"/>
              <w:numPr>
                <w:ilvl w:val="0"/>
                <w:numId w:val="0"/>
              </w:numPr>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推荐品牌</w:t>
            </w:r>
          </w:p>
        </w:tc>
      </w:tr>
      <w:tr w14:paraId="36510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1898" w:type="pct"/>
            <w:vAlign w:val="center"/>
          </w:tcPr>
          <w:p w14:paraId="3CF3EEBD">
            <w:pPr>
              <w:pStyle w:val="7"/>
              <w:numPr>
                <w:ilvl w:val="0"/>
                <w:numId w:val="0"/>
              </w:numPr>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玻璃</w:t>
            </w:r>
          </w:p>
        </w:tc>
        <w:tc>
          <w:tcPr>
            <w:tcW w:w="3101" w:type="pct"/>
            <w:vAlign w:val="center"/>
          </w:tcPr>
          <w:p w14:paraId="2B18A1D9">
            <w:pPr>
              <w:pStyle w:val="7"/>
              <w:numPr>
                <w:ilvl w:val="0"/>
                <w:numId w:val="0"/>
              </w:numPr>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耀皮、台玻、南玻、信义</w:t>
            </w:r>
          </w:p>
        </w:tc>
      </w:tr>
      <w:tr w14:paraId="20F36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898" w:type="pct"/>
            <w:vAlign w:val="center"/>
          </w:tcPr>
          <w:p w14:paraId="79BE80B4">
            <w:pPr>
              <w:pStyle w:val="7"/>
              <w:numPr>
                <w:ilvl w:val="0"/>
                <w:numId w:val="0"/>
              </w:numPr>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铝合金</w:t>
            </w:r>
          </w:p>
        </w:tc>
        <w:tc>
          <w:tcPr>
            <w:tcW w:w="3101" w:type="pct"/>
            <w:vAlign w:val="center"/>
          </w:tcPr>
          <w:p w14:paraId="5D7A7C56">
            <w:pPr>
              <w:pStyle w:val="7"/>
              <w:numPr>
                <w:ilvl w:val="0"/>
                <w:numId w:val="0"/>
              </w:numPr>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亚铝、华建、栋梁</w:t>
            </w:r>
          </w:p>
        </w:tc>
      </w:tr>
    </w:tbl>
    <w:p w14:paraId="5B96CE71">
      <w:pPr>
        <w:tabs>
          <w:tab w:val="left" w:pos="0"/>
        </w:tabs>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辅材品牌推荐（中标人承担）：</w:t>
      </w:r>
    </w:p>
    <w:tbl>
      <w:tblPr>
        <w:tblStyle w:val="17"/>
        <w:tblW w:w="84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43"/>
        <w:gridCol w:w="5233"/>
      </w:tblGrid>
      <w:tr w14:paraId="66A35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3243" w:type="dxa"/>
            <w:vAlign w:val="center"/>
          </w:tcPr>
          <w:p w14:paraId="54530DF7">
            <w:pPr>
              <w:pStyle w:val="7"/>
              <w:numPr>
                <w:ilvl w:val="0"/>
                <w:numId w:val="0"/>
              </w:numPr>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辅材</w:t>
            </w:r>
          </w:p>
        </w:tc>
        <w:tc>
          <w:tcPr>
            <w:tcW w:w="5233" w:type="dxa"/>
            <w:vAlign w:val="center"/>
          </w:tcPr>
          <w:p w14:paraId="50D7C142">
            <w:pPr>
              <w:pStyle w:val="7"/>
              <w:numPr>
                <w:ilvl w:val="0"/>
                <w:numId w:val="0"/>
              </w:numPr>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推荐品牌</w:t>
            </w:r>
          </w:p>
        </w:tc>
      </w:tr>
      <w:tr w14:paraId="09647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3243" w:type="dxa"/>
            <w:vAlign w:val="center"/>
          </w:tcPr>
          <w:p w14:paraId="2A6A5237">
            <w:pPr>
              <w:pStyle w:val="7"/>
              <w:numPr>
                <w:ilvl w:val="0"/>
                <w:numId w:val="0"/>
              </w:numPr>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硅酮胶、密封胶、结构胶</w:t>
            </w:r>
          </w:p>
        </w:tc>
        <w:tc>
          <w:tcPr>
            <w:tcW w:w="5233" w:type="dxa"/>
            <w:vAlign w:val="center"/>
          </w:tcPr>
          <w:p w14:paraId="1318148B">
            <w:pPr>
              <w:pStyle w:val="7"/>
              <w:numPr>
                <w:ilvl w:val="0"/>
                <w:numId w:val="0"/>
              </w:numPr>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之江、白云、三棵树</w:t>
            </w:r>
          </w:p>
        </w:tc>
      </w:tr>
      <w:tr w14:paraId="67169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3243" w:type="dxa"/>
            <w:vAlign w:val="center"/>
          </w:tcPr>
          <w:p w14:paraId="656EBC3A">
            <w:pPr>
              <w:pStyle w:val="7"/>
              <w:numPr>
                <w:ilvl w:val="0"/>
                <w:numId w:val="0"/>
              </w:numPr>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五金件</w:t>
            </w:r>
          </w:p>
        </w:tc>
        <w:tc>
          <w:tcPr>
            <w:tcW w:w="5233" w:type="dxa"/>
            <w:vAlign w:val="center"/>
          </w:tcPr>
          <w:p w14:paraId="601CB920">
            <w:pPr>
              <w:pStyle w:val="7"/>
              <w:numPr>
                <w:ilvl w:val="0"/>
                <w:numId w:val="0"/>
              </w:numPr>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坚朗、和合、国强</w:t>
            </w:r>
          </w:p>
        </w:tc>
      </w:tr>
      <w:tr w14:paraId="502B7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3243" w:type="dxa"/>
            <w:vAlign w:val="center"/>
          </w:tcPr>
          <w:p w14:paraId="30D74ABF">
            <w:pPr>
              <w:pStyle w:val="7"/>
              <w:numPr>
                <w:ilvl w:val="0"/>
                <w:numId w:val="0"/>
              </w:numPr>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铝单板</w:t>
            </w:r>
          </w:p>
        </w:tc>
        <w:tc>
          <w:tcPr>
            <w:tcW w:w="5233" w:type="dxa"/>
            <w:vAlign w:val="center"/>
          </w:tcPr>
          <w:p w14:paraId="093201C0">
            <w:pPr>
              <w:pStyle w:val="7"/>
              <w:numPr>
                <w:ilvl w:val="0"/>
                <w:numId w:val="0"/>
              </w:numPr>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国产优质</w:t>
            </w:r>
          </w:p>
        </w:tc>
      </w:tr>
    </w:tbl>
    <w:p w14:paraId="476DAE2D">
      <w:pPr>
        <w:ind w:firstLine="482" w:firstLineChars="200"/>
        <w:rPr>
          <w:rFonts w:hint="eastAsia" w:ascii="宋体" w:hAnsi="宋体" w:eastAsia="宋体" w:cs="宋体"/>
          <w:b/>
          <w:bCs/>
          <w:color w:val="auto"/>
          <w:sz w:val="24"/>
          <w:szCs w:val="24"/>
          <w:highlight w:val="none"/>
        </w:rPr>
      </w:pPr>
    </w:p>
    <w:p w14:paraId="03410998">
      <w:pPr>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主材综合单价：</w:t>
      </w:r>
    </w:p>
    <w:p w14:paraId="38C986C1">
      <w:pPr>
        <w:ind w:firstLine="482" w:firstLineChars="200"/>
        <w:rPr>
          <w:rFonts w:hint="eastAsia" w:ascii="宋体" w:hAnsi="宋体" w:eastAsia="宋体" w:cs="宋体"/>
          <w:b/>
          <w:bCs/>
          <w:color w:val="auto"/>
          <w:sz w:val="24"/>
          <w:szCs w:val="24"/>
          <w:highlight w:val="none"/>
        </w:rPr>
      </w:pPr>
    </w:p>
    <w:tbl>
      <w:tblPr>
        <w:tblStyle w:val="1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30"/>
        <w:gridCol w:w="3709"/>
        <w:gridCol w:w="1533"/>
        <w:gridCol w:w="2975"/>
      </w:tblGrid>
      <w:tr w14:paraId="4A7277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trPr>
        <w:tc>
          <w:tcPr>
            <w:tcW w:w="730" w:type="dxa"/>
            <w:noWrap w:val="0"/>
            <w:vAlign w:val="center"/>
          </w:tcPr>
          <w:p w14:paraId="210C73CE">
            <w:pPr>
              <w:tabs>
                <w:tab w:val="left" w:pos="540"/>
              </w:tabs>
              <w:spacing w:line="360" w:lineRule="auto"/>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709" w:type="dxa"/>
            <w:noWrap w:val="0"/>
            <w:vAlign w:val="center"/>
          </w:tcPr>
          <w:p w14:paraId="23B33405">
            <w:pPr>
              <w:tabs>
                <w:tab w:val="left" w:pos="540"/>
              </w:tabs>
              <w:spacing w:line="360" w:lineRule="auto"/>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w:t>
            </w:r>
          </w:p>
        </w:tc>
        <w:tc>
          <w:tcPr>
            <w:tcW w:w="1533" w:type="dxa"/>
            <w:noWrap w:val="0"/>
            <w:vAlign w:val="center"/>
          </w:tcPr>
          <w:p w14:paraId="2188D541">
            <w:pPr>
              <w:tabs>
                <w:tab w:val="left" w:pos="540"/>
              </w:tabs>
              <w:spacing w:line="360" w:lineRule="auto"/>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2975" w:type="dxa"/>
            <w:noWrap w:val="0"/>
            <w:vAlign w:val="center"/>
          </w:tcPr>
          <w:p w14:paraId="5CCD712A">
            <w:pPr>
              <w:tabs>
                <w:tab w:val="left" w:pos="540"/>
              </w:tabs>
              <w:spacing w:line="360" w:lineRule="auto"/>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综合单价(主材、辅材、人工、运输、税费、辅料等)</w:t>
            </w:r>
          </w:p>
        </w:tc>
      </w:tr>
      <w:tr w14:paraId="68AC57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9" w:hRule="atLeast"/>
        </w:trPr>
        <w:tc>
          <w:tcPr>
            <w:tcW w:w="730" w:type="dxa"/>
            <w:noWrap w:val="0"/>
            <w:vAlign w:val="center"/>
          </w:tcPr>
          <w:p w14:paraId="40A83E98">
            <w:pPr>
              <w:tabs>
                <w:tab w:val="left" w:pos="540"/>
              </w:tabs>
              <w:spacing w:line="360" w:lineRule="auto"/>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709" w:type="dxa"/>
            <w:noWrap w:val="0"/>
            <w:vAlign w:val="center"/>
          </w:tcPr>
          <w:p w14:paraId="05F6C08C">
            <w:pPr>
              <w:tabs>
                <w:tab w:val="left" w:pos="540"/>
              </w:tabs>
              <w:spacing w:line="360" w:lineRule="auto"/>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双钢化玻璃及氟碳喷涂铝合金（玻璃颜色需保持与原有幕墙一致，玻璃的参数需经甲方认可方可进场）</w:t>
            </w:r>
          </w:p>
        </w:tc>
        <w:tc>
          <w:tcPr>
            <w:tcW w:w="1533" w:type="dxa"/>
            <w:noWrap w:val="0"/>
            <w:vAlign w:val="center"/>
          </w:tcPr>
          <w:p w14:paraId="72EEBEEF">
            <w:pPr>
              <w:tabs>
                <w:tab w:val="left" w:pos="540"/>
              </w:tabs>
              <w:spacing w:line="360" w:lineRule="auto"/>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元/平方米</w:t>
            </w:r>
          </w:p>
        </w:tc>
        <w:tc>
          <w:tcPr>
            <w:tcW w:w="2975" w:type="dxa"/>
            <w:noWrap w:val="0"/>
            <w:vAlign w:val="center"/>
          </w:tcPr>
          <w:p w14:paraId="2957BC5B">
            <w:pPr>
              <w:tabs>
                <w:tab w:val="left" w:pos="540"/>
              </w:tabs>
              <w:spacing w:line="360" w:lineRule="auto"/>
              <w:contextualSpacing/>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最终双方协商确定</w:t>
            </w:r>
          </w:p>
        </w:tc>
      </w:tr>
    </w:tbl>
    <w:p w14:paraId="1297585A">
      <w:pPr>
        <w:ind w:left="765" w:firstLine="480" w:firstLineChars="200"/>
        <w:rPr>
          <w:rFonts w:hint="eastAsia" w:ascii="宋体" w:hAnsi="宋体" w:eastAsia="宋体" w:cs="宋体"/>
          <w:color w:val="auto"/>
          <w:kern w:val="0"/>
          <w:sz w:val="24"/>
          <w:szCs w:val="24"/>
          <w:highlight w:val="none"/>
        </w:rPr>
      </w:pPr>
    </w:p>
    <w:p w14:paraId="58C9BADF">
      <w:pPr>
        <w:spacing w:line="360" w:lineRule="auto"/>
        <w:ind w:firstLine="482" w:firstLineChars="200"/>
        <w:contextualSpacing/>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五、施工要求</w:t>
      </w:r>
    </w:p>
    <w:p w14:paraId="696A56A0">
      <w:pPr>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1、中标后必须遵守现场的一切规章制度，文明施工，设备的安装均须满足国家相关规范要求。</w:t>
      </w:r>
    </w:p>
    <w:p w14:paraId="1F7D7EAB">
      <w:pPr>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2、维护保养过程中，供方负责及时清理垃圾（清理标准达到采购人要求），并将包装物及垃圾堆放至甲方指定地点；</w:t>
      </w:r>
    </w:p>
    <w:p w14:paraId="6658115E">
      <w:pPr>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3、验收要求：每次检修后，物业等部门共同参与验收，并出具验收报告，作为支付货款的依据。且对每次服务进行考核，每年度内巡检三次未验收合格签字达标的，采购人有权单方面终止合同重新招标。</w:t>
      </w:r>
    </w:p>
    <w:p w14:paraId="3CD3C51A">
      <w:pPr>
        <w:spacing w:line="360" w:lineRule="auto"/>
        <w:ind w:firstLine="482" w:firstLineChars="200"/>
        <w:contextualSpacing/>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六、其他</w:t>
      </w:r>
    </w:p>
    <w:p w14:paraId="4604999F">
      <w:pPr>
        <w:tabs>
          <w:tab w:val="left" w:pos="540"/>
        </w:tabs>
        <w:spacing w:line="360" w:lineRule="auto"/>
        <w:ind w:firstLine="480" w:firstLineChars="200"/>
        <w:contextualSpacing/>
        <w:rPr>
          <w:rFonts w:hint="eastAsia" w:ascii="宋体" w:hAnsi="宋体" w:eastAsia="宋体" w:cs="宋体"/>
          <w:bCs/>
          <w:color w:val="auto"/>
          <w:sz w:val="24"/>
          <w:szCs w:val="24"/>
          <w:highlight w:val="none"/>
          <w14:shadow w14:blurRad="50800" w14:dist="38100" w14:dir="2700000" w14:sx="100000" w14:sy="100000" w14:kx="0" w14:ky="0" w14:algn="tl">
            <w14:srgbClr w14:val="000000">
              <w14:alpha w14:val="60000"/>
            </w14:srgbClr>
          </w14:shadow>
        </w:rPr>
      </w:pPr>
      <w:r>
        <w:rPr>
          <w:rFonts w:hint="eastAsia" w:ascii="宋体" w:hAnsi="宋体" w:eastAsia="宋体" w:cs="宋体"/>
          <w:color w:val="auto"/>
          <w:sz w:val="24"/>
          <w:szCs w:val="24"/>
          <w:highlight w:val="none"/>
        </w:rPr>
        <w:t>1、</w:t>
      </w:r>
      <w:r>
        <w:rPr>
          <w:rFonts w:hint="eastAsia" w:ascii="宋体" w:hAnsi="宋体" w:eastAsia="宋体" w:cs="宋体"/>
          <w:bCs/>
          <w:color w:val="auto"/>
          <w:sz w:val="24"/>
          <w:szCs w:val="24"/>
          <w:highlight w:val="none"/>
        </w:rPr>
        <w:t>维保材料要求</w:t>
      </w:r>
      <w:r>
        <w:rPr>
          <w:rFonts w:hint="eastAsia" w:ascii="宋体" w:hAnsi="宋体" w:eastAsia="宋体" w:cs="宋体"/>
          <w:bCs/>
          <w:color w:val="auto"/>
          <w:sz w:val="24"/>
          <w:szCs w:val="24"/>
          <w:highlight w:val="none"/>
          <w14:shadow w14:blurRad="50800" w14:dist="38100" w14:dir="2700000" w14:sx="100000" w14:sy="100000" w14:kx="0" w14:ky="0" w14:algn="tl">
            <w14:srgbClr w14:val="000000">
              <w14:alpha w14:val="60000"/>
            </w14:srgbClr>
          </w14:shadow>
        </w:rPr>
        <w:t xml:space="preserve">   </w:t>
      </w:r>
    </w:p>
    <w:p w14:paraId="16B2A43F">
      <w:pPr>
        <w:tabs>
          <w:tab w:val="left" w:pos="1260"/>
        </w:tabs>
        <w:spacing w:line="360" w:lineRule="auto"/>
        <w:ind w:left="420" w:leftChars="200"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玻璃：</w:t>
      </w:r>
    </w:p>
    <w:p w14:paraId="057555EC">
      <w:pPr>
        <w:tabs>
          <w:tab w:val="left" w:pos="1358"/>
        </w:tabs>
        <w:spacing w:line="360" w:lineRule="auto"/>
        <w:ind w:left="420" w:leftChars="200"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选用玻璃外观质量和技术指标应符合相关规范、及国家现行标准要求。所有玻璃均应进行导棱磨边处理，钢化玻璃均应作均质处理；</w:t>
      </w:r>
    </w:p>
    <w:p w14:paraId="6A4EBAB2">
      <w:pPr>
        <w:tabs>
          <w:tab w:val="left" w:pos="1358"/>
        </w:tabs>
        <w:spacing w:line="360" w:lineRule="auto"/>
        <w:ind w:left="420" w:leftChars="200" w:firstLine="480" w:firstLineChars="200"/>
        <w:contextualSpacing/>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rPr>
        <w:t>选用规格：均质双钢化玻璃，玻璃颜色需保持与原有幕墙一致，玻璃的参数需经甲方认可方可进场；</w:t>
      </w:r>
    </w:p>
    <w:p w14:paraId="1ACE807D">
      <w:pPr>
        <w:tabs>
          <w:tab w:val="left" w:pos="1260"/>
        </w:tabs>
        <w:spacing w:line="360" w:lineRule="auto"/>
        <w:ind w:left="420" w:leftChars="200"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2、硅酮胶：</w:t>
      </w:r>
    </w:p>
    <w:p w14:paraId="6092CC0A">
      <w:pPr>
        <w:tabs>
          <w:tab w:val="left" w:pos="1260"/>
        </w:tabs>
        <w:spacing w:line="360" w:lineRule="auto"/>
        <w:ind w:left="420" w:leftChars="200"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本工程所采用的所有硅酮胶均需符合国家现行标准要求</w:t>
      </w:r>
    </w:p>
    <w:p w14:paraId="4D8152BA">
      <w:pPr>
        <w:tabs>
          <w:tab w:val="left" w:pos="1260"/>
        </w:tabs>
        <w:spacing w:line="360" w:lineRule="auto"/>
        <w:ind w:left="420" w:leftChars="200"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硅酮结构胶：产品符合《建筑用硅酮结构密封胶》GB 16776-2005的要求。结构胶必须在有效期内使用，在使用前应进行剥离粘结性试验，无特殊要求颜色均为黑色；硅酮结构密封胶使用前应进行相容性和剥离粘结性试验并对邵氏硬度、拉伸粘结性进行复验。</w:t>
      </w:r>
    </w:p>
    <w:p w14:paraId="547069A0">
      <w:pPr>
        <w:tabs>
          <w:tab w:val="left" w:pos="1260"/>
        </w:tabs>
        <w:spacing w:line="360" w:lineRule="auto"/>
        <w:ind w:left="420" w:leftChars="200"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3、密封胶：产品符合《幕墙玻璃接缝用密封胶》JC/T 882-2001的要求。密封胶必须在有效期内使用，无特殊要求颜色均为黑色，颜色以业主封样为准；</w:t>
      </w:r>
    </w:p>
    <w:p w14:paraId="5479170F">
      <w:pPr>
        <w:tabs>
          <w:tab w:val="left" w:pos="540"/>
        </w:tabs>
        <w:spacing w:line="360" w:lineRule="auto"/>
        <w:ind w:left="420" w:leftChars="200"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玻璃和铝型材的粘结必须采用中性硅酮结构密封胶，全玻幕墙和点支撑幕墙采用镀膜玻璃时，不应采用酸性硅酮结构密封胶粘结； </w:t>
      </w:r>
    </w:p>
    <w:p w14:paraId="003CFE01">
      <w:pPr>
        <w:tabs>
          <w:tab w:val="left" w:pos="0"/>
        </w:tabs>
        <w:spacing w:line="360" w:lineRule="auto"/>
        <w:ind w:left="420" w:leftChars="200" w:firstLine="480" w:firstLineChars="200"/>
        <w:contextualSpacing/>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4、结构胶的变位承载能力（即对应于其受拉应力为0.14N/mm</w:t>
      </w:r>
      <w:r>
        <w:rPr>
          <w:rFonts w:hint="eastAsia" w:ascii="宋体" w:hAnsi="宋体" w:eastAsia="宋体" w:cs="宋体"/>
          <w:color w:val="auto"/>
          <w:sz w:val="24"/>
          <w:szCs w:val="24"/>
          <w:highlight w:val="none"/>
          <w:vertAlign w:val="superscript"/>
        </w:rPr>
        <w:t>2</w:t>
      </w:r>
      <w:r>
        <w:rPr>
          <w:rFonts w:hint="eastAsia" w:ascii="宋体" w:hAnsi="宋体" w:eastAsia="宋体" w:cs="宋体"/>
          <w:color w:val="auto"/>
          <w:sz w:val="24"/>
          <w:szCs w:val="24"/>
          <w:highlight w:val="none"/>
        </w:rPr>
        <w:t>的伸长率）为12.5%；在风荷载和水平地震的作用下，采用的硅酮结构密封胶的拉应力设计值大于0.2 N/mm</w:t>
      </w:r>
      <w:r>
        <w:rPr>
          <w:rFonts w:hint="eastAsia" w:ascii="宋体" w:hAnsi="宋体" w:eastAsia="宋体" w:cs="宋体"/>
          <w:color w:val="auto"/>
          <w:sz w:val="24"/>
          <w:szCs w:val="24"/>
          <w:highlight w:val="none"/>
          <w:vertAlign w:val="superscript"/>
        </w:rPr>
        <w:t>2</w:t>
      </w:r>
      <w:r>
        <w:rPr>
          <w:rFonts w:hint="eastAsia" w:ascii="宋体" w:hAnsi="宋体" w:eastAsia="宋体" w:cs="宋体"/>
          <w:color w:val="auto"/>
          <w:sz w:val="24"/>
          <w:szCs w:val="24"/>
          <w:highlight w:val="none"/>
        </w:rPr>
        <w:t>，在永久荷载作用下，采用的硅酮结构密封胶的设计值大于0.02 N/mm</w:t>
      </w:r>
      <w:r>
        <w:rPr>
          <w:rFonts w:hint="eastAsia" w:ascii="宋体" w:hAnsi="宋体" w:eastAsia="宋体" w:cs="宋体"/>
          <w:color w:val="auto"/>
          <w:sz w:val="24"/>
          <w:szCs w:val="24"/>
          <w:highlight w:val="none"/>
          <w:vertAlign w:val="superscript"/>
        </w:rPr>
        <w:t>2</w:t>
      </w:r>
      <w:r>
        <w:rPr>
          <w:rFonts w:hint="eastAsia" w:ascii="宋体" w:hAnsi="宋体" w:eastAsia="宋体" w:cs="宋体"/>
          <w:color w:val="auto"/>
          <w:sz w:val="24"/>
          <w:szCs w:val="24"/>
          <w:highlight w:val="none"/>
        </w:rPr>
        <w:t>。</w:t>
      </w:r>
    </w:p>
    <w:p w14:paraId="45B627A9">
      <w:pPr>
        <w:tabs>
          <w:tab w:val="left" w:pos="0"/>
        </w:tabs>
        <w:spacing w:line="360" w:lineRule="auto"/>
        <w:ind w:left="420" w:leftChars="200"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5、五金配件：</w:t>
      </w:r>
    </w:p>
    <w:p w14:paraId="5BE12CF0">
      <w:pPr>
        <w:tabs>
          <w:tab w:val="left" w:pos="0"/>
        </w:tabs>
        <w:spacing w:line="360" w:lineRule="auto"/>
        <w:ind w:left="420" w:leftChars="200" w:firstLine="480" w:firstLineChars="200"/>
        <w:contextualSpacing/>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本工程所有五金配件必须跟原幕墙配件吻合。</w:t>
      </w:r>
    </w:p>
    <w:p w14:paraId="044A4D41">
      <w:pPr>
        <w:tabs>
          <w:tab w:val="left" w:pos="650"/>
        </w:tabs>
        <w:spacing w:line="360" w:lineRule="auto"/>
        <w:ind w:left="482" w:right="344" w:rightChars="164"/>
        <w:contextualSpacing/>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五、维保服务要求</w:t>
      </w:r>
    </w:p>
    <w:p w14:paraId="61C96C9D">
      <w:pPr>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1.乙方应根据采购人实际情况，制定完善、有效的维护保养方案，配备专业的服务团队，实施严格的项目管理机制。至少提供项目负责人、安全员和维修人员各一名。</w:t>
      </w:r>
    </w:p>
    <w:p w14:paraId="46999BD9">
      <w:pPr>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2.除不可抗力因素外，因系统维护保养不及时、不到位等原因造成采购人个系统运行异常的，乙方承担由此所引发的其他一切损失。</w:t>
      </w:r>
    </w:p>
    <w:p w14:paraId="734A0D10">
      <w:pPr>
        <w:tabs>
          <w:tab w:val="left" w:pos="0"/>
        </w:tabs>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3.服务标准：服务期内，普通维修需接到甲方通知后</w:t>
      </w:r>
      <w:r>
        <w:rPr>
          <w:rFonts w:hint="eastAsia" w:ascii="宋体" w:hAnsi="宋体" w:eastAsia="宋体" w:cs="宋体"/>
          <w:color w:val="auto"/>
          <w:sz w:val="24"/>
          <w:szCs w:val="24"/>
          <w:highlight w:val="none"/>
          <w:u w:val="single"/>
        </w:rPr>
        <w:t xml:space="preserve"> 24  </w:t>
      </w:r>
      <w:r>
        <w:rPr>
          <w:rFonts w:hint="eastAsia" w:ascii="宋体" w:hAnsi="宋体" w:eastAsia="宋体" w:cs="宋体"/>
          <w:color w:val="auto"/>
          <w:sz w:val="24"/>
          <w:szCs w:val="24"/>
          <w:highlight w:val="none"/>
        </w:rPr>
        <w:t>小时内到场。紧急抢修需接到甲方通知后</w:t>
      </w:r>
      <w:r>
        <w:rPr>
          <w:rFonts w:hint="eastAsia" w:ascii="宋体" w:hAnsi="宋体" w:eastAsia="宋体" w:cs="宋体"/>
          <w:color w:val="auto"/>
          <w:sz w:val="24"/>
          <w:szCs w:val="24"/>
          <w:highlight w:val="none"/>
          <w:u w:val="single"/>
        </w:rPr>
        <w:t xml:space="preserve">  2 </w:t>
      </w:r>
      <w:r>
        <w:rPr>
          <w:rFonts w:hint="eastAsia" w:ascii="宋体" w:hAnsi="宋体" w:eastAsia="宋体" w:cs="宋体"/>
          <w:color w:val="auto"/>
          <w:sz w:val="24"/>
          <w:szCs w:val="24"/>
          <w:highlight w:val="none"/>
        </w:rPr>
        <w:t>小时内到场。</w:t>
      </w:r>
    </w:p>
    <w:p w14:paraId="16531ADA">
      <w:pPr>
        <w:tabs>
          <w:tab w:val="left" w:pos="0"/>
        </w:tabs>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4.日常维护对幕墙内部结构进行维护，每月不少于两次巡查。特殊季节或遇特殊天气需驻场服务。</w:t>
      </w:r>
    </w:p>
    <w:p w14:paraId="60A64CB8">
      <w:pPr>
        <w:tabs>
          <w:tab w:val="left" w:pos="0"/>
        </w:tabs>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5.如因维保不到位，发生玻璃及窗扇掉落，造成的损失由中标人承担。</w:t>
      </w:r>
    </w:p>
    <w:p w14:paraId="7815FF99">
      <w:pPr>
        <w:tabs>
          <w:tab w:val="left" w:pos="650"/>
        </w:tabs>
        <w:spacing w:line="360" w:lineRule="auto"/>
        <w:ind w:right="344" w:rightChars="164" w:firstLine="482" w:firstLineChars="200"/>
        <w:contextualSpacing/>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六、服务期限:</w:t>
      </w:r>
    </w:p>
    <w:p w14:paraId="43AEF66B">
      <w:pPr>
        <w:widowControl/>
        <w:shd w:val="clear" w:color="auto" w:fill="FFFFFF"/>
        <w:spacing w:line="360" w:lineRule="auto"/>
        <w:ind w:right="344" w:rightChars="164"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w:t>
      </w:r>
      <w:r>
        <w:rPr>
          <w:rFonts w:hint="eastAsia" w:ascii="宋体" w:hAnsi="宋体" w:eastAsia="宋体" w:cs="宋体"/>
          <w:color w:val="auto"/>
          <w:sz w:val="24"/>
          <w:szCs w:val="24"/>
          <w:highlight w:val="none"/>
          <w:lang w:val="en-US" w:eastAsia="zh-CN"/>
        </w:rPr>
        <w:t>2024</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起公历日满3年。如在维保合约期间，服务乙方没有严格按维保服务要求进行维护，每年度内巡检三次未验收合格签字达标的，采购人有权单方面终止合同重新招标。如服务期间乙方服务质量获得甲方认可，本协议服务期限届满前一个月，经双方友好协商，可续签协议。</w:t>
      </w:r>
    </w:p>
    <w:p w14:paraId="74195035">
      <w:pPr>
        <w:widowControl/>
        <w:shd w:val="clear" w:color="auto" w:fill="FFFFFF"/>
        <w:spacing w:line="360" w:lineRule="auto"/>
        <w:ind w:right="344" w:rightChars="164" w:firstLine="482" w:firstLineChars="200"/>
        <w:contextualSpacing/>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七、双方责任及义务</w:t>
      </w:r>
    </w:p>
    <w:p w14:paraId="4D905B23">
      <w:pPr>
        <w:spacing w:line="360" w:lineRule="auto"/>
        <w:ind w:right="344" w:rightChars="164"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1、甲方责任及义务</w:t>
      </w:r>
    </w:p>
    <w:p w14:paraId="62F3B7AE">
      <w:pPr>
        <w:spacing w:line="360" w:lineRule="auto"/>
        <w:ind w:right="344" w:rightChars="164"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①甲方有权对乙方维保工作进行监督检查，促进乙方改进维保工作，监督维保质量，协调乙方不能解决的维保与正常工作冲突的矛盾。</w:t>
      </w:r>
    </w:p>
    <w:p w14:paraId="0BDB7951">
      <w:pPr>
        <w:spacing w:line="360" w:lineRule="auto"/>
        <w:ind w:right="344" w:rightChars="164"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②明确双方沟通途径，对乙方从事维修保养的技术人员提供进出的方便。</w:t>
      </w:r>
    </w:p>
    <w:p w14:paraId="7A1051B2">
      <w:pPr>
        <w:spacing w:line="360" w:lineRule="auto"/>
        <w:ind w:right="344" w:rightChars="164"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③按照合同要求，及时支付维护保养工程款。</w:t>
      </w:r>
    </w:p>
    <w:p w14:paraId="22D29F3C">
      <w:pPr>
        <w:spacing w:line="360" w:lineRule="auto"/>
        <w:ind w:right="344" w:rightChars="164"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甲方有权对乙方维保工作达不到本合同要求提出整改意见书，如果乙方整改后仍达不到要求，甲方有权委托第三方进行维护保养工作，所发生的费用从乙方维保费中扣除。如因乙方管理不善或操作不当，造成重大经济损失或重大影响，甲方有权无偿终止合同，并要求乙方按社会权威评估机构出具的评估损失进行赔偿。</w:t>
      </w:r>
    </w:p>
    <w:p w14:paraId="3D050418">
      <w:pPr>
        <w:spacing w:line="360" w:lineRule="auto"/>
        <w:ind w:right="344" w:rightChars="164"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⑤乙方的维护保养达不到合同约定的维护保养标准或要求的，甲方有权拒绝在维护保养记录上签字。每发生一次此类情况甲方将进行拍照汇总并以正式函件形式交由乙方负责人签字确认，将按照年维保费比例的5% 扣除维保费并要求乙方限期解决。</w:t>
      </w:r>
    </w:p>
    <w:p w14:paraId="0E00CCE7">
      <w:pPr>
        <w:spacing w:line="360" w:lineRule="auto"/>
        <w:ind w:right="344" w:rightChars="164"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2、乙方责任及义务</w:t>
      </w:r>
    </w:p>
    <w:p w14:paraId="27699427">
      <w:pPr>
        <w:spacing w:line="360" w:lineRule="auto"/>
        <w:ind w:right="344" w:rightChars="164"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①乙方所做的维护保养工作必须以工作列表的形式，经主管工程师签名确认后，上报甲方主管部门备案；乙方指定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为该项目负责人，当项目负责人变更时应及时通知甲方。乙方指定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为该项目安全员。</w:t>
      </w:r>
    </w:p>
    <w:p w14:paraId="6A23CB02">
      <w:pPr>
        <w:tabs>
          <w:tab w:val="left" w:pos="0"/>
        </w:tabs>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②</w:t>
      </w:r>
      <w:r>
        <w:rPr>
          <w:rFonts w:hint="eastAsia" w:ascii="宋体" w:hAnsi="宋体" w:eastAsia="宋体" w:cs="宋体"/>
          <w:color w:val="auto"/>
          <w:sz w:val="24"/>
          <w:szCs w:val="24"/>
          <w:highlight w:val="none"/>
        </w:rPr>
        <w:t>服务期内，普通维修需接到甲方通知后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小时内到场。紧急抢修需接到甲方通知后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小时内到场。</w:t>
      </w:r>
    </w:p>
    <w:p w14:paraId="6C35D7A3">
      <w:pPr>
        <w:tabs>
          <w:tab w:val="left" w:pos="0"/>
        </w:tabs>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③日常维护对幕墙内部结构进行维护，每月不少于两次巡查。特殊季节或遇特殊天气需驻场服务。</w:t>
      </w:r>
    </w:p>
    <w:p w14:paraId="307812DC">
      <w:pPr>
        <w:tabs>
          <w:tab w:val="left" w:pos="0"/>
        </w:tabs>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④如因维保不到位，发生玻璃及窗扇掉落，造成的损失由中标人承担。</w:t>
      </w:r>
    </w:p>
    <w:p w14:paraId="0AD81F5A">
      <w:pPr>
        <w:tabs>
          <w:tab w:val="left" w:pos="0"/>
        </w:tabs>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⑤乙方代购贵重设备或材料购入前需得到甲方主管人员的认可，购进后先入甲方仓库确认，再领用到工程中。</w:t>
      </w:r>
    </w:p>
    <w:p w14:paraId="103F4DA4">
      <w:pPr>
        <w:tabs>
          <w:tab w:val="left" w:pos="0"/>
        </w:tabs>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⑥乙方施工人员必须有较高的思想道德水准及组织性纪律性；进入施工场地必须服装整齐，并佩戴有明显标志的工作牌。</w:t>
      </w:r>
    </w:p>
    <w:p w14:paraId="782DEAC5">
      <w:pPr>
        <w:spacing w:line="360" w:lineRule="auto"/>
        <w:ind w:right="344" w:rightChars="164"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⑦乙方施工人员必须持证上岗；严格执行各类安全操作手册；施工过程中，应妥善保护甲方现场的家具、设备和装修；移动过的东西要复位；施工遗留的垃圾要清理干净；由于操作不当，引起的人身伤亡与甲方无关；给甲方造成损失的应赔偿甲方损失。</w:t>
      </w:r>
    </w:p>
    <w:p w14:paraId="1B3006F3">
      <w:pPr>
        <w:spacing w:line="360" w:lineRule="auto"/>
        <w:ind w:right="344" w:rightChars="164"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3、特别条款</w:t>
      </w:r>
    </w:p>
    <w:p w14:paraId="275B6530">
      <w:pPr>
        <w:spacing w:line="360" w:lineRule="auto"/>
        <w:ind w:right="344" w:rightChars="164"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①乙方负责维保人员的人身保险，其他的人身保险和财产保险由甲方负责购买。维保人员在维保期内的人身安全及安全责任由乙方负责，甲方概不负责。</w:t>
      </w:r>
    </w:p>
    <w:p w14:paraId="1D9479F1">
      <w:pPr>
        <w:widowControl/>
        <w:spacing w:line="360" w:lineRule="auto"/>
        <w:ind w:right="344" w:rightChars="164" w:firstLine="482" w:firstLineChars="200"/>
        <w:contextualSpacing/>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八、合同价格及付款方式</w:t>
      </w:r>
    </w:p>
    <w:p w14:paraId="2B1F1639">
      <w:pPr>
        <w:spacing w:line="360" w:lineRule="auto"/>
        <w:ind w:right="344" w:rightChars="164"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1、本合同维保费用为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，即年维保费为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F56BBB4">
      <w:pPr>
        <w:spacing w:line="360" w:lineRule="auto"/>
        <w:ind w:right="344" w:rightChars="164"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付款方式：</w:t>
      </w:r>
      <w:r>
        <w:rPr>
          <w:rFonts w:hint="eastAsia" w:ascii="宋体" w:hAnsi="宋体" w:eastAsia="宋体" w:cs="宋体"/>
          <w:bCs/>
          <w:color w:val="auto"/>
          <w:sz w:val="24"/>
          <w:szCs w:val="24"/>
          <w:highlight w:val="none"/>
        </w:rPr>
        <w:t>每年</w:t>
      </w:r>
      <w:r>
        <w:rPr>
          <w:rFonts w:hint="eastAsia" w:ascii="宋体" w:hAnsi="宋体" w:cs="宋体"/>
          <w:bCs/>
          <w:color w:val="auto"/>
          <w:sz w:val="24"/>
          <w:szCs w:val="24"/>
          <w:highlight w:val="none"/>
          <w:lang w:val="en-US" w:eastAsia="zh-CN"/>
        </w:rPr>
        <w:t>6</w:t>
      </w:r>
      <w:r>
        <w:rPr>
          <w:rFonts w:hint="eastAsia" w:ascii="宋体" w:hAnsi="宋体" w:eastAsia="宋体" w:cs="宋体"/>
          <w:bCs/>
          <w:color w:val="auto"/>
          <w:sz w:val="24"/>
          <w:szCs w:val="24"/>
          <w:highlight w:val="none"/>
        </w:rPr>
        <w:t>月份和</w:t>
      </w:r>
      <w:r>
        <w:rPr>
          <w:rFonts w:hint="eastAsia" w:ascii="宋体" w:hAnsi="宋体" w:cs="宋体"/>
          <w:bCs/>
          <w:color w:val="auto"/>
          <w:sz w:val="24"/>
          <w:szCs w:val="24"/>
          <w:highlight w:val="none"/>
          <w:lang w:val="en-US" w:eastAsia="zh-CN"/>
        </w:rPr>
        <w:t>12</w:t>
      </w:r>
      <w:r>
        <w:rPr>
          <w:rFonts w:hint="eastAsia" w:ascii="宋体" w:hAnsi="宋体" w:eastAsia="宋体" w:cs="宋体"/>
          <w:bCs/>
          <w:color w:val="auto"/>
          <w:sz w:val="24"/>
          <w:szCs w:val="24"/>
          <w:highlight w:val="none"/>
        </w:rPr>
        <w:t>月份分别付合同款的50%。更换配件费用按月结算。同时乙方提供增值税发票。</w:t>
      </w:r>
    </w:p>
    <w:tbl>
      <w:tblPr>
        <w:tblStyle w:val="1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81"/>
        <w:gridCol w:w="2699"/>
        <w:gridCol w:w="2847"/>
        <w:gridCol w:w="2720"/>
      </w:tblGrid>
      <w:tr w14:paraId="39FE70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695" w:type="dxa"/>
            <w:noWrap w:val="0"/>
            <w:vAlign w:val="center"/>
          </w:tcPr>
          <w:p w14:paraId="47AEE102">
            <w:pPr>
              <w:widowControl/>
              <w:spacing w:line="360" w:lineRule="auto"/>
              <w:contextualSpacing/>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序号</w:t>
            </w:r>
          </w:p>
        </w:tc>
        <w:tc>
          <w:tcPr>
            <w:tcW w:w="2843" w:type="dxa"/>
            <w:noWrap w:val="0"/>
            <w:vAlign w:val="center"/>
          </w:tcPr>
          <w:p w14:paraId="7557A288">
            <w:pPr>
              <w:widowControl/>
              <w:spacing w:line="360" w:lineRule="auto"/>
              <w:contextualSpacing/>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付款时间</w:t>
            </w:r>
          </w:p>
        </w:tc>
        <w:tc>
          <w:tcPr>
            <w:tcW w:w="2993" w:type="dxa"/>
            <w:noWrap w:val="0"/>
            <w:vAlign w:val="center"/>
          </w:tcPr>
          <w:p w14:paraId="7A5A162A">
            <w:pPr>
              <w:widowControl/>
              <w:spacing w:line="360" w:lineRule="auto"/>
              <w:contextualSpacing/>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付款比例</w:t>
            </w:r>
          </w:p>
        </w:tc>
        <w:tc>
          <w:tcPr>
            <w:tcW w:w="2835" w:type="dxa"/>
            <w:noWrap w:val="0"/>
            <w:vAlign w:val="center"/>
          </w:tcPr>
          <w:p w14:paraId="7A4F0A19">
            <w:pPr>
              <w:widowControl/>
              <w:spacing w:line="360" w:lineRule="auto"/>
              <w:contextualSpacing/>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金额（元）</w:t>
            </w:r>
          </w:p>
        </w:tc>
      </w:tr>
      <w:tr w14:paraId="7C7394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695" w:type="dxa"/>
            <w:noWrap w:val="0"/>
            <w:vAlign w:val="center"/>
          </w:tcPr>
          <w:p w14:paraId="05617176">
            <w:pPr>
              <w:widowControl/>
              <w:spacing w:line="360" w:lineRule="auto"/>
              <w:contextualSpacing/>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p>
        </w:tc>
        <w:tc>
          <w:tcPr>
            <w:tcW w:w="2843" w:type="dxa"/>
            <w:noWrap w:val="0"/>
            <w:vAlign w:val="center"/>
          </w:tcPr>
          <w:p w14:paraId="3506E174">
            <w:pPr>
              <w:pStyle w:val="8"/>
              <w:ind w:left="0" w:leftChars="0"/>
              <w:jc w:val="center"/>
              <w:rPr>
                <w:rFonts w:hint="eastAsia" w:ascii="宋体" w:hAnsi="宋体" w:eastAsia="宋体" w:cs="宋体"/>
                <w:bCs/>
                <w:color w:val="auto"/>
                <w:sz w:val="24"/>
                <w:szCs w:val="24"/>
                <w:highlight w:val="none"/>
              </w:rPr>
            </w:pPr>
            <w:r>
              <w:rPr>
                <w:rFonts w:hint="eastAsia"/>
                <w:color w:val="auto"/>
                <w:highlight w:val="none"/>
                <w:lang w:val="en-US" w:eastAsia="zh-CN"/>
              </w:rPr>
              <w:t>20</w:t>
            </w:r>
            <w:r>
              <w:rPr>
                <w:rFonts w:hint="eastAsia"/>
                <w:color w:val="auto"/>
                <w:highlight w:val="none"/>
                <w:u w:val="single"/>
                <w:lang w:val="en-US" w:eastAsia="zh-CN"/>
              </w:rPr>
              <w:t xml:space="preserve">  </w:t>
            </w:r>
            <w:r>
              <w:rPr>
                <w:rFonts w:hint="eastAsia"/>
                <w:color w:val="auto"/>
                <w:highlight w:val="none"/>
                <w:lang w:val="en-US" w:eastAsia="zh-CN"/>
              </w:rPr>
              <w:t>年6月</w:t>
            </w:r>
          </w:p>
        </w:tc>
        <w:tc>
          <w:tcPr>
            <w:tcW w:w="2993" w:type="dxa"/>
            <w:noWrap w:val="0"/>
            <w:vAlign w:val="center"/>
          </w:tcPr>
          <w:p w14:paraId="57794DEB">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第一年服务费的50%</w:t>
            </w:r>
          </w:p>
        </w:tc>
        <w:tc>
          <w:tcPr>
            <w:tcW w:w="2835" w:type="dxa"/>
            <w:noWrap w:val="0"/>
            <w:vAlign w:val="center"/>
          </w:tcPr>
          <w:p w14:paraId="45EA4B56">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bCs/>
                <w:color w:val="auto"/>
                <w:sz w:val="24"/>
                <w:szCs w:val="24"/>
                <w:highlight w:val="none"/>
              </w:rPr>
            </w:pPr>
          </w:p>
        </w:tc>
      </w:tr>
      <w:tr w14:paraId="35C6D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695" w:type="dxa"/>
            <w:noWrap w:val="0"/>
            <w:vAlign w:val="center"/>
          </w:tcPr>
          <w:p w14:paraId="5D1A7C8D">
            <w:pPr>
              <w:widowControl/>
              <w:spacing w:line="360" w:lineRule="auto"/>
              <w:contextualSpacing/>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p>
        </w:tc>
        <w:tc>
          <w:tcPr>
            <w:tcW w:w="2843" w:type="dxa"/>
            <w:noWrap w:val="0"/>
            <w:vAlign w:val="center"/>
          </w:tcPr>
          <w:p w14:paraId="4CEA5DEE">
            <w:pPr>
              <w:pStyle w:val="8"/>
              <w:ind w:left="0" w:leftChars="0"/>
              <w:jc w:val="center"/>
              <w:rPr>
                <w:rFonts w:hint="eastAsia" w:ascii="宋体" w:hAnsi="宋体" w:eastAsia="宋体" w:cs="宋体"/>
                <w:bCs/>
                <w:color w:val="auto"/>
                <w:sz w:val="24"/>
                <w:szCs w:val="24"/>
                <w:highlight w:val="none"/>
              </w:rPr>
            </w:pPr>
            <w:r>
              <w:rPr>
                <w:rFonts w:hint="eastAsia"/>
                <w:color w:val="auto"/>
                <w:highlight w:val="none"/>
                <w:lang w:val="en-US" w:eastAsia="zh-CN"/>
              </w:rPr>
              <w:t>20</w:t>
            </w:r>
            <w:r>
              <w:rPr>
                <w:rFonts w:hint="eastAsia"/>
                <w:color w:val="auto"/>
                <w:highlight w:val="none"/>
                <w:u w:val="single"/>
                <w:lang w:val="en-US" w:eastAsia="zh-CN"/>
              </w:rPr>
              <w:t xml:space="preserve">  </w:t>
            </w:r>
            <w:r>
              <w:rPr>
                <w:rFonts w:hint="eastAsia"/>
                <w:color w:val="auto"/>
                <w:highlight w:val="none"/>
                <w:lang w:val="en-US" w:eastAsia="zh-CN"/>
              </w:rPr>
              <w:t>年12月</w:t>
            </w:r>
          </w:p>
        </w:tc>
        <w:tc>
          <w:tcPr>
            <w:tcW w:w="2993" w:type="dxa"/>
            <w:noWrap w:val="0"/>
            <w:vAlign w:val="center"/>
          </w:tcPr>
          <w:p w14:paraId="3C08B380">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第一年服务费的50%</w:t>
            </w:r>
          </w:p>
        </w:tc>
        <w:tc>
          <w:tcPr>
            <w:tcW w:w="2835" w:type="dxa"/>
            <w:noWrap w:val="0"/>
            <w:vAlign w:val="center"/>
          </w:tcPr>
          <w:p w14:paraId="58675392">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bCs/>
                <w:color w:val="auto"/>
                <w:sz w:val="24"/>
                <w:szCs w:val="24"/>
                <w:highlight w:val="none"/>
              </w:rPr>
            </w:pPr>
          </w:p>
        </w:tc>
      </w:tr>
      <w:tr w14:paraId="04314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695" w:type="dxa"/>
            <w:noWrap w:val="0"/>
            <w:vAlign w:val="center"/>
          </w:tcPr>
          <w:p w14:paraId="21E08560">
            <w:pPr>
              <w:widowControl/>
              <w:spacing w:line="360" w:lineRule="auto"/>
              <w:contextualSpacing/>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w:t>
            </w:r>
          </w:p>
        </w:tc>
        <w:tc>
          <w:tcPr>
            <w:tcW w:w="2843" w:type="dxa"/>
            <w:noWrap w:val="0"/>
            <w:vAlign w:val="center"/>
          </w:tcPr>
          <w:p w14:paraId="06C0A0BB">
            <w:pPr>
              <w:pStyle w:val="8"/>
              <w:ind w:left="0" w:leftChars="0"/>
              <w:jc w:val="center"/>
              <w:rPr>
                <w:rFonts w:hint="eastAsia" w:ascii="宋体" w:hAnsi="宋体" w:eastAsia="宋体" w:cs="宋体"/>
                <w:bCs/>
                <w:color w:val="auto"/>
                <w:sz w:val="24"/>
                <w:szCs w:val="24"/>
                <w:highlight w:val="none"/>
              </w:rPr>
            </w:pPr>
            <w:r>
              <w:rPr>
                <w:rFonts w:hint="eastAsia"/>
                <w:color w:val="auto"/>
                <w:highlight w:val="none"/>
                <w:lang w:val="en-US" w:eastAsia="zh-CN"/>
              </w:rPr>
              <w:t>20</w:t>
            </w:r>
            <w:r>
              <w:rPr>
                <w:rFonts w:hint="eastAsia"/>
                <w:color w:val="auto"/>
                <w:highlight w:val="none"/>
                <w:u w:val="single"/>
                <w:lang w:val="en-US" w:eastAsia="zh-CN"/>
              </w:rPr>
              <w:t xml:space="preserve">  </w:t>
            </w:r>
            <w:r>
              <w:rPr>
                <w:rFonts w:hint="eastAsia"/>
                <w:color w:val="auto"/>
                <w:highlight w:val="none"/>
                <w:lang w:val="en-US" w:eastAsia="zh-CN"/>
              </w:rPr>
              <w:t>年6月</w:t>
            </w:r>
          </w:p>
        </w:tc>
        <w:tc>
          <w:tcPr>
            <w:tcW w:w="2993" w:type="dxa"/>
            <w:noWrap w:val="0"/>
            <w:vAlign w:val="center"/>
          </w:tcPr>
          <w:p w14:paraId="302E986C">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第二年服务费的50%</w:t>
            </w:r>
          </w:p>
        </w:tc>
        <w:tc>
          <w:tcPr>
            <w:tcW w:w="2835" w:type="dxa"/>
            <w:noWrap w:val="0"/>
            <w:vAlign w:val="center"/>
          </w:tcPr>
          <w:p w14:paraId="557042CF">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bCs/>
                <w:color w:val="auto"/>
                <w:sz w:val="24"/>
                <w:szCs w:val="24"/>
                <w:highlight w:val="none"/>
              </w:rPr>
            </w:pPr>
          </w:p>
        </w:tc>
      </w:tr>
      <w:tr w14:paraId="05BE6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695" w:type="dxa"/>
            <w:noWrap w:val="0"/>
            <w:vAlign w:val="center"/>
          </w:tcPr>
          <w:p w14:paraId="381071D3">
            <w:pPr>
              <w:widowControl/>
              <w:spacing w:line="360" w:lineRule="auto"/>
              <w:contextualSpacing/>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w:t>
            </w:r>
          </w:p>
        </w:tc>
        <w:tc>
          <w:tcPr>
            <w:tcW w:w="2843" w:type="dxa"/>
            <w:noWrap w:val="0"/>
            <w:vAlign w:val="center"/>
          </w:tcPr>
          <w:p w14:paraId="29C34194">
            <w:pPr>
              <w:pStyle w:val="8"/>
              <w:ind w:left="0" w:leftChars="0"/>
              <w:jc w:val="center"/>
              <w:rPr>
                <w:rFonts w:hint="eastAsia" w:ascii="宋体" w:hAnsi="宋体" w:eastAsia="宋体" w:cs="宋体"/>
                <w:bCs/>
                <w:color w:val="auto"/>
                <w:sz w:val="24"/>
                <w:szCs w:val="24"/>
                <w:highlight w:val="none"/>
              </w:rPr>
            </w:pPr>
            <w:r>
              <w:rPr>
                <w:rFonts w:hint="eastAsia"/>
                <w:color w:val="auto"/>
                <w:highlight w:val="none"/>
                <w:lang w:val="en-US" w:eastAsia="zh-CN"/>
              </w:rPr>
              <w:t>20</w:t>
            </w:r>
            <w:r>
              <w:rPr>
                <w:rFonts w:hint="eastAsia"/>
                <w:color w:val="auto"/>
                <w:highlight w:val="none"/>
                <w:u w:val="single"/>
                <w:lang w:val="en-US" w:eastAsia="zh-CN"/>
              </w:rPr>
              <w:t xml:space="preserve">  </w:t>
            </w:r>
            <w:r>
              <w:rPr>
                <w:rFonts w:hint="eastAsia"/>
                <w:color w:val="auto"/>
                <w:highlight w:val="none"/>
                <w:lang w:val="en-US" w:eastAsia="zh-CN"/>
              </w:rPr>
              <w:t>年12月</w:t>
            </w:r>
          </w:p>
        </w:tc>
        <w:tc>
          <w:tcPr>
            <w:tcW w:w="2993" w:type="dxa"/>
            <w:noWrap w:val="0"/>
            <w:vAlign w:val="center"/>
          </w:tcPr>
          <w:p w14:paraId="25F77570">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第二年服务费的50%</w:t>
            </w:r>
          </w:p>
        </w:tc>
        <w:tc>
          <w:tcPr>
            <w:tcW w:w="2835" w:type="dxa"/>
            <w:noWrap w:val="0"/>
            <w:vAlign w:val="center"/>
          </w:tcPr>
          <w:p w14:paraId="2EAD4105">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bCs/>
                <w:color w:val="auto"/>
                <w:sz w:val="24"/>
                <w:szCs w:val="24"/>
                <w:highlight w:val="none"/>
              </w:rPr>
            </w:pPr>
          </w:p>
        </w:tc>
      </w:tr>
      <w:tr w14:paraId="1FAA0A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695" w:type="dxa"/>
            <w:noWrap w:val="0"/>
            <w:vAlign w:val="center"/>
          </w:tcPr>
          <w:p w14:paraId="3A355460">
            <w:pPr>
              <w:widowControl/>
              <w:spacing w:line="360" w:lineRule="auto"/>
              <w:contextualSpacing/>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w:t>
            </w:r>
          </w:p>
        </w:tc>
        <w:tc>
          <w:tcPr>
            <w:tcW w:w="2843" w:type="dxa"/>
            <w:noWrap w:val="0"/>
            <w:vAlign w:val="center"/>
          </w:tcPr>
          <w:p w14:paraId="45FC8B21">
            <w:pPr>
              <w:pStyle w:val="8"/>
              <w:ind w:left="0" w:leftChars="0"/>
              <w:jc w:val="center"/>
              <w:rPr>
                <w:rFonts w:hint="eastAsia" w:ascii="宋体" w:hAnsi="宋体" w:eastAsia="宋体" w:cs="宋体"/>
                <w:bCs/>
                <w:color w:val="auto"/>
                <w:sz w:val="24"/>
                <w:szCs w:val="24"/>
                <w:highlight w:val="none"/>
              </w:rPr>
            </w:pPr>
            <w:r>
              <w:rPr>
                <w:rFonts w:hint="eastAsia"/>
                <w:color w:val="auto"/>
                <w:highlight w:val="none"/>
                <w:lang w:val="en-US" w:eastAsia="zh-CN"/>
              </w:rPr>
              <w:t>20</w:t>
            </w:r>
            <w:r>
              <w:rPr>
                <w:rFonts w:hint="eastAsia"/>
                <w:color w:val="auto"/>
                <w:highlight w:val="none"/>
                <w:u w:val="single"/>
                <w:lang w:val="en-US" w:eastAsia="zh-CN"/>
              </w:rPr>
              <w:t xml:space="preserve">  </w:t>
            </w:r>
            <w:r>
              <w:rPr>
                <w:rFonts w:hint="eastAsia"/>
                <w:color w:val="auto"/>
                <w:highlight w:val="none"/>
                <w:lang w:val="en-US" w:eastAsia="zh-CN"/>
              </w:rPr>
              <w:t>年6月</w:t>
            </w:r>
          </w:p>
        </w:tc>
        <w:tc>
          <w:tcPr>
            <w:tcW w:w="2993" w:type="dxa"/>
            <w:noWrap w:val="0"/>
            <w:vAlign w:val="center"/>
          </w:tcPr>
          <w:p w14:paraId="70527E2B">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第三年服务费的50%</w:t>
            </w:r>
          </w:p>
        </w:tc>
        <w:tc>
          <w:tcPr>
            <w:tcW w:w="2835" w:type="dxa"/>
            <w:noWrap w:val="0"/>
            <w:vAlign w:val="center"/>
          </w:tcPr>
          <w:p w14:paraId="7905CA57">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bCs/>
                <w:color w:val="auto"/>
                <w:sz w:val="24"/>
                <w:szCs w:val="24"/>
                <w:highlight w:val="none"/>
              </w:rPr>
            </w:pPr>
          </w:p>
        </w:tc>
      </w:tr>
      <w:tr w14:paraId="153F2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695" w:type="dxa"/>
            <w:noWrap w:val="0"/>
            <w:vAlign w:val="center"/>
          </w:tcPr>
          <w:p w14:paraId="229A9A43">
            <w:pPr>
              <w:widowControl/>
              <w:spacing w:line="360" w:lineRule="auto"/>
              <w:contextualSpacing/>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w:t>
            </w:r>
          </w:p>
        </w:tc>
        <w:tc>
          <w:tcPr>
            <w:tcW w:w="2843" w:type="dxa"/>
            <w:noWrap w:val="0"/>
            <w:vAlign w:val="center"/>
          </w:tcPr>
          <w:p w14:paraId="6B1B343C">
            <w:pPr>
              <w:pStyle w:val="8"/>
              <w:ind w:left="0" w:leftChars="0"/>
              <w:jc w:val="center"/>
              <w:rPr>
                <w:rFonts w:hint="eastAsia" w:ascii="宋体" w:hAnsi="宋体" w:eastAsia="宋体" w:cs="宋体"/>
                <w:bCs/>
                <w:color w:val="auto"/>
                <w:sz w:val="24"/>
                <w:szCs w:val="24"/>
                <w:highlight w:val="none"/>
              </w:rPr>
            </w:pPr>
            <w:r>
              <w:rPr>
                <w:rFonts w:hint="eastAsia"/>
                <w:color w:val="auto"/>
                <w:highlight w:val="none"/>
                <w:lang w:val="en-US" w:eastAsia="zh-CN"/>
              </w:rPr>
              <w:t>20</w:t>
            </w:r>
            <w:r>
              <w:rPr>
                <w:rFonts w:hint="eastAsia"/>
                <w:color w:val="auto"/>
                <w:highlight w:val="none"/>
                <w:u w:val="single"/>
                <w:lang w:val="en-US" w:eastAsia="zh-CN"/>
              </w:rPr>
              <w:t xml:space="preserve">  </w:t>
            </w:r>
            <w:r>
              <w:rPr>
                <w:rFonts w:hint="eastAsia"/>
                <w:color w:val="auto"/>
                <w:highlight w:val="none"/>
                <w:lang w:val="en-US" w:eastAsia="zh-CN"/>
              </w:rPr>
              <w:t>年12月</w:t>
            </w:r>
          </w:p>
        </w:tc>
        <w:tc>
          <w:tcPr>
            <w:tcW w:w="2993" w:type="dxa"/>
            <w:noWrap w:val="0"/>
            <w:vAlign w:val="center"/>
          </w:tcPr>
          <w:p w14:paraId="1B9E4892">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第三年服务费的50%</w:t>
            </w:r>
          </w:p>
        </w:tc>
        <w:tc>
          <w:tcPr>
            <w:tcW w:w="2835" w:type="dxa"/>
            <w:noWrap w:val="0"/>
            <w:vAlign w:val="center"/>
          </w:tcPr>
          <w:p w14:paraId="337C109D">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bCs/>
                <w:color w:val="auto"/>
                <w:sz w:val="24"/>
                <w:szCs w:val="24"/>
                <w:highlight w:val="none"/>
              </w:rPr>
            </w:pPr>
          </w:p>
        </w:tc>
      </w:tr>
    </w:tbl>
    <w:p w14:paraId="162F8DDF">
      <w:pPr>
        <w:widowControl/>
        <w:tabs>
          <w:tab w:val="left" w:pos="4516"/>
        </w:tabs>
        <w:kinsoku w:val="0"/>
        <w:autoSpaceDE w:val="0"/>
        <w:autoSpaceDN w:val="0"/>
        <w:adjustRightInd w:val="0"/>
        <w:snapToGrid w:val="0"/>
        <w:spacing w:line="460" w:lineRule="exact"/>
        <w:ind w:firstLine="480" w:firstLineChars="200"/>
        <w:textAlignment w:val="baseline"/>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2、签订合同：自采购中心中标（成交）通知书发出之日起10日内按时签约。</w:t>
      </w:r>
    </w:p>
    <w:p w14:paraId="0F3C1DCF">
      <w:pPr>
        <w:widowControl/>
        <w:tabs>
          <w:tab w:val="left" w:pos="4516"/>
        </w:tabs>
        <w:kinsoku w:val="0"/>
        <w:autoSpaceDE w:val="0"/>
        <w:autoSpaceDN w:val="0"/>
        <w:adjustRightInd w:val="0"/>
        <w:snapToGrid w:val="0"/>
        <w:spacing w:line="460" w:lineRule="exact"/>
        <w:ind w:firstLine="480" w:firstLineChars="200"/>
        <w:textAlignment w:val="baseline"/>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注：每次付款前成交人须向采购人提供合法、相对应金额的正式增值税专用发票，否则采购人有权拒绝付款而不视为违约。以上付款均不计利息。</w:t>
      </w:r>
    </w:p>
    <w:p w14:paraId="13D19164">
      <w:pPr>
        <w:widowControl/>
        <w:tabs>
          <w:tab w:val="left" w:pos="4516"/>
        </w:tabs>
        <w:kinsoku w:val="0"/>
        <w:autoSpaceDE w:val="0"/>
        <w:autoSpaceDN w:val="0"/>
        <w:adjustRightInd w:val="0"/>
        <w:snapToGrid w:val="0"/>
        <w:spacing w:line="460" w:lineRule="exact"/>
        <w:ind w:firstLine="480" w:firstLineChars="200"/>
        <w:textAlignment w:val="baseline"/>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九、合同期限</w:t>
      </w:r>
    </w:p>
    <w:p w14:paraId="5390192A">
      <w:pPr>
        <w:widowControl/>
        <w:tabs>
          <w:tab w:val="left" w:pos="4516"/>
        </w:tabs>
        <w:kinsoku w:val="0"/>
        <w:autoSpaceDE w:val="0"/>
        <w:autoSpaceDN w:val="0"/>
        <w:adjustRightInd w:val="0"/>
        <w:snapToGrid w:val="0"/>
        <w:spacing w:line="460" w:lineRule="exact"/>
        <w:ind w:firstLine="480" w:firstLineChars="200"/>
        <w:textAlignment w:val="baseline"/>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1、合同期从</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年</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月</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日至</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年</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月</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日，为期三年。</w:t>
      </w:r>
    </w:p>
    <w:p w14:paraId="7E0816E8">
      <w:pPr>
        <w:widowControl/>
        <w:tabs>
          <w:tab w:val="left" w:pos="4516"/>
        </w:tabs>
        <w:kinsoku w:val="0"/>
        <w:autoSpaceDE w:val="0"/>
        <w:autoSpaceDN w:val="0"/>
        <w:adjustRightInd w:val="0"/>
        <w:snapToGrid w:val="0"/>
        <w:spacing w:line="460" w:lineRule="exact"/>
        <w:ind w:firstLine="480" w:firstLineChars="200"/>
        <w:textAlignment w:val="baseline"/>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2、任何一方如需中止合同，必须提前30天通知对方。</w:t>
      </w:r>
    </w:p>
    <w:p w14:paraId="7A7C5419">
      <w:pPr>
        <w:widowControl/>
        <w:tabs>
          <w:tab w:val="left" w:pos="4516"/>
        </w:tabs>
        <w:kinsoku w:val="0"/>
        <w:autoSpaceDE w:val="0"/>
        <w:autoSpaceDN w:val="0"/>
        <w:adjustRightInd w:val="0"/>
        <w:snapToGrid w:val="0"/>
        <w:spacing w:line="460" w:lineRule="exact"/>
        <w:ind w:firstLine="480" w:firstLineChars="200"/>
        <w:textAlignment w:val="baseline"/>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十、合同生效及其他</w:t>
      </w:r>
    </w:p>
    <w:p w14:paraId="08E0C973">
      <w:pPr>
        <w:widowControl/>
        <w:tabs>
          <w:tab w:val="left" w:pos="4516"/>
        </w:tabs>
        <w:kinsoku w:val="0"/>
        <w:autoSpaceDE w:val="0"/>
        <w:autoSpaceDN w:val="0"/>
        <w:adjustRightInd w:val="0"/>
        <w:snapToGrid w:val="0"/>
        <w:spacing w:line="460" w:lineRule="exact"/>
        <w:ind w:firstLine="480" w:firstLineChars="200"/>
        <w:textAlignment w:val="baseline"/>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1、本合同一式五份，具有同等法律效力，合同经双方代表签字并盖章后即行生效，生效后双方必须严格执行合同规定的内容。</w:t>
      </w:r>
    </w:p>
    <w:p w14:paraId="44D86678">
      <w:pPr>
        <w:widowControl/>
        <w:tabs>
          <w:tab w:val="left" w:pos="4516"/>
        </w:tabs>
        <w:kinsoku w:val="0"/>
        <w:autoSpaceDE w:val="0"/>
        <w:autoSpaceDN w:val="0"/>
        <w:adjustRightInd w:val="0"/>
        <w:snapToGrid w:val="0"/>
        <w:spacing w:line="460" w:lineRule="exact"/>
        <w:ind w:firstLine="480" w:firstLineChars="200"/>
        <w:textAlignment w:val="baseline"/>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2、在履行本合同的过程中，如发生争议，双方应通过友好协调解决；协商不成时，双方同意提交甲方所在地的人民法院提起诉讼并由其做最终裁决。</w:t>
      </w:r>
    </w:p>
    <w:p w14:paraId="3F38D524">
      <w:pPr>
        <w:widowControl/>
        <w:tabs>
          <w:tab w:val="left" w:pos="4516"/>
        </w:tabs>
        <w:kinsoku w:val="0"/>
        <w:autoSpaceDE w:val="0"/>
        <w:autoSpaceDN w:val="0"/>
        <w:adjustRightInd w:val="0"/>
        <w:snapToGrid w:val="0"/>
        <w:spacing w:line="46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．补充条款： </w:t>
      </w:r>
    </w:p>
    <w:p w14:paraId="6C8C40D7">
      <w:pPr>
        <w:widowControl/>
        <w:tabs>
          <w:tab w:val="left" w:pos="4516"/>
        </w:tabs>
        <w:kinsoku w:val="0"/>
        <w:autoSpaceDE w:val="0"/>
        <w:autoSpaceDN w:val="0"/>
        <w:adjustRightInd w:val="0"/>
        <w:snapToGrid w:val="0"/>
        <w:spacing w:line="460" w:lineRule="exact"/>
        <w:ind w:firstLine="48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本项目的</w:t>
      </w:r>
      <w:r>
        <w:rPr>
          <w:rFonts w:hint="eastAsia" w:ascii="宋体" w:hAnsi="宋体" w:eastAsia="宋体" w:cs="宋体"/>
          <w:b/>
          <w:bCs/>
          <w:color w:val="auto"/>
          <w:sz w:val="24"/>
          <w:szCs w:val="24"/>
          <w:highlight w:val="none"/>
          <w:lang w:val="en-US" w:eastAsia="zh-CN"/>
        </w:rPr>
        <w:t>磋商</w:t>
      </w:r>
      <w:r>
        <w:rPr>
          <w:rFonts w:hint="eastAsia" w:ascii="宋体" w:hAnsi="宋体" w:eastAsia="宋体" w:cs="宋体"/>
          <w:b/>
          <w:bCs/>
          <w:color w:val="auto"/>
          <w:sz w:val="24"/>
          <w:szCs w:val="24"/>
          <w:highlight w:val="none"/>
        </w:rPr>
        <w:t>文件、乙方</w:t>
      </w:r>
      <w:r>
        <w:rPr>
          <w:rFonts w:hint="eastAsia" w:ascii="宋体" w:hAnsi="宋体" w:eastAsia="宋体" w:cs="宋体"/>
          <w:b/>
          <w:bCs/>
          <w:color w:val="auto"/>
          <w:sz w:val="24"/>
          <w:szCs w:val="24"/>
          <w:highlight w:val="none"/>
          <w:lang w:val="en-US" w:eastAsia="zh-CN"/>
        </w:rPr>
        <w:t>响应</w:t>
      </w:r>
      <w:r>
        <w:rPr>
          <w:rFonts w:hint="eastAsia" w:ascii="宋体" w:hAnsi="宋体" w:eastAsia="宋体" w:cs="宋体"/>
          <w:b/>
          <w:bCs/>
          <w:color w:val="auto"/>
          <w:sz w:val="24"/>
          <w:szCs w:val="24"/>
          <w:highlight w:val="none"/>
        </w:rPr>
        <w:t>文件以及</w:t>
      </w:r>
      <w:r>
        <w:rPr>
          <w:rFonts w:hint="eastAsia" w:ascii="宋体" w:hAnsi="宋体" w:eastAsia="宋体" w:cs="宋体"/>
          <w:b/>
          <w:bCs/>
          <w:color w:val="auto"/>
          <w:sz w:val="24"/>
          <w:szCs w:val="24"/>
          <w:highlight w:val="none"/>
          <w:lang w:val="en-US" w:eastAsia="zh-CN"/>
        </w:rPr>
        <w:t>磋商</w:t>
      </w:r>
      <w:r>
        <w:rPr>
          <w:rFonts w:hint="eastAsia" w:ascii="宋体" w:hAnsi="宋体" w:eastAsia="宋体" w:cs="宋体"/>
          <w:b/>
          <w:bCs/>
          <w:color w:val="auto"/>
          <w:sz w:val="24"/>
          <w:szCs w:val="24"/>
          <w:highlight w:val="none"/>
        </w:rPr>
        <w:t>澄清答疑文件（如有）、</w:t>
      </w:r>
      <w:r>
        <w:rPr>
          <w:rFonts w:hint="eastAsia" w:ascii="宋体" w:hAnsi="宋体" w:eastAsia="宋体" w:cs="宋体"/>
          <w:b/>
          <w:bCs/>
          <w:color w:val="auto"/>
          <w:sz w:val="24"/>
          <w:szCs w:val="24"/>
          <w:highlight w:val="none"/>
          <w:lang w:val="en-US" w:eastAsia="zh-CN"/>
        </w:rPr>
        <w:t>成交</w:t>
      </w:r>
      <w:r>
        <w:rPr>
          <w:rFonts w:hint="eastAsia" w:ascii="宋体" w:hAnsi="宋体" w:eastAsia="宋体" w:cs="宋体"/>
          <w:b/>
          <w:bCs/>
          <w:color w:val="auto"/>
          <w:sz w:val="24"/>
          <w:szCs w:val="24"/>
          <w:highlight w:val="none"/>
        </w:rPr>
        <w:t>通知书等均为合同的</w:t>
      </w:r>
      <w:r>
        <w:rPr>
          <w:rFonts w:hint="eastAsia" w:ascii="宋体" w:hAnsi="宋体" w:eastAsia="宋体" w:cs="宋体"/>
          <w:b/>
          <w:bCs/>
          <w:color w:val="auto"/>
          <w:sz w:val="24"/>
          <w:szCs w:val="24"/>
          <w:highlight w:val="none"/>
          <w:lang w:val="en-US" w:eastAsia="zh-CN"/>
        </w:rPr>
        <w:t>组成部分</w:t>
      </w:r>
      <w:r>
        <w:rPr>
          <w:rFonts w:hint="eastAsia" w:ascii="宋体" w:hAnsi="宋体" w:eastAsia="宋体" w:cs="宋体"/>
          <w:b/>
          <w:bCs/>
          <w:color w:val="auto"/>
          <w:sz w:val="24"/>
          <w:szCs w:val="24"/>
          <w:highlight w:val="none"/>
          <w:lang w:eastAsia="zh-CN"/>
        </w:rPr>
        <w:t>。</w:t>
      </w:r>
    </w:p>
    <w:p w14:paraId="4E0371B2">
      <w:pPr>
        <w:keepNext w:val="0"/>
        <w:keepLines w:val="0"/>
        <w:pageBreakBefore w:val="0"/>
        <w:kinsoku/>
        <w:wordWrap/>
        <w:overflowPunct/>
        <w:topLinePunct w:val="0"/>
        <w:autoSpaceDE/>
        <w:autoSpaceDN/>
        <w:bidi w:val="0"/>
        <w:adjustRightInd/>
        <w:spacing w:line="480" w:lineRule="exact"/>
        <w:ind w:firstLine="482" w:firstLineChars="200"/>
        <w:jc w:val="left"/>
        <w:textAlignment w:val="auto"/>
        <w:rPr>
          <w:rFonts w:hint="eastAsia" w:ascii="宋体" w:hAnsi="宋体" w:eastAsia="宋体" w:cs="宋体"/>
          <w:color w:val="auto"/>
          <w:w w:val="100"/>
          <w:sz w:val="24"/>
          <w:szCs w:val="24"/>
          <w:highlight w:val="none"/>
        </w:rPr>
      </w:pPr>
      <w:r>
        <w:rPr>
          <w:rFonts w:hint="eastAsia" w:ascii="宋体" w:hAnsi="宋体" w:eastAsia="宋体" w:cs="宋体"/>
          <w:b/>
          <w:bCs w:val="0"/>
          <w:color w:val="auto"/>
          <w:w w:val="100"/>
          <w:sz w:val="24"/>
          <w:szCs w:val="24"/>
          <w:highlight w:val="none"/>
          <w:lang w:val="en-US" w:eastAsia="zh-CN"/>
        </w:rPr>
        <w:t xml:space="preserve">注：采购单位保留对该合同的修改及完善的权利。 </w:t>
      </w:r>
    </w:p>
    <w:p w14:paraId="2F7787A9">
      <w:pPr>
        <w:widowControl/>
        <w:tabs>
          <w:tab w:val="left" w:pos="4516"/>
        </w:tabs>
        <w:kinsoku w:val="0"/>
        <w:autoSpaceDE w:val="0"/>
        <w:autoSpaceDN w:val="0"/>
        <w:adjustRightInd w:val="0"/>
        <w:snapToGrid w:val="0"/>
        <w:spacing w:line="460" w:lineRule="exact"/>
        <w:jc w:val="left"/>
        <w:textAlignment w:val="baseline"/>
        <w:rPr>
          <w:rFonts w:hint="eastAsia" w:ascii="仿宋" w:hAnsi="仿宋" w:eastAsia="仿宋" w:cs="仿宋"/>
          <w:color w:val="auto"/>
          <w:sz w:val="28"/>
          <w:szCs w:val="28"/>
          <w:highlight w:val="none"/>
        </w:rPr>
      </w:pPr>
    </w:p>
    <w:p w14:paraId="44DCEAF9">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w w:val="100"/>
          <w:sz w:val="24"/>
          <w:szCs w:val="24"/>
          <w:highlight w:val="none"/>
        </w:rPr>
      </w:pPr>
      <w:r>
        <w:rPr>
          <w:rFonts w:hint="eastAsia" w:ascii="宋体" w:hAnsi="宋体" w:eastAsia="宋体" w:cs="宋体"/>
          <w:color w:val="auto"/>
          <w:w w:val="100"/>
          <w:sz w:val="24"/>
          <w:szCs w:val="24"/>
          <w:highlight w:val="none"/>
        </w:rPr>
        <w:t>甲方：</w:t>
      </w:r>
      <w:r>
        <w:rPr>
          <w:rFonts w:hint="eastAsia" w:ascii="宋体" w:hAnsi="宋体" w:eastAsia="宋体" w:cs="宋体"/>
          <w:color w:val="auto"/>
          <w:w w:val="100"/>
          <w:sz w:val="24"/>
          <w:szCs w:val="24"/>
          <w:highlight w:val="none"/>
          <w:lang w:val="en-US" w:eastAsia="zh-CN"/>
        </w:rPr>
        <w:t xml:space="preserve">                                            </w:t>
      </w:r>
      <w:r>
        <w:rPr>
          <w:rFonts w:hint="eastAsia" w:ascii="宋体" w:hAnsi="宋体" w:eastAsia="宋体" w:cs="宋体"/>
          <w:color w:val="auto"/>
          <w:w w:val="100"/>
          <w:sz w:val="24"/>
          <w:szCs w:val="24"/>
          <w:highlight w:val="none"/>
        </w:rPr>
        <w:t xml:space="preserve">乙方： </w:t>
      </w:r>
    </w:p>
    <w:p w14:paraId="7B54FE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w w:val="100"/>
          <w:sz w:val="24"/>
          <w:szCs w:val="24"/>
          <w:highlight w:val="none"/>
        </w:rPr>
      </w:pPr>
      <w:r>
        <w:rPr>
          <w:rFonts w:hint="eastAsia" w:ascii="宋体" w:hAnsi="宋体" w:eastAsia="宋体" w:cs="宋体"/>
          <w:color w:val="auto"/>
          <w:w w:val="100"/>
          <w:sz w:val="24"/>
          <w:szCs w:val="24"/>
          <w:highlight w:val="none"/>
        </w:rPr>
        <w:t xml:space="preserve">  经办人：</w:t>
      </w:r>
      <w:r>
        <w:rPr>
          <w:rFonts w:hint="eastAsia" w:ascii="宋体" w:hAnsi="宋体" w:eastAsia="宋体" w:cs="宋体"/>
          <w:color w:val="auto"/>
          <w:w w:val="100"/>
          <w:sz w:val="24"/>
          <w:szCs w:val="24"/>
          <w:highlight w:val="none"/>
          <w:lang w:val="en-US" w:eastAsia="zh-CN"/>
        </w:rPr>
        <w:t xml:space="preserve">                                          </w:t>
      </w:r>
      <w:r>
        <w:rPr>
          <w:rFonts w:hint="eastAsia" w:ascii="宋体" w:hAnsi="宋体" w:eastAsia="宋体" w:cs="宋体"/>
          <w:color w:val="auto"/>
          <w:w w:val="100"/>
          <w:sz w:val="24"/>
          <w:szCs w:val="24"/>
          <w:highlight w:val="none"/>
        </w:rPr>
        <w:t xml:space="preserve">经办人： </w:t>
      </w:r>
    </w:p>
    <w:p w14:paraId="303848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w w:val="100"/>
          <w:sz w:val="24"/>
          <w:szCs w:val="24"/>
          <w:highlight w:val="none"/>
        </w:rPr>
      </w:pPr>
      <w:r>
        <w:rPr>
          <w:rFonts w:hint="eastAsia" w:ascii="宋体" w:hAnsi="宋体" w:eastAsia="宋体" w:cs="宋体"/>
          <w:color w:val="auto"/>
          <w:w w:val="100"/>
          <w:sz w:val="24"/>
          <w:szCs w:val="24"/>
          <w:highlight w:val="none"/>
        </w:rPr>
        <w:t xml:space="preserve">  日期：</w:t>
      </w:r>
      <w:r>
        <w:rPr>
          <w:rFonts w:hint="eastAsia" w:ascii="宋体" w:hAnsi="宋体" w:eastAsia="宋体" w:cs="宋体"/>
          <w:color w:val="auto"/>
          <w:w w:val="100"/>
          <w:sz w:val="24"/>
          <w:szCs w:val="24"/>
          <w:highlight w:val="none"/>
          <w:lang w:val="en-US" w:eastAsia="zh-CN"/>
        </w:rPr>
        <w:t xml:space="preserve">                                            </w:t>
      </w:r>
      <w:r>
        <w:rPr>
          <w:rFonts w:hint="eastAsia" w:ascii="宋体" w:hAnsi="宋体" w:eastAsia="宋体" w:cs="宋体"/>
          <w:color w:val="auto"/>
          <w:w w:val="100"/>
          <w:sz w:val="24"/>
          <w:szCs w:val="24"/>
          <w:highlight w:val="none"/>
        </w:rPr>
        <w:t>日期：</w:t>
      </w:r>
    </w:p>
    <w:p w14:paraId="43909B50">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w w:val="100"/>
          <w:sz w:val="24"/>
          <w:szCs w:val="24"/>
          <w:highlight w:val="none"/>
        </w:rPr>
      </w:pPr>
      <w:r>
        <w:rPr>
          <w:rFonts w:hint="eastAsia" w:ascii="宋体" w:hAnsi="宋体" w:eastAsia="宋体" w:cs="宋体"/>
          <w:color w:val="auto"/>
          <w:w w:val="100"/>
          <w:sz w:val="24"/>
          <w:szCs w:val="24"/>
          <w:highlight w:val="none"/>
        </w:rPr>
        <w:t>联系电话：</w:t>
      </w:r>
      <w:r>
        <w:rPr>
          <w:rFonts w:hint="eastAsia" w:ascii="宋体" w:hAnsi="宋体" w:eastAsia="宋体" w:cs="宋体"/>
          <w:color w:val="auto"/>
          <w:w w:val="100"/>
          <w:sz w:val="24"/>
          <w:szCs w:val="24"/>
          <w:highlight w:val="none"/>
          <w:lang w:val="en-US" w:eastAsia="zh-CN"/>
        </w:rPr>
        <w:t xml:space="preserve">                                        </w:t>
      </w:r>
      <w:r>
        <w:rPr>
          <w:rFonts w:hint="eastAsia" w:ascii="宋体" w:hAnsi="宋体" w:eastAsia="宋体" w:cs="宋体"/>
          <w:color w:val="auto"/>
          <w:w w:val="100"/>
          <w:sz w:val="24"/>
          <w:szCs w:val="24"/>
          <w:highlight w:val="none"/>
        </w:rPr>
        <w:t xml:space="preserve">联系电话： </w:t>
      </w:r>
    </w:p>
    <w:p w14:paraId="275AC0A1">
      <w:pPr>
        <w:numPr>
          <w:ilvl w:val="0"/>
          <w:numId w:val="0"/>
        </w:numPr>
        <w:snapToGrid w:val="0"/>
        <w:spacing w:line="480" w:lineRule="exact"/>
        <w:contextualSpacing/>
        <w:rPr>
          <w:rFonts w:hint="eastAsia" w:ascii="仿宋" w:hAnsi="仿宋" w:eastAsia="仿宋" w:cs="仿宋"/>
          <w:color w:val="auto"/>
          <w:sz w:val="28"/>
          <w:szCs w:val="28"/>
          <w:highlight w:val="none"/>
        </w:rPr>
      </w:pPr>
      <w:r>
        <w:rPr>
          <w:rFonts w:hint="eastAsia" w:ascii="宋体" w:hAnsi="宋体" w:eastAsia="宋体" w:cs="宋体"/>
          <w:color w:val="auto"/>
          <w:w w:val="100"/>
          <w:sz w:val="24"/>
          <w:szCs w:val="24"/>
          <w:highlight w:val="none"/>
        </w:rPr>
        <w:t xml:space="preserve">   </w:t>
      </w:r>
      <w:r>
        <w:rPr>
          <w:rFonts w:hint="eastAsia" w:ascii="宋体" w:hAnsi="宋体" w:eastAsia="宋体" w:cs="宋体"/>
          <w:color w:val="auto"/>
          <w:w w:val="100"/>
          <w:sz w:val="24"/>
          <w:szCs w:val="24"/>
          <w:highlight w:val="none"/>
          <w:lang w:val="en-US" w:eastAsia="zh-CN"/>
        </w:rPr>
        <w:t xml:space="preserve">   </w:t>
      </w:r>
      <w:r>
        <w:rPr>
          <w:rFonts w:hint="eastAsia" w:ascii="宋体" w:hAnsi="宋体" w:eastAsia="宋体" w:cs="宋体"/>
          <w:color w:val="auto"/>
          <w:w w:val="100"/>
          <w:sz w:val="24"/>
          <w:szCs w:val="24"/>
          <w:highlight w:val="none"/>
        </w:rPr>
        <w:t>地址：</w:t>
      </w:r>
      <w:r>
        <w:rPr>
          <w:rFonts w:hint="eastAsia" w:ascii="宋体" w:hAnsi="宋体" w:eastAsia="宋体" w:cs="宋体"/>
          <w:color w:val="auto"/>
          <w:w w:val="100"/>
          <w:sz w:val="24"/>
          <w:szCs w:val="24"/>
          <w:highlight w:val="none"/>
          <w:lang w:val="en-US" w:eastAsia="zh-CN"/>
        </w:rPr>
        <w:t xml:space="preserve">                                            </w:t>
      </w:r>
      <w:r>
        <w:rPr>
          <w:rFonts w:hint="eastAsia" w:ascii="宋体" w:hAnsi="宋体" w:eastAsia="宋体" w:cs="宋体"/>
          <w:color w:val="auto"/>
          <w:w w:val="100"/>
          <w:sz w:val="24"/>
          <w:szCs w:val="24"/>
          <w:highlight w:val="none"/>
        </w:rPr>
        <w:t>地址：</w:t>
      </w:r>
    </w:p>
    <w:p w14:paraId="5647BECC">
      <w:pPr>
        <w:widowControl/>
        <w:tabs>
          <w:tab w:val="left" w:pos="4516"/>
        </w:tabs>
        <w:kinsoku w:val="0"/>
        <w:autoSpaceDE w:val="0"/>
        <w:autoSpaceDN w:val="0"/>
        <w:adjustRightInd w:val="0"/>
        <w:snapToGrid w:val="0"/>
        <w:textAlignment w:val="baseline"/>
        <w:rPr>
          <w:rFonts w:hint="eastAsia" w:ascii="宋体" w:hAnsi="宋体" w:eastAsia="宋体" w:cs="宋体"/>
          <w:color w:val="auto"/>
          <w:spacing w:val="10"/>
          <w:sz w:val="24"/>
          <w:szCs w:val="24"/>
          <w:highlight w:val="none"/>
        </w:rPr>
      </w:pPr>
    </w:p>
    <w:p w14:paraId="0325B81B">
      <w:pPr>
        <w:snapToGrid w:val="0"/>
        <w:spacing w:line="400" w:lineRule="atLeast"/>
        <w:jc w:val="both"/>
        <w:outlineLvl w:val="0"/>
        <w:rPr>
          <w:rFonts w:hint="eastAsia" w:asciiTheme="minorEastAsia" w:hAnsiTheme="minorEastAsia" w:eastAsiaTheme="minorEastAsia"/>
          <w:b/>
          <w:color w:val="auto"/>
          <w:sz w:val="36"/>
          <w:szCs w:val="36"/>
          <w:highlight w:val="none"/>
        </w:rPr>
      </w:pPr>
    </w:p>
    <w:p w14:paraId="45C321D7">
      <w:pPr>
        <w:snapToGrid w:val="0"/>
        <w:spacing w:line="400" w:lineRule="atLeast"/>
        <w:jc w:val="center"/>
        <w:outlineLvl w:val="0"/>
        <w:rPr>
          <w:rFonts w:hint="eastAsia" w:asciiTheme="minorEastAsia" w:hAnsiTheme="minorEastAsia" w:eastAsiaTheme="minorEastAsia"/>
          <w:b/>
          <w:color w:val="auto"/>
          <w:sz w:val="36"/>
          <w:szCs w:val="36"/>
          <w:highlight w:val="none"/>
        </w:rPr>
      </w:pPr>
    </w:p>
    <w:p w14:paraId="67D95CA6">
      <w:pPr>
        <w:snapToGrid w:val="0"/>
        <w:spacing w:line="400" w:lineRule="atLeast"/>
        <w:jc w:val="center"/>
        <w:outlineLvl w:val="0"/>
        <w:rPr>
          <w:rFonts w:hint="eastAsia" w:asciiTheme="minorEastAsia" w:hAnsiTheme="minorEastAsia" w:eastAsiaTheme="minorEastAsia"/>
          <w:b/>
          <w:color w:val="auto"/>
          <w:sz w:val="36"/>
          <w:szCs w:val="36"/>
          <w:highlight w:val="none"/>
        </w:rPr>
      </w:pPr>
    </w:p>
    <w:p w14:paraId="716DA6A0">
      <w:pPr>
        <w:snapToGrid w:val="0"/>
        <w:spacing w:line="400" w:lineRule="atLeast"/>
        <w:jc w:val="center"/>
        <w:outlineLvl w:val="0"/>
        <w:rPr>
          <w:rFonts w:hint="eastAsia" w:asciiTheme="minorEastAsia" w:hAnsiTheme="minorEastAsia" w:eastAsiaTheme="minorEastAsia"/>
          <w:b/>
          <w:color w:val="auto"/>
          <w:sz w:val="36"/>
          <w:szCs w:val="36"/>
          <w:highlight w:val="none"/>
        </w:rPr>
      </w:pPr>
    </w:p>
    <w:p w14:paraId="70C5D75A">
      <w:pPr>
        <w:snapToGrid w:val="0"/>
        <w:spacing w:line="400" w:lineRule="atLeast"/>
        <w:jc w:val="center"/>
        <w:outlineLvl w:val="0"/>
        <w:rPr>
          <w:rFonts w:asciiTheme="minorEastAsia" w:hAnsiTheme="minorEastAsia" w:eastAsiaTheme="minorEastAsia"/>
          <w:b/>
          <w:color w:val="auto"/>
          <w:sz w:val="36"/>
          <w:szCs w:val="36"/>
          <w:highlight w:val="none"/>
        </w:rPr>
      </w:pPr>
      <w:r>
        <w:rPr>
          <w:rFonts w:hint="eastAsia" w:asciiTheme="minorEastAsia" w:hAnsiTheme="minorEastAsia" w:eastAsiaTheme="minorEastAsia"/>
          <w:b/>
          <w:color w:val="auto"/>
          <w:sz w:val="36"/>
          <w:szCs w:val="36"/>
          <w:highlight w:val="none"/>
        </w:rPr>
        <w:t>第六部分  质疑提出和处理</w:t>
      </w:r>
    </w:p>
    <w:p w14:paraId="3687B531">
      <w:pPr>
        <w:pStyle w:val="8"/>
        <w:snapToGrid w:val="0"/>
        <w:spacing w:line="400" w:lineRule="atLeast"/>
        <w:ind w:left="0" w:leftChars="0" w:firstLine="640" w:firstLineChars="200"/>
        <w:contextualSpacing/>
        <w:rPr>
          <w:rFonts w:ascii="仿宋_GB2312" w:hAnsi="宋体" w:eastAsia="仿宋_GB2312"/>
          <w:color w:val="auto"/>
          <w:sz w:val="32"/>
          <w:szCs w:val="32"/>
          <w:highlight w:val="none"/>
        </w:rPr>
      </w:pPr>
    </w:p>
    <w:p w14:paraId="4ECEF918">
      <w:pPr>
        <w:pStyle w:val="8"/>
        <w:snapToGrid w:val="0"/>
        <w:spacing w:line="480" w:lineRule="exact"/>
        <w:ind w:left="0" w:leftChars="0" w:firstLine="480" w:firstLineChars="200"/>
        <w:contextualSpacing/>
        <w:rPr>
          <w:color w:val="auto"/>
          <w:sz w:val="24"/>
          <w:highlight w:val="none"/>
          <w:lang w:val="zh-CN"/>
        </w:rPr>
      </w:pPr>
      <w:r>
        <w:rPr>
          <w:color w:val="auto"/>
          <w:sz w:val="24"/>
          <w:highlight w:val="none"/>
          <w:lang w:val="zh-CN"/>
        </w:rPr>
        <w:t>一、质疑的提出</w:t>
      </w:r>
    </w:p>
    <w:p w14:paraId="7205FFCB">
      <w:pPr>
        <w:pStyle w:val="8"/>
        <w:snapToGrid w:val="0"/>
        <w:spacing w:line="480" w:lineRule="exact"/>
        <w:ind w:left="0" w:leftChars="0" w:firstLine="480" w:firstLineChars="200"/>
        <w:contextualSpacing/>
        <w:rPr>
          <w:color w:val="auto"/>
          <w:sz w:val="24"/>
          <w:highlight w:val="none"/>
          <w:lang w:val="zh-CN"/>
        </w:rPr>
      </w:pPr>
      <w:r>
        <w:rPr>
          <w:color w:val="auto"/>
          <w:sz w:val="24"/>
          <w:highlight w:val="none"/>
          <w:lang w:val="zh-CN"/>
        </w:rPr>
        <w:t>(一)质疑人的身份要求</w:t>
      </w:r>
    </w:p>
    <w:p w14:paraId="602A9653">
      <w:pPr>
        <w:pStyle w:val="8"/>
        <w:snapToGrid w:val="0"/>
        <w:spacing w:line="480" w:lineRule="exact"/>
        <w:ind w:left="0" w:leftChars="0" w:firstLine="480" w:firstLineChars="200"/>
        <w:contextualSpacing/>
        <w:rPr>
          <w:color w:val="auto"/>
          <w:sz w:val="24"/>
          <w:highlight w:val="none"/>
          <w:lang w:val="zh-CN"/>
        </w:rPr>
      </w:pPr>
      <w:r>
        <w:rPr>
          <w:color w:val="auto"/>
          <w:sz w:val="24"/>
          <w:highlight w:val="none"/>
          <w:lang w:val="zh-CN"/>
        </w:rPr>
        <w:t>1.提出质疑的供应商应当是参与所质疑项目采购活动的供应商。</w:t>
      </w:r>
    </w:p>
    <w:p w14:paraId="0633AA66">
      <w:pPr>
        <w:pStyle w:val="8"/>
        <w:snapToGrid w:val="0"/>
        <w:spacing w:line="480" w:lineRule="exact"/>
        <w:ind w:left="0" w:leftChars="0" w:firstLine="480" w:firstLineChars="200"/>
        <w:contextualSpacing/>
        <w:rPr>
          <w:color w:val="auto"/>
          <w:sz w:val="24"/>
          <w:highlight w:val="none"/>
        </w:rPr>
      </w:pPr>
      <w:r>
        <w:rPr>
          <w:color w:val="auto"/>
          <w:sz w:val="24"/>
          <w:highlight w:val="none"/>
          <w:lang w:val="zh-CN"/>
        </w:rPr>
        <w:t>2.潜在供应商已依法获取其可质疑的采购文件的，可以对该文件提出质疑。对采购文件提出质疑的，应当在获取采购文件或者采购文件公告期限届满之日起7个工作日内提出。</w:t>
      </w:r>
    </w:p>
    <w:p w14:paraId="7D41D498">
      <w:pPr>
        <w:pStyle w:val="8"/>
        <w:snapToGrid w:val="0"/>
        <w:spacing w:line="480" w:lineRule="exact"/>
        <w:ind w:left="0" w:leftChars="0" w:firstLine="480" w:firstLineChars="200"/>
        <w:contextualSpacing/>
        <w:rPr>
          <w:color w:val="auto"/>
          <w:sz w:val="24"/>
          <w:highlight w:val="none"/>
          <w:lang w:val="zh-CN"/>
        </w:rPr>
      </w:pPr>
      <w:r>
        <w:rPr>
          <w:color w:val="auto"/>
          <w:sz w:val="24"/>
          <w:highlight w:val="none"/>
          <w:lang w:val="zh-CN"/>
        </w:rPr>
        <w:t xml:space="preserve"> (二)质疑提出的格式要求</w:t>
      </w:r>
    </w:p>
    <w:p w14:paraId="787E0EA8">
      <w:pPr>
        <w:pStyle w:val="8"/>
        <w:snapToGrid w:val="0"/>
        <w:spacing w:line="480" w:lineRule="exact"/>
        <w:ind w:left="0" w:leftChars="0" w:firstLine="480" w:firstLineChars="200"/>
        <w:contextualSpacing/>
        <w:rPr>
          <w:color w:val="auto"/>
          <w:sz w:val="24"/>
          <w:highlight w:val="none"/>
          <w:lang w:val="zh-CN"/>
        </w:rPr>
      </w:pPr>
      <w:r>
        <w:rPr>
          <w:color w:val="auto"/>
          <w:sz w:val="24"/>
          <w:highlight w:val="none"/>
          <w:lang w:val="zh-CN"/>
        </w:rPr>
        <w:t>1.质疑必须按《政府采购法》、《政府采购法实施条例》及《江苏省政府采购供应商监督管理暂行办法》的相关规定提交，质疑实行实名制，不得进行虚假、恶意质疑，未按上述要求提交的质疑函，</w:t>
      </w:r>
      <w:r>
        <w:rPr>
          <w:color w:val="auto"/>
          <w:sz w:val="24"/>
          <w:highlight w:val="none"/>
        </w:rPr>
        <w:t>采购代理机构</w:t>
      </w:r>
      <w:r>
        <w:rPr>
          <w:color w:val="auto"/>
          <w:sz w:val="24"/>
          <w:highlight w:val="none"/>
          <w:lang w:val="zh-CN"/>
        </w:rPr>
        <w:t>有权不予受理。</w:t>
      </w:r>
    </w:p>
    <w:p w14:paraId="055035BF">
      <w:pPr>
        <w:pStyle w:val="8"/>
        <w:snapToGrid w:val="0"/>
        <w:spacing w:line="480" w:lineRule="exact"/>
        <w:ind w:left="0" w:leftChars="0" w:firstLine="480" w:firstLineChars="200"/>
        <w:contextualSpacing/>
        <w:rPr>
          <w:color w:val="auto"/>
          <w:sz w:val="24"/>
          <w:highlight w:val="none"/>
          <w:lang w:val="zh-CN"/>
        </w:rPr>
      </w:pPr>
      <w:r>
        <w:rPr>
          <w:color w:val="auto"/>
          <w:sz w:val="24"/>
          <w:highlight w:val="none"/>
          <w:lang w:val="zh-CN"/>
        </w:rPr>
        <w:t>2.质疑函应包括：</w:t>
      </w:r>
    </w:p>
    <w:p w14:paraId="37FEDA4C">
      <w:pPr>
        <w:pStyle w:val="8"/>
        <w:snapToGrid w:val="0"/>
        <w:spacing w:line="480" w:lineRule="exact"/>
        <w:ind w:left="0" w:leftChars="0" w:firstLine="480" w:firstLineChars="200"/>
        <w:contextualSpacing/>
        <w:rPr>
          <w:rFonts w:ascii="宋体" w:hAnsi="宋体"/>
          <w:color w:val="auto"/>
          <w:sz w:val="24"/>
          <w:highlight w:val="none"/>
        </w:rPr>
      </w:pPr>
      <w:r>
        <w:rPr>
          <w:rFonts w:hint="eastAsia" w:ascii="宋体" w:hAnsi="宋体"/>
          <w:color w:val="auto"/>
          <w:sz w:val="24"/>
          <w:highlight w:val="none"/>
        </w:rPr>
        <w:t>（1）质疑人的名称、地址、邮编、联系人及联系电话；</w:t>
      </w:r>
    </w:p>
    <w:p w14:paraId="61249854">
      <w:pPr>
        <w:pStyle w:val="8"/>
        <w:snapToGrid w:val="0"/>
        <w:spacing w:line="480" w:lineRule="exact"/>
        <w:ind w:left="0" w:leftChars="0" w:firstLine="480" w:firstLineChars="200"/>
        <w:contextualSpacing/>
        <w:rPr>
          <w:rFonts w:ascii="宋体" w:hAnsi="宋体"/>
          <w:color w:val="auto"/>
          <w:sz w:val="24"/>
          <w:highlight w:val="none"/>
        </w:rPr>
      </w:pPr>
      <w:r>
        <w:rPr>
          <w:rFonts w:hint="eastAsia" w:ascii="宋体" w:hAnsi="宋体"/>
          <w:color w:val="auto"/>
          <w:sz w:val="24"/>
          <w:highlight w:val="none"/>
        </w:rPr>
        <w:t>（2）质疑项目的名称、编号；</w:t>
      </w:r>
    </w:p>
    <w:p w14:paraId="0C1ACEFD">
      <w:pPr>
        <w:pStyle w:val="8"/>
        <w:snapToGrid w:val="0"/>
        <w:spacing w:line="480" w:lineRule="exact"/>
        <w:ind w:left="0" w:leftChars="0" w:firstLine="480" w:firstLineChars="200"/>
        <w:contextualSpacing/>
        <w:rPr>
          <w:rFonts w:ascii="宋体" w:hAnsi="宋体"/>
          <w:color w:val="auto"/>
          <w:sz w:val="24"/>
          <w:highlight w:val="none"/>
        </w:rPr>
      </w:pPr>
      <w:r>
        <w:rPr>
          <w:rFonts w:hint="eastAsia" w:ascii="宋体" w:hAnsi="宋体"/>
          <w:color w:val="auto"/>
          <w:sz w:val="24"/>
          <w:highlight w:val="none"/>
        </w:rPr>
        <w:t>（3）具体、明确的质疑事项和与质疑事项相关的请求；</w:t>
      </w:r>
    </w:p>
    <w:p w14:paraId="0372657A">
      <w:pPr>
        <w:pStyle w:val="8"/>
        <w:snapToGrid w:val="0"/>
        <w:spacing w:line="480" w:lineRule="exact"/>
        <w:ind w:left="0" w:leftChars="0" w:firstLine="480" w:firstLineChars="200"/>
        <w:contextualSpacing/>
        <w:rPr>
          <w:rFonts w:ascii="宋体" w:hAnsi="宋体"/>
          <w:color w:val="auto"/>
          <w:sz w:val="24"/>
          <w:highlight w:val="none"/>
        </w:rPr>
      </w:pPr>
      <w:r>
        <w:rPr>
          <w:rFonts w:hint="eastAsia" w:ascii="宋体" w:hAnsi="宋体"/>
          <w:color w:val="auto"/>
          <w:sz w:val="24"/>
          <w:highlight w:val="none"/>
        </w:rPr>
        <w:t>（4）事实依据；</w:t>
      </w:r>
    </w:p>
    <w:p w14:paraId="5C2EEA90">
      <w:pPr>
        <w:pStyle w:val="8"/>
        <w:snapToGrid w:val="0"/>
        <w:spacing w:line="480" w:lineRule="exact"/>
        <w:ind w:left="0" w:leftChars="0" w:firstLine="480" w:firstLineChars="200"/>
        <w:contextualSpacing/>
        <w:rPr>
          <w:rFonts w:ascii="宋体" w:hAnsi="宋体"/>
          <w:color w:val="auto"/>
          <w:sz w:val="24"/>
          <w:highlight w:val="none"/>
        </w:rPr>
      </w:pPr>
      <w:r>
        <w:rPr>
          <w:rFonts w:hint="eastAsia" w:ascii="宋体" w:hAnsi="宋体"/>
          <w:color w:val="auto"/>
          <w:sz w:val="24"/>
          <w:highlight w:val="none"/>
        </w:rPr>
        <w:t xml:space="preserve">（5）必要的法律依据；                          </w:t>
      </w:r>
    </w:p>
    <w:p w14:paraId="597E09B7">
      <w:pPr>
        <w:pStyle w:val="8"/>
        <w:snapToGrid w:val="0"/>
        <w:spacing w:line="480" w:lineRule="exact"/>
        <w:ind w:left="0" w:leftChars="0" w:firstLine="480" w:firstLineChars="200"/>
        <w:contextualSpacing/>
        <w:rPr>
          <w:rFonts w:ascii="宋体" w:hAnsi="宋体"/>
          <w:color w:val="auto"/>
          <w:sz w:val="24"/>
          <w:highlight w:val="none"/>
        </w:rPr>
      </w:pPr>
      <w:r>
        <w:rPr>
          <w:rFonts w:hint="eastAsia" w:ascii="宋体" w:hAnsi="宋体"/>
          <w:color w:val="auto"/>
          <w:sz w:val="24"/>
          <w:highlight w:val="none"/>
        </w:rPr>
        <w:t>（6）提出质疑的日期。</w:t>
      </w:r>
    </w:p>
    <w:p w14:paraId="73537646">
      <w:pPr>
        <w:pStyle w:val="8"/>
        <w:snapToGrid w:val="0"/>
        <w:spacing w:line="480" w:lineRule="exact"/>
        <w:ind w:left="0" w:leftChars="0" w:firstLine="480" w:firstLineChars="200"/>
        <w:contextualSpacing/>
        <w:rPr>
          <w:color w:val="auto"/>
          <w:sz w:val="24"/>
          <w:highlight w:val="none"/>
          <w:lang w:val="zh-CN"/>
        </w:rPr>
      </w:pPr>
      <w:r>
        <w:rPr>
          <w:rFonts w:hint="eastAsia" w:ascii="宋体" w:hAnsi="宋体"/>
          <w:color w:val="auto"/>
          <w:sz w:val="24"/>
          <w:highlight w:val="none"/>
        </w:rPr>
        <w:t>（7）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代理机构将不予受理。质疑人委托代理质疑的，应当向采购代理机构提交授权委托书，并载明委托代理的具体权限和事项。</w:t>
      </w:r>
    </w:p>
    <w:p w14:paraId="642098C0">
      <w:pPr>
        <w:pStyle w:val="8"/>
        <w:snapToGrid w:val="0"/>
        <w:spacing w:line="480" w:lineRule="exact"/>
        <w:ind w:left="0" w:leftChars="0" w:firstLine="480" w:firstLineChars="200"/>
        <w:contextualSpacing/>
        <w:rPr>
          <w:color w:val="auto"/>
          <w:sz w:val="24"/>
          <w:highlight w:val="none"/>
          <w:lang w:val="zh-CN"/>
        </w:rPr>
      </w:pPr>
      <w:r>
        <w:rPr>
          <w:color w:val="auto"/>
          <w:sz w:val="24"/>
          <w:highlight w:val="none"/>
          <w:lang w:val="zh-CN"/>
        </w:rPr>
        <w:t>3.质疑函需遵循的原则：</w:t>
      </w:r>
    </w:p>
    <w:p w14:paraId="0F66A27F">
      <w:pPr>
        <w:pStyle w:val="8"/>
        <w:snapToGrid w:val="0"/>
        <w:spacing w:line="480" w:lineRule="exact"/>
        <w:ind w:left="0" w:leftChars="0" w:firstLine="480" w:firstLineChars="200"/>
        <w:contextualSpacing/>
        <w:rPr>
          <w:rFonts w:ascii="宋体" w:hAnsi="宋体"/>
          <w:color w:val="auto"/>
          <w:sz w:val="24"/>
          <w:highlight w:val="none"/>
          <w:lang w:val="zh-CN"/>
        </w:rPr>
      </w:pPr>
      <w:r>
        <w:rPr>
          <w:rFonts w:hint="eastAsia" w:ascii="宋体" w:hAnsi="宋体"/>
          <w:color w:val="auto"/>
          <w:sz w:val="24"/>
          <w:highlight w:val="none"/>
          <w:lang w:val="zh-CN"/>
        </w:rPr>
        <w:t>提出质疑时，必须坚持“谁主张，谁举证”、“实事求是”的原则，不能臆测。属于须由法定部门调查、侦查或先行作出相关认定的事项，质疑人应当依法申请具有法定职权的部门查清、认定，并将相关结果提供给采购人。采购人不具有法定调查、认定权限。</w:t>
      </w:r>
    </w:p>
    <w:p w14:paraId="28131010">
      <w:pPr>
        <w:pStyle w:val="8"/>
        <w:snapToGrid w:val="0"/>
        <w:spacing w:line="480" w:lineRule="exact"/>
        <w:ind w:left="0" w:leftChars="0" w:firstLine="480" w:firstLineChars="200"/>
        <w:contextualSpacing/>
        <w:rPr>
          <w:rFonts w:ascii="宋体" w:hAnsi="宋体"/>
          <w:color w:val="auto"/>
          <w:sz w:val="24"/>
          <w:highlight w:val="none"/>
          <w:lang w:val="zh-CN"/>
        </w:rPr>
      </w:pPr>
      <w:r>
        <w:rPr>
          <w:rFonts w:hint="eastAsia" w:ascii="宋体" w:hAnsi="宋体"/>
          <w:color w:val="auto"/>
          <w:sz w:val="24"/>
          <w:highlight w:val="none"/>
          <w:lang w:val="zh-CN"/>
        </w:rPr>
        <w:t>（三）质疑提出的时效要求</w:t>
      </w:r>
    </w:p>
    <w:p w14:paraId="4697559B">
      <w:pPr>
        <w:pStyle w:val="8"/>
        <w:snapToGrid w:val="0"/>
        <w:spacing w:line="480" w:lineRule="exact"/>
        <w:ind w:left="0" w:leftChars="0" w:firstLine="480" w:firstLineChars="200"/>
        <w:contextualSpacing/>
        <w:rPr>
          <w:color w:val="auto"/>
          <w:sz w:val="24"/>
          <w:highlight w:val="none"/>
          <w:lang w:val="zh-CN"/>
        </w:rPr>
      </w:pPr>
      <w:r>
        <w:rPr>
          <w:color w:val="auto"/>
          <w:sz w:val="24"/>
          <w:highlight w:val="none"/>
          <w:lang w:val="zh-CN"/>
        </w:rPr>
        <w:t>1.供应商认为采购文件、采购过程和采购结果使自己的权益受到损害的，可以在知道或应知其权益受到损害之日起七个工作日内，以书面形式向</w:t>
      </w:r>
      <w:r>
        <w:rPr>
          <w:color w:val="auto"/>
          <w:sz w:val="24"/>
          <w:highlight w:val="none"/>
        </w:rPr>
        <w:t>采购代理机构</w:t>
      </w:r>
      <w:r>
        <w:rPr>
          <w:color w:val="auto"/>
          <w:sz w:val="24"/>
          <w:highlight w:val="none"/>
          <w:lang w:val="zh-CN"/>
        </w:rPr>
        <w:t>或采购人提出质疑。上述应知其权益受到损害之日，是指：</w:t>
      </w:r>
    </w:p>
    <w:p w14:paraId="4A796C08">
      <w:pPr>
        <w:pStyle w:val="8"/>
        <w:snapToGrid w:val="0"/>
        <w:spacing w:line="480" w:lineRule="exact"/>
        <w:ind w:left="0" w:leftChars="0" w:firstLine="480" w:firstLineChars="200"/>
        <w:contextualSpacing/>
        <w:rPr>
          <w:color w:val="auto"/>
          <w:sz w:val="24"/>
          <w:highlight w:val="none"/>
          <w:lang w:val="zh-CN"/>
        </w:rPr>
      </w:pPr>
      <w:r>
        <w:rPr>
          <w:color w:val="auto"/>
          <w:sz w:val="24"/>
          <w:highlight w:val="none"/>
          <w:lang w:val="zh-CN"/>
        </w:rPr>
        <w:t>（1）对可以质疑的采购文件提出质疑的，为收到采购文件之日或者采购文件公告期限届满之日；</w:t>
      </w:r>
    </w:p>
    <w:p w14:paraId="62CF1126">
      <w:pPr>
        <w:pStyle w:val="8"/>
        <w:snapToGrid w:val="0"/>
        <w:spacing w:line="480" w:lineRule="exact"/>
        <w:ind w:left="0" w:leftChars="0" w:firstLine="480" w:firstLineChars="200"/>
        <w:contextualSpacing/>
        <w:rPr>
          <w:color w:val="auto"/>
          <w:sz w:val="24"/>
          <w:highlight w:val="none"/>
          <w:lang w:val="zh-CN"/>
        </w:rPr>
      </w:pPr>
      <w:r>
        <w:rPr>
          <w:color w:val="auto"/>
          <w:sz w:val="24"/>
          <w:highlight w:val="none"/>
          <w:lang w:val="zh-CN"/>
        </w:rPr>
        <w:t>（2）对采购过程提出质疑的，为各采购程序环节结束之日；</w:t>
      </w:r>
    </w:p>
    <w:p w14:paraId="5E1993A7">
      <w:pPr>
        <w:pStyle w:val="8"/>
        <w:snapToGrid w:val="0"/>
        <w:spacing w:line="480" w:lineRule="exact"/>
        <w:ind w:left="0" w:leftChars="0" w:firstLine="480" w:firstLineChars="200"/>
        <w:contextualSpacing/>
        <w:rPr>
          <w:color w:val="auto"/>
          <w:sz w:val="24"/>
          <w:highlight w:val="none"/>
          <w:lang w:val="zh-CN"/>
        </w:rPr>
      </w:pPr>
      <w:r>
        <w:rPr>
          <w:color w:val="auto"/>
          <w:sz w:val="24"/>
          <w:highlight w:val="none"/>
          <w:lang w:val="zh-CN"/>
        </w:rPr>
        <w:t>（3）对成交或者成交结果提出质疑的，为成交或者成交结果公告期限届满之日。</w:t>
      </w:r>
    </w:p>
    <w:p w14:paraId="37EB509A">
      <w:pPr>
        <w:pStyle w:val="8"/>
        <w:snapToGrid w:val="0"/>
        <w:spacing w:line="480" w:lineRule="exact"/>
        <w:ind w:left="0" w:leftChars="0" w:firstLine="480" w:firstLineChars="200"/>
        <w:contextualSpacing/>
        <w:rPr>
          <w:color w:val="auto"/>
          <w:sz w:val="24"/>
          <w:highlight w:val="none"/>
          <w:lang w:val="zh-CN"/>
        </w:rPr>
      </w:pPr>
      <w:r>
        <w:rPr>
          <w:color w:val="auto"/>
          <w:sz w:val="24"/>
          <w:highlight w:val="none"/>
          <w:lang w:val="zh-CN"/>
        </w:rPr>
        <w:t>供应商认为采购文件使自己的权益受到损害的，可以按照</w:t>
      </w:r>
      <w:r>
        <w:rPr>
          <w:rFonts w:hint="eastAsia"/>
          <w:color w:val="auto"/>
          <w:sz w:val="24"/>
          <w:highlight w:val="none"/>
          <w:lang w:val="zh-CN"/>
        </w:rPr>
        <w:t>磋商</w:t>
      </w:r>
      <w:r>
        <w:rPr>
          <w:color w:val="auto"/>
          <w:sz w:val="24"/>
          <w:highlight w:val="none"/>
          <w:lang w:val="zh-CN"/>
        </w:rPr>
        <w:t>公告第</w:t>
      </w:r>
      <w:r>
        <w:rPr>
          <w:rFonts w:hint="eastAsia"/>
          <w:color w:val="auto"/>
          <w:sz w:val="24"/>
          <w:highlight w:val="none"/>
          <w:lang w:val="zh-CN"/>
        </w:rPr>
        <w:t>七</w:t>
      </w:r>
      <w:r>
        <w:rPr>
          <w:color w:val="auto"/>
          <w:sz w:val="24"/>
          <w:highlight w:val="none"/>
          <w:lang w:val="zh-CN"/>
        </w:rPr>
        <w:t>项</w:t>
      </w:r>
      <w:r>
        <w:rPr>
          <w:rFonts w:hint="eastAsia"/>
          <w:color w:val="auto"/>
          <w:sz w:val="24"/>
          <w:highlight w:val="none"/>
          <w:lang w:val="zh-CN"/>
        </w:rPr>
        <w:t>第四点</w:t>
      </w:r>
      <w:r>
        <w:rPr>
          <w:color w:val="auto"/>
          <w:sz w:val="24"/>
          <w:highlight w:val="none"/>
          <w:lang w:val="zh-CN"/>
        </w:rPr>
        <w:t>要求向采购人提出质疑；供应商认为采购过程和采购结果使自己的权益受到损害的，可以以书面形式向</w:t>
      </w:r>
      <w:r>
        <w:rPr>
          <w:color w:val="auto"/>
          <w:sz w:val="24"/>
          <w:highlight w:val="none"/>
        </w:rPr>
        <w:t>采购代理机构</w:t>
      </w:r>
      <w:r>
        <w:rPr>
          <w:color w:val="auto"/>
          <w:sz w:val="24"/>
          <w:highlight w:val="none"/>
          <w:lang w:val="zh-CN"/>
        </w:rPr>
        <w:t>或采购人提出质疑。</w:t>
      </w:r>
    </w:p>
    <w:p w14:paraId="5B82C76A">
      <w:pPr>
        <w:pStyle w:val="8"/>
        <w:snapToGrid w:val="0"/>
        <w:spacing w:line="480" w:lineRule="exact"/>
        <w:ind w:left="0" w:leftChars="0" w:firstLine="480" w:firstLineChars="200"/>
        <w:contextualSpacing/>
        <w:rPr>
          <w:color w:val="auto"/>
          <w:sz w:val="24"/>
          <w:highlight w:val="none"/>
          <w:lang w:val="zh-CN"/>
        </w:rPr>
      </w:pPr>
      <w:r>
        <w:rPr>
          <w:color w:val="auto"/>
          <w:sz w:val="24"/>
          <w:highlight w:val="none"/>
          <w:lang w:val="zh-CN"/>
        </w:rPr>
        <w:t xml:space="preserve">2.供应商应在法定质疑期一次性提出针对同一采购程序环节的质疑。                         </w:t>
      </w:r>
    </w:p>
    <w:p w14:paraId="468E5DCC">
      <w:pPr>
        <w:pStyle w:val="8"/>
        <w:snapToGrid w:val="0"/>
        <w:spacing w:line="480" w:lineRule="exact"/>
        <w:ind w:left="0" w:leftChars="0" w:firstLine="480" w:firstLineChars="200"/>
        <w:contextualSpacing/>
        <w:rPr>
          <w:color w:val="auto"/>
          <w:sz w:val="24"/>
          <w:highlight w:val="none"/>
          <w:lang w:val="zh-CN"/>
        </w:rPr>
      </w:pPr>
      <w:r>
        <w:rPr>
          <w:color w:val="auto"/>
          <w:sz w:val="24"/>
          <w:highlight w:val="none"/>
          <w:lang w:val="zh-CN"/>
        </w:rPr>
        <w:t>二、《质疑函》的受理和答复</w:t>
      </w:r>
    </w:p>
    <w:p w14:paraId="63739321">
      <w:pPr>
        <w:pStyle w:val="8"/>
        <w:snapToGrid w:val="0"/>
        <w:spacing w:line="480" w:lineRule="exact"/>
        <w:ind w:left="0" w:leftChars="0" w:firstLine="480" w:firstLineChars="200"/>
        <w:contextualSpacing/>
        <w:rPr>
          <w:color w:val="auto"/>
          <w:sz w:val="24"/>
          <w:highlight w:val="none"/>
          <w:lang w:val="zh-CN"/>
        </w:rPr>
      </w:pPr>
      <w:r>
        <w:rPr>
          <w:color w:val="auto"/>
          <w:sz w:val="24"/>
          <w:highlight w:val="none"/>
          <w:lang w:val="zh-CN"/>
        </w:rPr>
        <w:t xml:space="preserve">1. </w:t>
      </w:r>
      <w:r>
        <w:rPr>
          <w:rFonts w:hint="eastAsia"/>
          <w:color w:val="auto"/>
          <w:sz w:val="24"/>
          <w:highlight w:val="none"/>
          <w:lang w:val="zh-CN"/>
        </w:rPr>
        <w:t>采购代理机构或采购人收到质疑函后，将对质疑的形式和内容进行审查，如质疑函内容、格式不符合规定，采购代理机构需告知质疑人进行补正。</w:t>
      </w:r>
    </w:p>
    <w:p w14:paraId="21FD0A65">
      <w:pPr>
        <w:pStyle w:val="8"/>
        <w:snapToGrid w:val="0"/>
        <w:spacing w:line="480" w:lineRule="exact"/>
        <w:ind w:left="0" w:leftChars="0" w:firstLine="480" w:firstLineChars="200"/>
        <w:contextualSpacing/>
        <w:rPr>
          <w:color w:val="auto"/>
          <w:sz w:val="24"/>
          <w:highlight w:val="none"/>
          <w:lang w:val="zh-CN"/>
        </w:rPr>
      </w:pPr>
      <w:r>
        <w:rPr>
          <w:rFonts w:hint="eastAsia"/>
          <w:color w:val="auto"/>
          <w:sz w:val="24"/>
          <w:highlight w:val="none"/>
          <w:lang w:val="zh-CN"/>
        </w:rPr>
        <w:t>2. 质疑人应当在法定质疑期限内进行补正并重新提交质疑函，拒不补正或者在法定期限内未重新提交质疑函的，为无效质疑，不予受理。</w:t>
      </w:r>
    </w:p>
    <w:p w14:paraId="329C4F44">
      <w:pPr>
        <w:pStyle w:val="8"/>
        <w:snapToGrid w:val="0"/>
        <w:spacing w:line="480" w:lineRule="exact"/>
        <w:ind w:left="0" w:leftChars="0" w:firstLine="480" w:firstLineChars="200"/>
        <w:contextualSpacing/>
        <w:rPr>
          <w:color w:val="auto"/>
          <w:sz w:val="24"/>
          <w:highlight w:val="none"/>
          <w:lang w:val="zh-CN"/>
        </w:rPr>
      </w:pPr>
      <w:r>
        <w:rPr>
          <w:rFonts w:hint="eastAsia"/>
          <w:color w:val="auto"/>
          <w:sz w:val="24"/>
          <w:highlight w:val="none"/>
          <w:lang w:val="zh-CN"/>
        </w:rPr>
        <w:t>3.采购人或采购代理机构答复供应商质疑应当采用书面方式并依法送达，质疑供应商或其委托代理人拒绝签收的视为已经送达。</w:t>
      </w:r>
    </w:p>
    <w:p w14:paraId="2559F1E0">
      <w:pPr>
        <w:pStyle w:val="8"/>
        <w:snapToGrid w:val="0"/>
        <w:spacing w:line="480" w:lineRule="exact"/>
        <w:ind w:left="0" w:leftChars="0" w:firstLine="480" w:firstLineChars="200"/>
        <w:contextualSpacing/>
        <w:rPr>
          <w:color w:val="auto"/>
          <w:sz w:val="24"/>
          <w:highlight w:val="none"/>
          <w:lang w:val="zh-CN"/>
        </w:rPr>
      </w:pPr>
      <w:r>
        <w:rPr>
          <w:rFonts w:hint="eastAsia"/>
          <w:color w:val="auto"/>
          <w:sz w:val="24"/>
          <w:highlight w:val="none"/>
          <w:lang w:val="zh-CN"/>
        </w:rPr>
        <w:t>三、质疑处理</w:t>
      </w:r>
    </w:p>
    <w:p w14:paraId="7E2E64B3">
      <w:pPr>
        <w:pStyle w:val="8"/>
        <w:snapToGrid w:val="0"/>
        <w:spacing w:line="480" w:lineRule="exact"/>
        <w:ind w:left="0" w:leftChars="0" w:firstLine="480" w:firstLineChars="200"/>
        <w:contextualSpacing/>
        <w:rPr>
          <w:color w:val="auto"/>
          <w:sz w:val="24"/>
          <w:highlight w:val="none"/>
          <w:lang w:val="zh-CN"/>
        </w:rPr>
      </w:pPr>
      <w:r>
        <w:rPr>
          <w:rFonts w:hint="eastAsia"/>
          <w:color w:val="auto"/>
          <w:sz w:val="24"/>
          <w:highlight w:val="none"/>
          <w:lang w:val="zh-CN"/>
        </w:rPr>
        <w:t>1. 质疑成立的处理</w:t>
      </w:r>
    </w:p>
    <w:p w14:paraId="007B8119">
      <w:pPr>
        <w:pStyle w:val="8"/>
        <w:snapToGrid w:val="0"/>
        <w:spacing w:line="480" w:lineRule="exact"/>
        <w:ind w:left="0" w:leftChars="0" w:firstLine="480" w:firstLineChars="200"/>
        <w:contextualSpacing/>
        <w:rPr>
          <w:color w:val="auto"/>
          <w:sz w:val="24"/>
          <w:highlight w:val="none"/>
          <w:lang w:val="zh-CN"/>
        </w:rPr>
      </w:pPr>
      <w:r>
        <w:rPr>
          <w:rFonts w:hint="eastAsia"/>
          <w:color w:val="auto"/>
          <w:sz w:val="24"/>
          <w:highlight w:val="none"/>
          <w:lang w:val="zh-CN"/>
        </w:rPr>
        <w:t xml:space="preserve">（1）对于内容、格式符合规定的质疑函，采购代理机构或采购人在收到供应商的书面质疑后七个工作日内作出书面答复，但答复的内容不得涉及商业秘密。                       </w:t>
      </w:r>
    </w:p>
    <w:p w14:paraId="7CF99CF4">
      <w:pPr>
        <w:pStyle w:val="8"/>
        <w:snapToGrid w:val="0"/>
        <w:spacing w:line="480" w:lineRule="exact"/>
        <w:ind w:left="0" w:leftChars="0" w:firstLine="480" w:firstLineChars="200"/>
        <w:contextualSpacing/>
        <w:rPr>
          <w:color w:val="auto"/>
          <w:sz w:val="24"/>
          <w:highlight w:val="none"/>
          <w:lang w:val="zh-CN"/>
        </w:rPr>
      </w:pPr>
      <w:r>
        <w:rPr>
          <w:rFonts w:hint="eastAsia"/>
          <w:color w:val="auto"/>
          <w:sz w:val="24"/>
          <w:highlight w:val="none"/>
          <w:lang w:val="zh-CN"/>
        </w:rPr>
        <w:t>（2）对采购文件提出的质疑，依法通过澄清或者修改可以继续开展采购活动的，澄清或者修改采购文件后继续开展采购活动；否则应当修改采购文件后重新开展采购活动。</w:t>
      </w:r>
    </w:p>
    <w:p w14:paraId="78CD5A91">
      <w:pPr>
        <w:pStyle w:val="8"/>
        <w:snapToGrid w:val="0"/>
        <w:spacing w:line="480" w:lineRule="exact"/>
        <w:ind w:left="0" w:leftChars="0" w:firstLine="480" w:firstLineChars="200"/>
        <w:contextualSpacing/>
        <w:rPr>
          <w:color w:val="auto"/>
          <w:sz w:val="24"/>
          <w:highlight w:val="none"/>
          <w:lang w:val="zh-CN"/>
        </w:rPr>
      </w:pPr>
      <w:r>
        <w:rPr>
          <w:rFonts w:hint="eastAsia"/>
          <w:color w:val="auto"/>
          <w:sz w:val="24"/>
          <w:highlight w:val="none"/>
          <w:lang w:val="zh-CN"/>
        </w:rPr>
        <w:t>（3）对采购过程、成交结果提出的质疑，合格供应商符合法定数量时，可以从合格的候选人中另行确定成交供应商的，应当依法另行确定成交供应商；否则应当重新开展采购活动。</w:t>
      </w:r>
    </w:p>
    <w:p w14:paraId="073D2427">
      <w:pPr>
        <w:pStyle w:val="8"/>
        <w:snapToGrid w:val="0"/>
        <w:spacing w:line="480" w:lineRule="exact"/>
        <w:ind w:left="0" w:leftChars="0" w:firstLine="480" w:firstLineChars="200"/>
        <w:contextualSpacing/>
        <w:rPr>
          <w:color w:val="auto"/>
          <w:sz w:val="24"/>
          <w:highlight w:val="none"/>
          <w:lang w:val="zh-CN"/>
        </w:rPr>
      </w:pPr>
      <w:r>
        <w:rPr>
          <w:rFonts w:hint="eastAsia"/>
          <w:color w:val="auto"/>
          <w:sz w:val="24"/>
          <w:highlight w:val="none"/>
          <w:lang w:val="zh-CN"/>
        </w:rPr>
        <w:t>质疑答复导致成交结果改变的，采购人或者采购代理机构应当将有关情况书面报告上级部门。</w:t>
      </w:r>
    </w:p>
    <w:p w14:paraId="1A10803F">
      <w:pPr>
        <w:pStyle w:val="8"/>
        <w:snapToGrid w:val="0"/>
        <w:spacing w:line="480" w:lineRule="exact"/>
        <w:ind w:left="0" w:leftChars="0" w:firstLine="480" w:firstLineChars="200"/>
        <w:contextualSpacing/>
        <w:rPr>
          <w:color w:val="auto"/>
          <w:sz w:val="24"/>
          <w:highlight w:val="none"/>
          <w:lang w:val="zh-CN"/>
        </w:rPr>
      </w:pPr>
      <w:r>
        <w:rPr>
          <w:rFonts w:hint="eastAsia"/>
          <w:color w:val="auto"/>
          <w:sz w:val="24"/>
          <w:highlight w:val="none"/>
          <w:lang w:val="zh-CN"/>
        </w:rPr>
        <w:t>2.质疑不成立的处理</w:t>
      </w:r>
    </w:p>
    <w:p w14:paraId="4548E639">
      <w:pPr>
        <w:pStyle w:val="8"/>
        <w:snapToGrid w:val="0"/>
        <w:spacing w:line="480" w:lineRule="exact"/>
        <w:ind w:left="0" w:leftChars="0" w:firstLine="480" w:firstLineChars="200"/>
        <w:contextualSpacing/>
        <w:rPr>
          <w:color w:val="auto"/>
          <w:sz w:val="24"/>
          <w:highlight w:val="none"/>
          <w:lang w:val="zh-CN"/>
        </w:rPr>
      </w:pPr>
      <w:r>
        <w:rPr>
          <w:rFonts w:hint="eastAsia"/>
          <w:color w:val="auto"/>
          <w:sz w:val="24"/>
          <w:highlight w:val="none"/>
          <w:lang w:val="zh-CN"/>
        </w:rPr>
        <w:t xml:space="preserve">若质疑不成立，或者成立未对成交结果构成影响的，继续开展采购活动。                  </w:t>
      </w:r>
    </w:p>
    <w:p w14:paraId="3253B9F4">
      <w:pPr>
        <w:pStyle w:val="8"/>
        <w:snapToGrid w:val="0"/>
        <w:spacing w:line="480" w:lineRule="exact"/>
        <w:ind w:left="0" w:leftChars="0" w:firstLine="480" w:firstLineChars="200"/>
        <w:contextualSpacing/>
        <w:rPr>
          <w:color w:val="auto"/>
          <w:sz w:val="24"/>
          <w:highlight w:val="none"/>
          <w:lang w:val="zh-CN"/>
        </w:rPr>
      </w:pPr>
      <w:r>
        <w:rPr>
          <w:rFonts w:hint="eastAsia"/>
          <w:color w:val="auto"/>
          <w:sz w:val="24"/>
          <w:highlight w:val="none"/>
          <w:lang w:val="zh-CN"/>
        </w:rPr>
        <w:t xml:space="preserve">3.虚假质疑的处理          </w:t>
      </w:r>
    </w:p>
    <w:p w14:paraId="4FEF7E0F">
      <w:pPr>
        <w:pStyle w:val="8"/>
        <w:snapToGrid w:val="0"/>
        <w:spacing w:line="480" w:lineRule="exact"/>
        <w:ind w:left="0" w:leftChars="0" w:firstLine="480" w:firstLineChars="200"/>
        <w:contextualSpacing/>
        <w:rPr>
          <w:color w:val="auto"/>
          <w:sz w:val="24"/>
          <w:highlight w:val="none"/>
          <w:lang w:val="zh-CN"/>
        </w:rPr>
      </w:pPr>
      <w:r>
        <w:rPr>
          <w:rFonts w:hint="eastAsia"/>
          <w:color w:val="auto"/>
          <w:sz w:val="24"/>
          <w:highlight w:val="none"/>
          <w:lang w:val="zh-CN"/>
        </w:rPr>
        <w:t xml:space="preserve">（1）供应商提出书面质疑必须有理、有据，不得恶意质疑或提交虚假质疑。否则，一经查实，采购人有权依据采购的有关规定，报请采购监管部门对该供应商进行相应的行政处罚。                          </w:t>
      </w:r>
    </w:p>
    <w:p w14:paraId="1D489FC8">
      <w:pPr>
        <w:pStyle w:val="8"/>
        <w:snapToGrid w:val="0"/>
        <w:spacing w:line="480" w:lineRule="exact"/>
        <w:ind w:left="0" w:leftChars="0" w:firstLine="480" w:firstLineChars="200"/>
        <w:contextualSpacing/>
        <w:rPr>
          <w:color w:val="auto"/>
          <w:sz w:val="24"/>
          <w:highlight w:val="none"/>
          <w:lang w:val="zh-CN"/>
        </w:rPr>
      </w:pPr>
      <w:r>
        <w:rPr>
          <w:rFonts w:hint="eastAsia"/>
          <w:color w:val="auto"/>
          <w:sz w:val="24"/>
          <w:highlight w:val="none"/>
          <w:lang w:val="zh-CN"/>
        </w:rPr>
        <w:t>（2）在江苏省范围内一年累计三次以上质疑，均查无实据的供应商将按失信行为记入该注册供应商诚信档案中。</w:t>
      </w:r>
    </w:p>
    <w:p w14:paraId="6A0BB87E">
      <w:pPr>
        <w:pStyle w:val="8"/>
        <w:snapToGrid w:val="0"/>
        <w:spacing w:line="480" w:lineRule="exact"/>
        <w:ind w:left="0" w:leftChars="0" w:firstLine="480" w:firstLineChars="200"/>
        <w:contextualSpacing/>
        <w:rPr>
          <w:color w:val="auto"/>
          <w:sz w:val="24"/>
          <w:highlight w:val="none"/>
          <w:lang w:val="zh-CN"/>
        </w:rPr>
      </w:pPr>
      <w:r>
        <w:rPr>
          <w:rFonts w:hint="eastAsia"/>
          <w:color w:val="auto"/>
          <w:sz w:val="24"/>
          <w:highlight w:val="none"/>
          <w:lang w:val="zh-CN"/>
        </w:rPr>
        <w:t>（3）采购代理机构或采购人受理质疑和答复相关咨询，联系电话详见竞争性磋商公告。</w:t>
      </w:r>
    </w:p>
    <w:p w14:paraId="189CFBC3">
      <w:pPr>
        <w:autoSpaceDE w:val="0"/>
        <w:autoSpaceDN w:val="0"/>
        <w:adjustRightInd w:val="0"/>
        <w:snapToGrid w:val="0"/>
        <w:spacing w:line="300" w:lineRule="auto"/>
        <w:ind w:left="4513" w:right="210" w:hanging="4513"/>
        <w:jc w:val="center"/>
        <w:rPr>
          <w:rFonts w:asciiTheme="minorEastAsia" w:hAnsiTheme="minorEastAsia" w:eastAsiaTheme="minorEastAsia"/>
          <w:b/>
          <w:bCs/>
          <w:color w:val="auto"/>
          <w:sz w:val="36"/>
          <w:szCs w:val="36"/>
          <w:highlight w:val="none"/>
          <w:lang w:val="zh-CN"/>
        </w:rPr>
      </w:pPr>
      <w:r>
        <w:rPr>
          <w:rFonts w:hint="eastAsia" w:ascii="仿宋_GB2312" w:eastAsia="仿宋_GB2312"/>
          <w:b/>
          <w:bCs/>
          <w:color w:val="auto"/>
          <w:sz w:val="36"/>
          <w:szCs w:val="36"/>
          <w:highlight w:val="none"/>
          <w:lang w:val="zh-CN"/>
        </w:rPr>
        <w:br w:type="page"/>
      </w:r>
      <w:r>
        <w:rPr>
          <w:rFonts w:hint="eastAsia" w:asciiTheme="minorEastAsia" w:hAnsiTheme="minorEastAsia" w:eastAsiaTheme="minorEastAsia"/>
          <w:b/>
          <w:bCs/>
          <w:color w:val="auto"/>
          <w:sz w:val="36"/>
          <w:szCs w:val="36"/>
          <w:highlight w:val="none"/>
          <w:lang w:val="zh-CN"/>
        </w:rPr>
        <w:t>第七部分  响应文件组成</w:t>
      </w:r>
    </w:p>
    <w:p w14:paraId="3DEFFD3A">
      <w:pPr>
        <w:snapToGrid w:val="0"/>
        <w:spacing w:line="480" w:lineRule="exact"/>
        <w:ind w:firstLine="482" w:firstLineChars="200"/>
        <w:jc w:val="left"/>
        <w:rPr>
          <w:b/>
          <w:color w:val="auto"/>
          <w:sz w:val="24"/>
          <w:highlight w:val="none"/>
        </w:rPr>
      </w:pPr>
      <w:r>
        <w:rPr>
          <w:b/>
          <w:color w:val="auto"/>
          <w:sz w:val="24"/>
          <w:highlight w:val="none"/>
        </w:rPr>
        <w:t>响应文件由资格审查</w:t>
      </w:r>
      <w:r>
        <w:rPr>
          <w:rFonts w:hint="eastAsia"/>
          <w:b/>
          <w:color w:val="auto"/>
          <w:sz w:val="24"/>
          <w:highlight w:val="none"/>
        </w:rPr>
        <w:t>文件</w:t>
      </w:r>
      <w:r>
        <w:rPr>
          <w:b/>
          <w:color w:val="auto"/>
          <w:sz w:val="24"/>
          <w:highlight w:val="none"/>
        </w:rPr>
        <w:t>、商务技术文件</w:t>
      </w:r>
      <w:r>
        <w:rPr>
          <w:rFonts w:hint="eastAsia"/>
          <w:b/>
          <w:color w:val="auto"/>
          <w:sz w:val="24"/>
          <w:highlight w:val="none"/>
        </w:rPr>
        <w:t>、报价</w:t>
      </w:r>
      <w:r>
        <w:rPr>
          <w:b/>
          <w:color w:val="auto"/>
          <w:sz w:val="24"/>
          <w:highlight w:val="none"/>
        </w:rPr>
        <w:t>文件</w:t>
      </w:r>
      <w:r>
        <w:rPr>
          <w:rFonts w:hint="eastAsia"/>
          <w:b/>
          <w:color w:val="auto"/>
          <w:sz w:val="24"/>
          <w:highlight w:val="none"/>
          <w:lang w:val="en-US" w:eastAsia="zh-CN"/>
        </w:rPr>
        <w:t>三</w:t>
      </w:r>
      <w:r>
        <w:rPr>
          <w:b/>
          <w:color w:val="auto"/>
          <w:sz w:val="24"/>
          <w:highlight w:val="none"/>
        </w:rPr>
        <w:t>部分组成</w:t>
      </w:r>
      <w:r>
        <w:rPr>
          <w:rFonts w:hint="eastAsia" w:ascii="宋体" w:hAnsi="宋体"/>
          <w:b/>
          <w:color w:val="auto"/>
          <w:sz w:val="24"/>
          <w:highlight w:val="none"/>
        </w:rPr>
        <w:t>，相关</w:t>
      </w:r>
      <w:r>
        <w:rPr>
          <w:rFonts w:hint="eastAsia" w:ascii="宋体" w:hAnsi="宋体"/>
          <w:b/>
          <w:color w:val="auto"/>
          <w:sz w:val="24"/>
          <w:highlight w:val="none"/>
          <w:lang w:val="zh-CN"/>
        </w:rPr>
        <w:t>格式参见附件</w:t>
      </w:r>
      <w:r>
        <w:rPr>
          <w:rFonts w:hint="eastAsia" w:ascii="宋体" w:hAnsi="宋体"/>
          <w:b/>
          <w:color w:val="auto"/>
          <w:sz w:val="24"/>
          <w:highlight w:val="none"/>
        </w:rPr>
        <w:t>。</w:t>
      </w:r>
    </w:p>
    <w:p w14:paraId="232449E4">
      <w:pPr>
        <w:snapToGrid w:val="0"/>
        <w:spacing w:line="480" w:lineRule="exact"/>
        <w:ind w:firstLine="472" w:firstLineChars="196"/>
        <w:contextualSpacing/>
        <w:rPr>
          <w:b/>
          <w:color w:val="auto"/>
          <w:sz w:val="24"/>
          <w:highlight w:val="none"/>
        </w:rPr>
      </w:pPr>
      <w:r>
        <w:rPr>
          <w:b/>
          <w:color w:val="auto"/>
          <w:sz w:val="24"/>
          <w:highlight w:val="none"/>
        </w:rPr>
        <w:t>一、资格审查</w:t>
      </w:r>
      <w:r>
        <w:rPr>
          <w:rFonts w:hint="eastAsia"/>
          <w:b/>
          <w:color w:val="auto"/>
          <w:sz w:val="24"/>
          <w:highlight w:val="none"/>
        </w:rPr>
        <w:t>文件</w:t>
      </w:r>
      <w:r>
        <w:rPr>
          <w:b/>
          <w:color w:val="auto"/>
          <w:sz w:val="24"/>
          <w:highlight w:val="none"/>
        </w:rPr>
        <w:t>（</w:t>
      </w:r>
      <w:r>
        <w:rPr>
          <w:rFonts w:hint="eastAsia"/>
          <w:b/>
          <w:color w:val="auto"/>
          <w:sz w:val="24"/>
          <w:highlight w:val="none"/>
          <w:lang w:val="en-US" w:eastAsia="zh-CN"/>
        </w:rPr>
        <w:t>单独密封，</w:t>
      </w:r>
      <w:r>
        <w:rPr>
          <w:b/>
          <w:color w:val="auto"/>
          <w:sz w:val="24"/>
          <w:highlight w:val="none"/>
        </w:rPr>
        <w:t>不能出现报价、商务技术标）</w:t>
      </w:r>
    </w:p>
    <w:p w14:paraId="6F921917">
      <w:pPr>
        <w:snapToGrid w:val="0"/>
        <w:spacing w:line="480" w:lineRule="exact"/>
        <w:ind w:firstLine="480" w:firstLineChars="200"/>
        <w:rPr>
          <w:color w:val="auto"/>
          <w:sz w:val="24"/>
          <w:highlight w:val="none"/>
        </w:rPr>
      </w:pPr>
      <w:r>
        <w:rPr>
          <w:color w:val="auto"/>
          <w:sz w:val="24"/>
          <w:highlight w:val="none"/>
        </w:rPr>
        <w:t>1、</w:t>
      </w:r>
      <w:r>
        <w:rPr>
          <w:rFonts w:hint="eastAsia"/>
          <w:color w:val="auto"/>
          <w:sz w:val="24"/>
          <w:highlight w:val="none"/>
          <w:lang w:val="en-US" w:eastAsia="zh-CN"/>
        </w:rPr>
        <w:t>供应商</w:t>
      </w:r>
      <w:r>
        <w:rPr>
          <w:rFonts w:hint="eastAsia"/>
          <w:color w:val="auto"/>
          <w:sz w:val="24"/>
          <w:highlight w:val="none"/>
        </w:rPr>
        <w:t>声明函</w:t>
      </w:r>
      <w:r>
        <w:rPr>
          <w:rFonts w:hint="eastAsia"/>
          <w:color w:val="auto"/>
          <w:sz w:val="24"/>
          <w:highlight w:val="none"/>
          <w:lang w:val="en-US" w:eastAsia="zh-CN"/>
        </w:rPr>
        <w:t>原件</w:t>
      </w:r>
      <w:r>
        <w:rPr>
          <w:color w:val="auto"/>
          <w:sz w:val="24"/>
          <w:highlight w:val="none"/>
        </w:rPr>
        <w:t>；</w:t>
      </w:r>
    </w:p>
    <w:p w14:paraId="30E64532">
      <w:pPr>
        <w:pStyle w:val="21"/>
        <w:snapToGrid w:val="0"/>
        <w:spacing w:line="480" w:lineRule="exact"/>
        <w:ind w:firstLine="480" w:firstLineChars="200"/>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2、法定代表人身份证明书</w:t>
      </w:r>
      <w:r>
        <w:rPr>
          <w:rFonts w:hint="eastAsia" w:ascii="Times New Roman" w:hAnsi="Times New Roman" w:eastAsia="宋体"/>
          <w:color w:val="auto"/>
          <w:sz w:val="24"/>
          <w:szCs w:val="24"/>
          <w:highlight w:val="none"/>
          <w:lang w:val="en-US" w:eastAsia="zh-CN"/>
        </w:rPr>
        <w:t>原件</w:t>
      </w:r>
      <w:r>
        <w:rPr>
          <w:rFonts w:eastAsia="宋体"/>
          <w:color w:val="auto"/>
          <w:sz w:val="24"/>
          <w:highlight w:val="none"/>
          <w:lang w:val="zh-CN"/>
        </w:rPr>
        <w:t>；</w:t>
      </w:r>
    </w:p>
    <w:p w14:paraId="41B87B88">
      <w:pPr>
        <w:tabs>
          <w:tab w:val="left" w:pos="3375"/>
        </w:tabs>
        <w:autoSpaceDE w:val="0"/>
        <w:autoSpaceDN w:val="0"/>
        <w:adjustRightInd w:val="0"/>
        <w:snapToGrid w:val="0"/>
        <w:spacing w:line="480" w:lineRule="exact"/>
        <w:ind w:left="1" w:firstLine="480" w:firstLineChars="200"/>
        <w:rPr>
          <w:color w:val="auto"/>
          <w:sz w:val="24"/>
          <w:highlight w:val="none"/>
          <w:lang w:val="zh-CN"/>
        </w:rPr>
      </w:pPr>
      <w:r>
        <w:rPr>
          <w:color w:val="auto"/>
          <w:sz w:val="24"/>
          <w:highlight w:val="none"/>
          <w:lang w:val="zh-CN"/>
        </w:rPr>
        <w:t>3、法定代表人授权委托书原件，磋商代表本人身份证复印件（</w:t>
      </w:r>
      <w:r>
        <w:rPr>
          <w:rFonts w:hint="eastAsia"/>
          <w:color w:val="auto"/>
          <w:sz w:val="24"/>
          <w:highlight w:val="none"/>
          <w:lang w:val="en-US" w:eastAsia="zh-CN"/>
        </w:rPr>
        <w:t>如有授权</w:t>
      </w:r>
      <w:r>
        <w:rPr>
          <w:color w:val="auto"/>
          <w:sz w:val="24"/>
          <w:highlight w:val="none"/>
          <w:lang w:val="zh-CN"/>
        </w:rPr>
        <w:t>）</w:t>
      </w:r>
      <w:r>
        <w:rPr>
          <w:rFonts w:hint="eastAsia"/>
          <w:color w:val="auto"/>
          <w:sz w:val="24"/>
          <w:highlight w:val="none"/>
          <w:lang w:val="zh-CN"/>
        </w:rPr>
        <w:t>；</w:t>
      </w:r>
    </w:p>
    <w:p w14:paraId="4852BC86">
      <w:pPr>
        <w:snapToGrid w:val="0"/>
        <w:spacing w:line="480" w:lineRule="exact"/>
        <w:ind w:firstLine="480" w:firstLineChars="200"/>
        <w:rPr>
          <w:color w:val="auto"/>
          <w:sz w:val="24"/>
          <w:highlight w:val="none"/>
        </w:rPr>
      </w:pPr>
      <w:r>
        <w:rPr>
          <w:color w:val="auto"/>
          <w:sz w:val="24"/>
          <w:highlight w:val="none"/>
        </w:rPr>
        <w:t>4、</w:t>
      </w:r>
      <w:r>
        <w:rPr>
          <w:rFonts w:hint="eastAsia"/>
          <w:color w:val="auto"/>
          <w:sz w:val="24"/>
          <w:highlight w:val="none"/>
          <w:lang w:val="en-US" w:eastAsia="zh-CN"/>
        </w:rPr>
        <w:t>供应商</w:t>
      </w:r>
      <w:r>
        <w:rPr>
          <w:rFonts w:hint="eastAsia"/>
          <w:color w:val="auto"/>
          <w:sz w:val="24"/>
          <w:highlight w:val="none"/>
        </w:rPr>
        <w:t>信用承诺书</w:t>
      </w:r>
      <w:r>
        <w:rPr>
          <w:rFonts w:hint="eastAsia"/>
          <w:color w:val="auto"/>
          <w:sz w:val="24"/>
          <w:highlight w:val="none"/>
          <w:lang w:val="en-US" w:eastAsia="zh-CN"/>
        </w:rPr>
        <w:t>原件</w:t>
      </w:r>
      <w:r>
        <w:rPr>
          <w:rFonts w:hint="eastAsia"/>
          <w:color w:val="auto"/>
          <w:sz w:val="24"/>
          <w:highlight w:val="none"/>
        </w:rPr>
        <w:t>；</w:t>
      </w:r>
    </w:p>
    <w:p w14:paraId="17EF50AA">
      <w:pPr>
        <w:tabs>
          <w:tab w:val="left" w:pos="3375"/>
        </w:tabs>
        <w:autoSpaceDE w:val="0"/>
        <w:autoSpaceDN w:val="0"/>
        <w:adjustRightInd w:val="0"/>
        <w:snapToGrid w:val="0"/>
        <w:spacing w:line="480" w:lineRule="exact"/>
        <w:ind w:left="1" w:firstLine="480" w:firstLineChars="200"/>
        <w:rPr>
          <w:rFonts w:hint="eastAsia"/>
          <w:color w:val="auto"/>
          <w:sz w:val="24"/>
          <w:highlight w:val="none"/>
          <w:lang w:eastAsia="zh-CN"/>
        </w:rPr>
      </w:pPr>
      <w:r>
        <w:rPr>
          <w:rFonts w:hint="eastAsia"/>
          <w:color w:val="auto"/>
          <w:sz w:val="24"/>
          <w:highlight w:val="none"/>
        </w:rPr>
        <w:t>5、</w:t>
      </w:r>
      <w:r>
        <w:rPr>
          <w:rFonts w:hint="eastAsia"/>
          <w:color w:val="auto"/>
          <w:sz w:val="24"/>
          <w:highlight w:val="none"/>
          <w:lang w:val="en-US" w:eastAsia="zh-CN"/>
        </w:rPr>
        <w:t>供应商</w:t>
      </w:r>
      <w:r>
        <w:rPr>
          <w:rFonts w:hint="eastAsia"/>
          <w:color w:val="auto"/>
          <w:sz w:val="24"/>
          <w:highlight w:val="none"/>
        </w:rPr>
        <w:t>有效的营业执照复印件</w:t>
      </w:r>
      <w:r>
        <w:rPr>
          <w:rFonts w:hint="eastAsia"/>
          <w:color w:val="auto"/>
          <w:sz w:val="24"/>
          <w:highlight w:val="none"/>
          <w:lang w:eastAsia="zh-CN"/>
        </w:rPr>
        <w:t>；</w:t>
      </w:r>
    </w:p>
    <w:p w14:paraId="7EFC81E7">
      <w:pPr>
        <w:tabs>
          <w:tab w:val="left" w:pos="3375"/>
        </w:tabs>
        <w:autoSpaceDE w:val="0"/>
        <w:autoSpaceDN w:val="0"/>
        <w:adjustRightInd w:val="0"/>
        <w:snapToGrid w:val="0"/>
        <w:spacing w:line="480" w:lineRule="exact"/>
        <w:ind w:left="1" w:firstLine="480" w:firstLineChars="200"/>
        <w:rPr>
          <w:rFonts w:hint="eastAsia"/>
          <w:color w:val="auto"/>
          <w:sz w:val="24"/>
          <w:highlight w:val="none"/>
          <w:lang w:val="en-US" w:eastAsia="zh-CN"/>
        </w:rPr>
      </w:pPr>
      <w:r>
        <w:rPr>
          <w:rFonts w:hint="eastAsia"/>
          <w:color w:val="auto"/>
          <w:sz w:val="24"/>
          <w:highlight w:val="none"/>
          <w:lang w:val="en-US" w:eastAsia="zh-CN"/>
        </w:rPr>
        <w:t>6、供应商提供自2021年6月1日以来（以合同签订时间为准）承担过玻璃幕墙施工或维保业绩的合同及对应业绩发票复印件；</w:t>
      </w:r>
    </w:p>
    <w:p w14:paraId="1FDCB1E4">
      <w:pPr>
        <w:tabs>
          <w:tab w:val="left" w:pos="3375"/>
        </w:tabs>
        <w:autoSpaceDE w:val="0"/>
        <w:autoSpaceDN w:val="0"/>
        <w:adjustRightInd w:val="0"/>
        <w:snapToGrid w:val="0"/>
        <w:spacing w:line="480" w:lineRule="exact"/>
        <w:ind w:left="1" w:firstLine="480" w:firstLineChars="200"/>
        <w:rPr>
          <w:rFonts w:hint="eastAsia"/>
          <w:color w:val="auto"/>
          <w:sz w:val="24"/>
          <w:highlight w:val="none"/>
          <w:lang w:val="en-US" w:eastAsia="zh-CN"/>
        </w:rPr>
      </w:pPr>
      <w:r>
        <w:rPr>
          <w:rFonts w:hint="eastAsia"/>
          <w:color w:val="auto"/>
          <w:sz w:val="24"/>
          <w:highlight w:val="none"/>
          <w:lang w:val="en-US" w:eastAsia="zh-CN"/>
        </w:rPr>
        <w:t>7、现场勘察承诺函原件。</w:t>
      </w:r>
    </w:p>
    <w:p w14:paraId="46952045">
      <w:pPr>
        <w:tabs>
          <w:tab w:val="left" w:pos="3375"/>
        </w:tabs>
        <w:autoSpaceDE w:val="0"/>
        <w:autoSpaceDN w:val="0"/>
        <w:adjustRightInd w:val="0"/>
        <w:snapToGrid w:val="0"/>
        <w:spacing w:line="480" w:lineRule="exact"/>
        <w:ind w:left="1" w:firstLine="482" w:firstLineChars="200"/>
        <w:rPr>
          <w:rFonts w:hint="default"/>
          <w:b/>
          <w:bCs/>
          <w:color w:val="auto"/>
          <w:sz w:val="24"/>
          <w:highlight w:val="none"/>
          <w:lang w:val="en-US" w:eastAsia="zh-CN"/>
        </w:rPr>
      </w:pPr>
      <w:r>
        <w:rPr>
          <w:rFonts w:hint="eastAsia"/>
          <w:b/>
          <w:bCs/>
          <w:color w:val="auto"/>
          <w:sz w:val="24"/>
          <w:highlight w:val="none"/>
          <w:lang w:val="en-US" w:eastAsia="zh-CN"/>
        </w:rPr>
        <w:t>注：以上资料如要求提供原件的须提供有效的原件，如要求提供复印件的须提供有效的复印件并加盖投标供应商单位公章。</w:t>
      </w:r>
    </w:p>
    <w:p w14:paraId="74374424">
      <w:pPr>
        <w:pStyle w:val="21"/>
        <w:snapToGrid w:val="0"/>
        <w:spacing w:line="480" w:lineRule="exact"/>
        <w:ind w:firstLine="482" w:firstLineChars="200"/>
        <w:rPr>
          <w:rFonts w:ascii="Times New Roman" w:hAnsi="Times New Roman" w:eastAsia="宋体"/>
          <w:b/>
          <w:bCs/>
          <w:color w:val="auto"/>
          <w:kern w:val="0"/>
          <w:sz w:val="24"/>
          <w:szCs w:val="24"/>
          <w:highlight w:val="none"/>
          <w:lang w:val="zh-CN"/>
        </w:rPr>
      </w:pPr>
      <w:r>
        <w:rPr>
          <w:rFonts w:ascii="Times New Roman" w:hAnsi="Times New Roman" w:eastAsia="宋体"/>
          <w:b/>
          <w:color w:val="auto"/>
          <w:sz w:val="24"/>
          <w:szCs w:val="24"/>
          <w:highlight w:val="none"/>
        </w:rPr>
        <w:t>二、商务技术文件</w:t>
      </w:r>
      <w:r>
        <w:rPr>
          <w:rFonts w:ascii="Times New Roman" w:hAnsi="Times New Roman" w:eastAsia="宋体"/>
          <w:b/>
          <w:bCs/>
          <w:color w:val="auto"/>
          <w:kern w:val="0"/>
          <w:sz w:val="24"/>
          <w:szCs w:val="24"/>
          <w:highlight w:val="none"/>
          <w:lang w:val="zh-CN"/>
        </w:rPr>
        <w:t>（</w:t>
      </w:r>
      <w:r>
        <w:rPr>
          <w:rFonts w:hint="eastAsia" w:ascii="Times New Roman" w:hAnsi="Times New Roman" w:eastAsia="宋体"/>
          <w:b/>
          <w:bCs/>
          <w:color w:val="auto"/>
          <w:kern w:val="0"/>
          <w:sz w:val="24"/>
          <w:szCs w:val="24"/>
          <w:highlight w:val="none"/>
          <w:lang w:val="en-US" w:eastAsia="zh-CN"/>
        </w:rPr>
        <w:t>单独密封，</w:t>
      </w:r>
      <w:r>
        <w:rPr>
          <w:rFonts w:ascii="Times New Roman" w:hAnsi="Times New Roman" w:eastAsia="宋体"/>
          <w:b/>
          <w:bCs/>
          <w:color w:val="auto"/>
          <w:kern w:val="0"/>
          <w:sz w:val="24"/>
          <w:szCs w:val="24"/>
          <w:highlight w:val="none"/>
          <w:lang w:val="zh-CN"/>
        </w:rPr>
        <w:t>不能出现报价）</w:t>
      </w:r>
    </w:p>
    <w:p w14:paraId="5DD11725">
      <w:pPr>
        <w:pStyle w:val="21"/>
        <w:snapToGrid w:val="0"/>
        <w:spacing w:line="480" w:lineRule="exact"/>
        <w:ind w:firstLine="480" w:firstLineChars="200"/>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1、</w:t>
      </w:r>
      <w:r>
        <w:rPr>
          <w:rFonts w:hint="eastAsia" w:ascii="宋体" w:eastAsia="宋体" w:cs="宋体"/>
          <w:b/>
          <w:bCs/>
          <w:color w:val="auto"/>
          <w:sz w:val="24"/>
          <w:highlight w:val="none"/>
        </w:rPr>
        <w:t>竞争性磋商响应函</w:t>
      </w:r>
      <w:r>
        <w:rPr>
          <w:rFonts w:hint="eastAsia" w:ascii="宋体" w:eastAsia="宋体"/>
          <w:color w:val="auto"/>
          <w:kern w:val="0"/>
          <w:sz w:val="24"/>
          <w:highlight w:val="none"/>
          <w:lang w:val="zh-CN"/>
        </w:rPr>
        <w:t>；</w:t>
      </w:r>
    </w:p>
    <w:p w14:paraId="3E807071">
      <w:pPr>
        <w:snapToGrid w:val="0"/>
        <w:spacing w:line="480" w:lineRule="exact"/>
        <w:ind w:firstLine="480" w:firstLineChars="200"/>
        <w:contextualSpacing/>
        <w:rPr>
          <w:color w:val="auto"/>
          <w:kern w:val="0"/>
          <w:sz w:val="24"/>
          <w:highlight w:val="none"/>
          <w:lang w:val="zh-CN"/>
        </w:rPr>
      </w:pPr>
      <w:r>
        <w:rPr>
          <w:color w:val="auto"/>
          <w:kern w:val="0"/>
          <w:sz w:val="24"/>
          <w:highlight w:val="none"/>
          <w:lang w:val="zh-CN"/>
        </w:rPr>
        <w:t>2、</w:t>
      </w:r>
      <w:r>
        <w:rPr>
          <w:b/>
          <w:color w:val="auto"/>
          <w:sz w:val="24"/>
          <w:highlight w:val="none"/>
        </w:rPr>
        <w:t>技术部分正负偏离表</w:t>
      </w:r>
      <w:r>
        <w:rPr>
          <w:rFonts w:hint="eastAsia"/>
          <w:color w:val="auto"/>
          <w:kern w:val="0"/>
          <w:sz w:val="24"/>
          <w:highlight w:val="none"/>
          <w:lang w:val="zh-CN"/>
        </w:rPr>
        <w:t>；</w:t>
      </w:r>
    </w:p>
    <w:p w14:paraId="3386AF15">
      <w:pPr>
        <w:snapToGrid w:val="0"/>
        <w:spacing w:line="480" w:lineRule="exact"/>
        <w:ind w:firstLine="480" w:firstLineChars="200"/>
        <w:contextualSpacing/>
        <w:rPr>
          <w:color w:val="auto"/>
          <w:kern w:val="0"/>
          <w:sz w:val="24"/>
          <w:highlight w:val="none"/>
          <w:lang w:val="zh-CN"/>
        </w:rPr>
      </w:pPr>
      <w:r>
        <w:rPr>
          <w:color w:val="auto"/>
          <w:kern w:val="0"/>
          <w:sz w:val="24"/>
          <w:highlight w:val="none"/>
          <w:lang w:val="zh-CN"/>
        </w:rPr>
        <w:t>3、</w:t>
      </w:r>
      <w:r>
        <w:rPr>
          <w:b/>
          <w:bCs/>
          <w:color w:val="auto"/>
          <w:sz w:val="24"/>
          <w:highlight w:val="none"/>
        </w:rPr>
        <w:t>商务部分正负偏离表</w:t>
      </w:r>
      <w:r>
        <w:rPr>
          <w:rFonts w:hint="eastAsia"/>
          <w:color w:val="auto"/>
          <w:kern w:val="0"/>
          <w:sz w:val="24"/>
          <w:highlight w:val="none"/>
          <w:lang w:val="zh-CN"/>
        </w:rPr>
        <w:t>；</w:t>
      </w:r>
    </w:p>
    <w:p w14:paraId="70BA18A9">
      <w:pPr>
        <w:snapToGrid w:val="0"/>
        <w:spacing w:line="480" w:lineRule="exact"/>
        <w:ind w:firstLine="480" w:firstLineChars="200"/>
        <w:contextualSpacing/>
        <w:rPr>
          <w:color w:val="auto"/>
          <w:kern w:val="0"/>
          <w:sz w:val="24"/>
          <w:highlight w:val="none"/>
          <w:lang w:val="zh-CN"/>
        </w:rPr>
      </w:pPr>
      <w:r>
        <w:rPr>
          <w:color w:val="auto"/>
          <w:kern w:val="0"/>
          <w:sz w:val="24"/>
          <w:highlight w:val="none"/>
          <w:lang w:val="zh-CN"/>
        </w:rPr>
        <w:t>4、供应商一般情况表</w:t>
      </w:r>
      <w:r>
        <w:rPr>
          <w:rFonts w:hint="eastAsia"/>
          <w:color w:val="auto"/>
          <w:kern w:val="0"/>
          <w:sz w:val="24"/>
          <w:highlight w:val="none"/>
          <w:lang w:val="zh-CN"/>
        </w:rPr>
        <w:t>；</w:t>
      </w:r>
    </w:p>
    <w:p w14:paraId="577F750B">
      <w:pPr>
        <w:snapToGrid w:val="0"/>
        <w:spacing w:line="480" w:lineRule="exact"/>
        <w:ind w:firstLine="480" w:firstLineChars="200"/>
        <w:contextualSpacing/>
        <w:rPr>
          <w:rFonts w:hint="eastAsia"/>
          <w:color w:val="auto"/>
          <w:kern w:val="0"/>
          <w:sz w:val="24"/>
          <w:highlight w:val="none"/>
          <w:lang w:val="zh-CN"/>
        </w:rPr>
      </w:pPr>
      <w:r>
        <w:rPr>
          <w:rFonts w:hint="eastAsia"/>
          <w:color w:val="auto"/>
          <w:kern w:val="0"/>
          <w:sz w:val="24"/>
          <w:highlight w:val="none"/>
          <w:lang w:val="en-US" w:eastAsia="zh-CN"/>
        </w:rPr>
        <w:t>5、</w:t>
      </w:r>
      <w:r>
        <w:rPr>
          <w:rFonts w:hint="eastAsia"/>
          <w:color w:val="auto"/>
          <w:kern w:val="0"/>
          <w:sz w:val="24"/>
          <w:highlight w:val="none"/>
          <w:lang w:val="zh-CN"/>
        </w:rPr>
        <w:t>评审标准</w:t>
      </w:r>
      <w:r>
        <w:rPr>
          <w:rFonts w:hint="eastAsia"/>
          <w:color w:val="auto"/>
          <w:kern w:val="0"/>
          <w:sz w:val="24"/>
          <w:highlight w:val="none"/>
          <w:lang w:val="en-US" w:eastAsia="zh-CN"/>
        </w:rPr>
        <w:t>商务技术</w:t>
      </w:r>
      <w:r>
        <w:rPr>
          <w:rFonts w:hint="eastAsia"/>
          <w:color w:val="auto"/>
          <w:kern w:val="0"/>
          <w:sz w:val="24"/>
          <w:highlight w:val="none"/>
          <w:lang w:val="zh-CN"/>
        </w:rPr>
        <w:t>分中所涉及的事项需提供的所有资料；</w:t>
      </w:r>
    </w:p>
    <w:p w14:paraId="61928E66">
      <w:pPr>
        <w:pStyle w:val="21"/>
        <w:snapToGrid w:val="0"/>
        <w:spacing w:line="480" w:lineRule="exact"/>
        <w:ind w:firstLine="480" w:firstLineChars="200"/>
        <w:rPr>
          <w:rFonts w:ascii="Times New Roman" w:hAnsi="Times New Roman" w:eastAsia="宋体"/>
          <w:color w:val="auto"/>
          <w:sz w:val="24"/>
          <w:szCs w:val="24"/>
          <w:highlight w:val="none"/>
        </w:rPr>
      </w:pPr>
      <w:r>
        <w:rPr>
          <w:rFonts w:hint="eastAsia"/>
          <w:color w:val="auto"/>
          <w:kern w:val="0"/>
          <w:sz w:val="24"/>
          <w:highlight w:val="none"/>
          <w:lang w:val="en-US" w:eastAsia="zh-CN"/>
        </w:rPr>
        <w:t>6</w:t>
      </w:r>
      <w:r>
        <w:rPr>
          <w:color w:val="auto"/>
          <w:kern w:val="0"/>
          <w:sz w:val="24"/>
          <w:highlight w:val="none"/>
          <w:lang w:val="zh-CN"/>
        </w:rPr>
        <w:t>、</w:t>
      </w:r>
      <w:r>
        <w:rPr>
          <w:rFonts w:ascii="Times New Roman" w:hAnsi="Times New Roman" w:eastAsia="宋体"/>
          <w:color w:val="auto"/>
          <w:sz w:val="24"/>
          <w:szCs w:val="24"/>
          <w:highlight w:val="none"/>
        </w:rPr>
        <w:t>评审办法中未涉及的事项，供应商认为需要提交的其他资料。</w:t>
      </w:r>
    </w:p>
    <w:p w14:paraId="34D67E2D">
      <w:pPr>
        <w:pStyle w:val="21"/>
        <w:snapToGrid w:val="0"/>
        <w:spacing w:line="480" w:lineRule="exact"/>
        <w:ind w:firstLine="482" w:firstLineChars="200"/>
        <w:rPr>
          <w:rFonts w:hint="eastAsia" w:ascii="Times New Roman" w:hAnsi="Times New Roman" w:eastAsia="宋体"/>
          <w:b/>
          <w:color w:val="auto"/>
          <w:sz w:val="24"/>
          <w:szCs w:val="24"/>
          <w:highlight w:val="none"/>
          <w:lang w:eastAsia="zh-CN"/>
        </w:rPr>
      </w:pPr>
      <w:r>
        <w:rPr>
          <w:rFonts w:ascii="Times New Roman" w:hAnsi="Times New Roman" w:eastAsia="宋体"/>
          <w:b/>
          <w:color w:val="auto"/>
          <w:sz w:val="24"/>
          <w:szCs w:val="24"/>
          <w:highlight w:val="none"/>
        </w:rPr>
        <w:t>三、</w:t>
      </w:r>
      <w:r>
        <w:rPr>
          <w:rFonts w:hint="eastAsia" w:ascii="Times New Roman" w:hAnsi="Times New Roman" w:eastAsia="宋体"/>
          <w:b/>
          <w:color w:val="auto"/>
          <w:sz w:val="24"/>
          <w:szCs w:val="24"/>
          <w:highlight w:val="none"/>
        </w:rPr>
        <w:t>报价</w:t>
      </w:r>
      <w:r>
        <w:rPr>
          <w:rFonts w:ascii="Times New Roman" w:hAnsi="Times New Roman" w:eastAsia="宋体"/>
          <w:b/>
          <w:color w:val="auto"/>
          <w:sz w:val="24"/>
          <w:szCs w:val="24"/>
          <w:highlight w:val="none"/>
        </w:rPr>
        <w:t>文件</w:t>
      </w:r>
      <w:r>
        <w:rPr>
          <w:rFonts w:hint="eastAsia" w:ascii="Times New Roman" w:hAnsi="Times New Roman" w:eastAsia="宋体"/>
          <w:b/>
          <w:color w:val="auto"/>
          <w:sz w:val="24"/>
          <w:szCs w:val="24"/>
          <w:highlight w:val="none"/>
          <w:lang w:eastAsia="zh-CN"/>
        </w:rPr>
        <w:t>（</w:t>
      </w:r>
      <w:r>
        <w:rPr>
          <w:rFonts w:hint="eastAsia" w:ascii="Times New Roman" w:hAnsi="Times New Roman" w:eastAsia="宋体"/>
          <w:b/>
          <w:color w:val="auto"/>
          <w:sz w:val="24"/>
          <w:szCs w:val="24"/>
          <w:highlight w:val="none"/>
          <w:lang w:val="en-US" w:eastAsia="zh-CN"/>
        </w:rPr>
        <w:t>单独密封</w:t>
      </w:r>
      <w:r>
        <w:rPr>
          <w:rFonts w:hint="eastAsia" w:ascii="Times New Roman" w:hAnsi="Times New Roman" w:eastAsia="宋体"/>
          <w:b/>
          <w:color w:val="auto"/>
          <w:sz w:val="24"/>
          <w:szCs w:val="24"/>
          <w:highlight w:val="none"/>
          <w:lang w:eastAsia="zh-CN"/>
        </w:rPr>
        <w:t>）</w:t>
      </w:r>
    </w:p>
    <w:p w14:paraId="7CA8732B">
      <w:pPr>
        <w:tabs>
          <w:tab w:val="left" w:pos="3375"/>
        </w:tabs>
        <w:autoSpaceDE w:val="0"/>
        <w:autoSpaceDN w:val="0"/>
        <w:adjustRightInd w:val="0"/>
        <w:snapToGrid w:val="0"/>
        <w:spacing w:line="480" w:lineRule="exact"/>
        <w:ind w:left="1" w:firstLine="480" w:firstLineChars="200"/>
        <w:rPr>
          <w:rFonts w:hint="eastAsia" w:ascii="Times New Roman" w:hAnsi="Times New Roman" w:eastAsia="宋体" w:cs="Times New Roman"/>
          <w:color w:val="auto"/>
          <w:sz w:val="24"/>
          <w:highlight w:val="none"/>
          <w:lang w:eastAsia="zh-CN"/>
        </w:rPr>
      </w:pPr>
      <w:r>
        <w:rPr>
          <w:rFonts w:ascii="Times New Roman" w:hAnsi="Times New Roman" w:eastAsia="宋体" w:cs="Times New Roman"/>
          <w:color w:val="auto"/>
          <w:sz w:val="24"/>
          <w:highlight w:val="none"/>
        </w:rPr>
        <w:t>1、磋商报价总表</w:t>
      </w:r>
      <w:r>
        <w:rPr>
          <w:rFonts w:hint="eastAsia" w:cs="Times New Roman"/>
          <w:color w:val="auto"/>
          <w:sz w:val="24"/>
          <w:highlight w:val="none"/>
          <w:lang w:eastAsia="zh-CN"/>
        </w:rPr>
        <w:t>；</w:t>
      </w:r>
    </w:p>
    <w:p w14:paraId="06128AFC">
      <w:pPr>
        <w:pStyle w:val="15"/>
        <w:rPr>
          <w:color w:val="auto"/>
          <w:highlight w:val="none"/>
        </w:rPr>
      </w:pPr>
    </w:p>
    <w:p w14:paraId="6421462D">
      <w:pPr>
        <w:spacing w:line="360" w:lineRule="auto"/>
        <w:ind w:firstLine="643" w:firstLineChars="200"/>
        <w:rPr>
          <w:rFonts w:hint="eastAsia" w:ascii="Calibri" w:hAnsi="Calibri" w:eastAsia="宋体"/>
          <w:b/>
          <w:bCs/>
          <w:color w:val="auto"/>
          <w:sz w:val="32"/>
          <w:szCs w:val="32"/>
          <w:highlight w:val="none"/>
          <w:lang w:eastAsia="zh-CN"/>
        </w:rPr>
      </w:pPr>
      <w:r>
        <w:rPr>
          <w:rFonts w:ascii="Calibri" w:hAnsi="Calibri"/>
          <w:b/>
          <w:bCs/>
          <w:color w:val="auto"/>
          <w:sz w:val="32"/>
          <w:szCs w:val="32"/>
          <w:highlight w:val="none"/>
        </w:rPr>
        <w:br w:type="page"/>
      </w:r>
      <w:r>
        <w:rPr>
          <w:rFonts w:hint="eastAsia" w:ascii="Calibri" w:hAnsi="Calibri"/>
          <w:b/>
          <w:bCs/>
          <w:color w:val="auto"/>
          <w:sz w:val="32"/>
          <w:szCs w:val="32"/>
          <w:highlight w:val="none"/>
        </w:rPr>
        <w:t>附件：</w:t>
      </w:r>
    </w:p>
    <w:p w14:paraId="322C147E">
      <w:pPr>
        <w:pStyle w:val="4"/>
        <w:rPr>
          <w:rFonts w:hint="eastAsia"/>
          <w:color w:val="auto"/>
          <w:highlight w:val="none"/>
          <w:lang w:eastAsia="zh-CN"/>
        </w:rPr>
      </w:pPr>
    </w:p>
    <w:p w14:paraId="3F1F4D04">
      <w:pPr>
        <w:spacing w:line="360" w:lineRule="auto"/>
        <w:ind w:firstLine="480" w:firstLineChars="200"/>
        <w:rPr>
          <w:rFonts w:ascii="宋体" w:hAnsi="宋体" w:cs="宋体"/>
          <w:color w:val="auto"/>
          <w:sz w:val="24"/>
          <w:highlight w:val="none"/>
        </w:rPr>
      </w:pPr>
    </w:p>
    <w:p w14:paraId="520177B8">
      <w:pPr>
        <w:spacing w:line="360" w:lineRule="auto"/>
        <w:ind w:firstLine="480" w:firstLineChars="200"/>
        <w:rPr>
          <w:rFonts w:ascii="宋体" w:hAnsi="宋体" w:cs="宋体"/>
          <w:color w:val="auto"/>
          <w:sz w:val="24"/>
          <w:highlight w:val="none"/>
        </w:rPr>
      </w:pPr>
    </w:p>
    <w:p w14:paraId="5B2FC9F5">
      <w:pPr>
        <w:spacing w:line="360" w:lineRule="auto"/>
        <w:jc w:val="center"/>
        <w:rPr>
          <w:rFonts w:ascii="宋体" w:hAnsi="宋体" w:cs="宋体"/>
          <w:b/>
          <w:color w:val="auto"/>
          <w:sz w:val="24"/>
          <w:highlight w:val="none"/>
          <w:u w:val="single"/>
        </w:rPr>
      </w:pPr>
      <w:r>
        <w:rPr>
          <w:rFonts w:hint="eastAsia" w:ascii="宋体" w:hAnsi="宋体" w:cs="宋体"/>
          <w:b/>
          <w:color w:val="auto"/>
          <w:sz w:val="24"/>
          <w:highlight w:val="none"/>
          <w:u w:val="single"/>
        </w:rPr>
        <w:t xml:space="preserve">项目名称 </w:t>
      </w:r>
    </w:p>
    <w:p w14:paraId="1570A31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项目编号：</w:t>
      </w:r>
    </w:p>
    <w:p w14:paraId="49A409F8">
      <w:pPr>
        <w:spacing w:line="360" w:lineRule="auto"/>
        <w:ind w:firstLine="2400" w:firstLineChars="1000"/>
        <w:rPr>
          <w:rFonts w:ascii="宋体" w:hAnsi="宋体" w:cs="宋体"/>
          <w:color w:val="auto"/>
          <w:sz w:val="24"/>
          <w:highlight w:val="none"/>
        </w:rPr>
      </w:pPr>
    </w:p>
    <w:p w14:paraId="53E19822">
      <w:pPr>
        <w:spacing w:line="360" w:lineRule="auto"/>
        <w:rPr>
          <w:rFonts w:ascii="宋体" w:hAnsi="宋体" w:cs="宋体"/>
          <w:color w:val="auto"/>
          <w:sz w:val="24"/>
          <w:highlight w:val="none"/>
        </w:rPr>
      </w:pPr>
    </w:p>
    <w:p w14:paraId="590786FC">
      <w:pPr>
        <w:spacing w:line="360" w:lineRule="auto"/>
        <w:rPr>
          <w:rFonts w:ascii="宋体" w:hAnsi="宋体" w:cs="宋体"/>
          <w:color w:val="auto"/>
          <w:sz w:val="24"/>
          <w:highlight w:val="none"/>
        </w:rPr>
      </w:pPr>
    </w:p>
    <w:p w14:paraId="15272091">
      <w:pPr>
        <w:spacing w:line="360" w:lineRule="auto"/>
        <w:rPr>
          <w:rFonts w:ascii="宋体" w:hAnsi="宋体" w:cs="宋体"/>
          <w:color w:val="auto"/>
          <w:sz w:val="24"/>
          <w:highlight w:val="none"/>
        </w:rPr>
      </w:pPr>
    </w:p>
    <w:p w14:paraId="3F7950BC">
      <w:pPr>
        <w:spacing w:line="360" w:lineRule="auto"/>
        <w:rPr>
          <w:rFonts w:ascii="宋体" w:hAnsi="宋体" w:cs="宋体"/>
          <w:color w:val="auto"/>
          <w:sz w:val="24"/>
          <w:highlight w:val="none"/>
        </w:rPr>
      </w:pPr>
    </w:p>
    <w:p w14:paraId="73A219E8">
      <w:pPr>
        <w:spacing w:line="360" w:lineRule="auto"/>
        <w:rPr>
          <w:rFonts w:ascii="宋体" w:hAnsi="宋体" w:cs="宋体"/>
          <w:color w:val="auto"/>
          <w:sz w:val="24"/>
          <w:highlight w:val="none"/>
        </w:rPr>
      </w:pPr>
    </w:p>
    <w:p w14:paraId="73996BEF">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磋商响应文件</w:t>
      </w:r>
    </w:p>
    <w:p w14:paraId="240F0C02">
      <w:pPr>
        <w:spacing w:line="360" w:lineRule="auto"/>
        <w:rPr>
          <w:rFonts w:ascii="宋体" w:hAnsi="宋体" w:cs="宋体"/>
          <w:color w:val="auto"/>
          <w:sz w:val="24"/>
          <w:highlight w:val="none"/>
        </w:rPr>
      </w:pPr>
    </w:p>
    <w:p w14:paraId="39396E25">
      <w:pPr>
        <w:spacing w:line="360" w:lineRule="auto"/>
        <w:ind w:firstLine="2400" w:firstLineChars="1000"/>
        <w:rPr>
          <w:rFonts w:ascii="宋体" w:hAnsi="宋体" w:cs="宋体"/>
          <w:color w:val="auto"/>
          <w:sz w:val="24"/>
          <w:highlight w:val="none"/>
        </w:rPr>
      </w:pPr>
      <w:r>
        <w:rPr>
          <w:rFonts w:hint="eastAsia" w:ascii="宋体" w:hAnsi="宋体" w:cs="宋体"/>
          <w:color w:val="auto"/>
          <w:sz w:val="24"/>
          <w:highlight w:val="none"/>
        </w:rPr>
        <w:t>对应</w:t>
      </w:r>
      <w:r>
        <w:rPr>
          <w:rFonts w:hint="eastAsia" w:ascii="宋体" w:hAnsi="宋体" w:cs="宋体"/>
          <w:bCs/>
          <w:color w:val="auto"/>
          <w:sz w:val="24"/>
          <w:highlight w:val="none"/>
        </w:rPr>
        <w:t>磋商响应文件</w:t>
      </w:r>
      <w:r>
        <w:rPr>
          <w:rFonts w:hint="eastAsia" w:ascii="宋体" w:hAnsi="宋体" w:cs="宋体"/>
          <w:color w:val="auto"/>
          <w:sz w:val="24"/>
          <w:highlight w:val="none"/>
        </w:rPr>
        <w:t>填写：资格审查文件</w:t>
      </w:r>
    </w:p>
    <w:p w14:paraId="1C69C476">
      <w:pPr>
        <w:spacing w:line="360" w:lineRule="auto"/>
        <w:jc w:val="center"/>
        <w:rPr>
          <w:rFonts w:ascii="宋体" w:hAnsi="宋体" w:cs="宋体"/>
          <w:bCs/>
          <w:color w:val="auto"/>
          <w:sz w:val="24"/>
          <w:highlight w:val="none"/>
        </w:rPr>
      </w:pPr>
      <w:r>
        <w:rPr>
          <w:rFonts w:hint="eastAsia" w:ascii="宋体" w:hAnsi="宋体" w:cs="宋体"/>
          <w:color w:val="auto"/>
          <w:sz w:val="24"/>
          <w:highlight w:val="none"/>
        </w:rPr>
        <w:t xml:space="preserve"> 对应</w:t>
      </w:r>
      <w:r>
        <w:rPr>
          <w:rFonts w:hint="eastAsia" w:ascii="宋体" w:hAnsi="宋体" w:cs="宋体"/>
          <w:bCs/>
          <w:color w:val="auto"/>
          <w:sz w:val="24"/>
          <w:highlight w:val="none"/>
        </w:rPr>
        <w:t>磋商响应文件</w:t>
      </w:r>
      <w:r>
        <w:rPr>
          <w:rFonts w:hint="eastAsia" w:ascii="宋体" w:hAnsi="宋体" w:cs="宋体"/>
          <w:color w:val="auto"/>
          <w:sz w:val="24"/>
          <w:highlight w:val="none"/>
        </w:rPr>
        <w:t>填写：商务技术文件</w:t>
      </w:r>
    </w:p>
    <w:p w14:paraId="31B09483">
      <w:pPr>
        <w:spacing w:line="360" w:lineRule="auto"/>
        <w:ind w:firstLine="2400" w:firstLineChars="1000"/>
        <w:rPr>
          <w:rFonts w:hint="eastAsia" w:ascii="宋体" w:hAnsi="宋体" w:cs="宋体"/>
          <w:color w:val="auto"/>
          <w:sz w:val="24"/>
          <w:highlight w:val="none"/>
        </w:rPr>
      </w:pPr>
      <w:r>
        <w:rPr>
          <w:rFonts w:hint="eastAsia" w:ascii="宋体" w:hAnsi="宋体" w:cs="宋体"/>
          <w:color w:val="auto"/>
          <w:sz w:val="24"/>
          <w:highlight w:val="none"/>
        </w:rPr>
        <w:t>对应</w:t>
      </w:r>
      <w:r>
        <w:rPr>
          <w:rFonts w:hint="eastAsia" w:ascii="宋体" w:hAnsi="宋体" w:cs="宋体"/>
          <w:bCs/>
          <w:color w:val="auto"/>
          <w:sz w:val="24"/>
          <w:highlight w:val="none"/>
        </w:rPr>
        <w:t>磋商响应文件</w:t>
      </w:r>
      <w:r>
        <w:rPr>
          <w:rFonts w:hint="eastAsia" w:ascii="宋体" w:hAnsi="宋体" w:cs="宋体"/>
          <w:color w:val="auto"/>
          <w:sz w:val="24"/>
          <w:highlight w:val="none"/>
        </w:rPr>
        <w:t>填写：报价文件</w:t>
      </w:r>
    </w:p>
    <w:p w14:paraId="01494279">
      <w:pPr>
        <w:spacing w:line="360" w:lineRule="auto"/>
        <w:ind w:firstLine="2400" w:firstLineChars="1000"/>
        <w:rPr>
          <w:rFonts w:hint="eastAsia" w:ascii="宋体" w:hAnsi="宋体" w:cs="宋体"/>
          <w:color w:val="auto"/>
          <w:sz w:val="24"/>
          <w:highlight w:val="none"/>
        </w:rPr>
      </w:pPr>
    </w:p>
    <w:p w14:paraId="58DF6960">
      <w:pPr>
        <w:jc w:val="center"/>
        <w:rPr>
          <w:rFonts w:ascii="宋体" w:hAnsi="宋体" w:cs="宋体"/>
          <w:b/>
          <w:color w:val="auto"/>
          <w:sz w:val="24"/>
          <w:highlight w:val="none"/>
        </w:rPr>
      </w:pPr>
      <w:r>
        <w:rPr>
          <w:rFonts w:hint="eastAsia" w:ascii="宋体" w:hAnsi="宋体" w:cs="宋体"/>
          <w:b/>
          <w:color w:val="auto"/>
          <w:sz w:val="24"/>
          <w:highlight w:val="none"/>
        </w:rPr>
        <w:t>（资格后审）</w:t>
      </w:r>
    </w:p>
    <w:p w14:paraId="64764C42">
      <w:pPr>
        <w:jc w:val="center"/>
        <w:rPr>
          <w:rFonts w:ascii="宋体" w:hAnsi="宋体" w:cs="宋体"/>
          <w:b/>
          <w:color w:val="auto"/>
          <w:sz w:val="24"/>
          <w:highlight w:val="none"/>
        </w:rPr>
      </w:pPr>
    </w:p>
    <w:p w14:paraId="05F104F2">
      <w:pPr>
        <w:snapToGrid w:val="0"/>
        <w:spacing w:line="520" w:lineRule="exact"/>
        <w:jc w:val="center"/>
        <w:rPr>
          <w:rFonts w:ascii="宋体" w:hAnsi="宋体" w:cs="宋体"/>
          <w:b/>
          <w:color w:val="auto"/>
          <w:sz w:val="24"/>
          <w:highlight w:val="none"/>
        </w:rPr>
      </w:pPr>
    </w:p>
    <w:p w14:paraId="53F48C9F">
      <w:pPr>
        <w:spacing w:line="360" w:lineRule="auto"/>
        <w:rPr>
          <w:rFonts w:ascii="宋体" w:hAnsi="宋体" w:cs="宋体"/>
          <w:color w:val="auto"/>
          <w:sz w:val="24"/>
          <w:highlight w:val="none"/>
        </w:rPr>
      </w:pPr>
    </w:p>
    <w:p w14:paraId="6F3E1183">
      <w:pPr>
        <w:spacing w:line="360" w:lineRule="auto"/>
        <w:rPr>
          <w:rFonts w:ascii="宋体" w:hAnsi="宋体" w:cs="宋体"/>
          <w:color w:val="auto"/>
          <w:sz w:val="24"/>
          <w:highlight w:val="none"/>
        </w:rPr>
      </w:pPr>
    </w:p>
    <w:p w14:paraId="59193E4B">
      <w:pPr>
        <w:spacing w:line="360" w:lineRule="auto"/>
        <w:rPr>
          <w:rFonts w:ascii="宋体" w:hAnsi="宋体" w:cs="宋体"/>
          <w:color w:val="auto"/>
          <w:sz w:val="24"/>
          <w:highlight w:val="none"/>
        </w:rPr>
      </w:pPr>
    </w:p>
    <w:p w14:paraId="11A9A5E6">
      <w:pPr>
        <w:spacing w:line="360" w:lineRule="auto"/>
        <w:rPr>
          <w:rFonts w:ascii="宋体" w:hAnsi="宋体" w:cs="宋体"/>
          <w:color w:val="auto"/>
          <w:sz w:val="24"/>
          <w:highlight w:val="none"/>
        </w:rPr>
      </w:pPr>
    </w:p>
    <w:p w14:paraId="267C938D">
      <w:pPr>
        <w:spacing w:line="360" w:lineRule="auto"/>
        <w:ind w:firstLine="1440" w:firstLineChars="600"/>
        <w:rPr>
          <w:rFonts w:ascii="宋体" w:hAnsi="宋体" w:cs="宋体"/>
          <w:color w:val="auto"/>
          <w:sz w:val="24"/>
          <w:highlight w:val="none"/>
        </w:rPr>
      </w:pPr>
      <w:r>
        <w:rPr>
          <w:rFonts w:hint="eastAsia" w:ascii="宋体" w:hAnsi="宋体" w:cs="宋体"/>
          <w:color w:val="auto"/>
          <w:sz w:val="24"/>
          <w:highlight w:val="none"/>
        </w:rPr>
        <w:t>响应供应商：参加供应商全称（公章）</w:t>
      </w:r>
    </w:p>
    <w:p w14:paraId="4606ADD6">
      <w:pPr>
        <w:spacing w:line="360" w:lineRule="auto"/>
        <w:ind w:firstLine="1440" w:firstLineChars="600"/>
        <w:rPr>
          <w:rFonts w:ascii="宋体" w:hAnsi="宋体" w:cs="宋体"/>
          <w:color w:val="auto"/>
          <w:sz w:val="24"/>
          <w:highlight w:val="none"/>
        </w:rPr>
      </w:pPr>
      <w:r>
        <w:rPr>
          <w:rFonts w:hint="eastAsia" w:ascii="宋体" w:hAnsi="宋体" w:cs="宋体"/>
          <w:color w:val="auto"/>
          <w:sz w:val="24"/>
          <w:highlight w:val="none"/>
        </w:rPr>
        <w:t>日  期：      年  月  日</w:t>
      </w:r>
    </w:p>
    <w:p w14:paraId="3F3633A7">
      <w:pPr>
        <w:jc w:val="left"/>
        <w:rPr>
          <w:rFonts w:ascii="宋体" w:hAnsi="宋体" w:cs="宋体"/>
          <w:b/>
          <w:bCs/>
          <w:color w:val="auto"/>
          <w:sz w:val="24"/>
          <w:highlight w:val="none"/>
        </w:rPr>
      </w:pPr>
      <w:r>
        <w:rPr>
          <w:rFonts w:ascii="宋体" w:hAnsi="宋体" w:cs="宋体"/>
          <w:color w:val="auto"/>
          <w:sz w:val="24"/>
          <w:highlight w:val="none"/>
        </w:rPr>
        <w:br w:type="page"/>
      </w:r>
      <w:r>
        <w:rPr>
          <w:rFonts w:hint="eastAsia" w:ascii="宋体" w:hAnsi="宋体" w:cs="宋体"/>
          <w:b/>
          <w:bCs/>
          <w:color w:val="auto"/>
          <w:sz w:val="24"/>
          <w:highlight w:val="none"/>
        </w:rPr>
        <w:t>一、资格审查文件相关的格式文件及表格</w:t>
      </w:r>
    </w:p>
    <w:p w14:paraId="36BD16D0">
      <w:pPr>
        <w:snapToGrid w:val="0"/>
        <w:spacing w:line="360" w:lineRule="auto"/>
        <w:jc w:val="center"/>
        <w:outlineLvl w:val="4"/>
        <w:rPr>
          <w:rFonts w:ascii="宋体" w:hAnsi="宋体" w:cs="宋体"/>
          <w:b/>
          <w:bCs/>
          <w:color w:val="auto"/>
          <w:sz w:val="24"/>
          <w:highlight w:val="none"/>
        </w:rPr>
      </w:pPr>
    </w:p>
    <w:p w14:paraId="2F6D3428">
      <w:pPr>
        <w:pStyle w:val="22"/>
        <w:spacing w:line="560" w:lineRule="exact"/>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1、</w:t>
      </w:r>
      <w:r>
        <w:rPr>
          <w:rFonts w:hint="eastAsia" w:ascii="宋体" w:hAnsi="宋体" w:cs="宋体"/>
          <w:b/>
          <w:bCs/>
          <w:color w:val="auto"/>
          <w:sz w:val="32"/>
          <w:szCs w:val="32"/>
          <w:highlight w:val="none"/>
          <w:lang w:val="en-US" w:eastAsia="zh-CN"/>
        </w:rPr>
        <w:t>供应商</w:t>
      </w:r>
      <w:r>
        <w:rPr>
          <w:rFonts w:hint="eastAsia" w:ascii="宋体" w:hAnsi="宋体" w:cs="宋体"/>
          <w:b/>
          <w:bCs/>
          <w:color w:val="auto"/>
          <w:sz w:val="32"/>
          <w:szCs w:val="32"/>
          <w:highlight w:val="none"/>
        </w:rPr>
        <w:t>声明函</w:t>
      </w:r>
    </w:p>
    <w:p w14:paraId="021F0672">
      <w:pPr>
        <w:spacing w:line="460" w:lineRule="exact"/>
        <w:rPr>
          <w:b/>
          <w:bCs/>
          <w:color w:val="auto"/>
          <w:sz w:val="44"/>
          <w:szCs w:val="44"/>
          <w:highlight w:val="none"/>
        </w:rPr>
      </w:pPr>
      <w:r>
        <w:rPr>
          <w:b/>
          <w:bCs/>
          <w:color w:val="auto"/>
          <w:sz w:val="24"/>
          <w:szCs w:val="21"/>
          <w:highlight w:val="none"/>
        </w:rPr>
        <w:t xml:space="preserve">                       </w:t>
      </w:r>
      <w:r>
        <w:rPr>
          <w:b/>
          <w:bCs/>
          <w:color w:val="auto"/>
          <w:sz w:val="44"/>
          <w:szCs w:val="44"/>
          <w:highlight w:val="none"/>
        </w:rPr>
        <w:t xml:space="preserve">   </w:t>
      </w:r>
    </w:p>
    <w:p w14:paraId="0FD71412">
      <w:pPr>
        <w:spacing w:line="520" w:lineRule="exact"/>
        <w:ind w:firstLine="480" w:firstLineChars="200"/>
        <w:rPr>
          <w:b/>
          <w:bCs/>
          <w:color w:val="auto"/>
          <w:sz w:val="24"/>
          <w:highlight w:val="none"/>
        </w:rPr>
      </w:pPr>
      <w:r>
        <w:rPr>
          <w:bCs/>
          <w:color w:val="auto"/>
          <w:sz w:val="24"/>
          <w:highlight w:val="none"/>
        </w:rPr>
        <w:t>我单位参加</w:t>
      </w:r>
      <w:r>
        <w:rPr>
          <w:bCs/>
          <w:color w:val="auto"/>
          <w:sz w:val="24"/>
          <w:szCs w:val="21"/>
          <w:highlight w:val="none"/>
          <w:u w:val="single"/>
        </w:rPr>
        <w:t xml:space="preserve">            </w:t>
      </w:r>
      <w:r>
        <w:rPr>
          <w:bCs/>
          <w:color w:val="auto"/>
          <w:sz w:val="24"/>
          <w:szCs w:val="21"/>
          <w:highlight w:val="none"/>
        </w:rPr>
        <w:t>（项目名称）</w:t>
      </w:r>
      <w:r>
        <w:rPr>
          <w:rFonts w:hint="eastAsia"/>
          <w:bCs/>
          <w:color w:val="auto"/>
          <w:sz w:val="24"/>
          <w:szCs w:val="21"/>
          <w:highlight w:val="none"/>
          <w:lang w:val="en-US" w:eastAsia="zh-CN"/>
        </w:rPr>
        <w:t>采购</w:t>
      </w:r>
      <w:r>
        <w:rPr>
          <w:bCs/>
          <w:color w:val="auto"/>
          <w:sz w:val="24"/>
          <w:szCs w:val="21"/>
          <w:highlight w:val="none"/>
        </w:rPr>
        <w:t>活动。</w:t>
      </w:r>
      <w:r>
        <w:rPr>
          <w:bCs/>
          <w:color w:val="auto"/>
          <w:sz w:val="24"/>
          <w:highlight w:val="none"/>
        </w:rPr>
        <w:t>我单位</w:t>
      </w:r>
      <w:r>
        <w:rPr>
          <w:bCs/>
          <w:color w:val="auto"/>
          <w:sz w:val="24"/>
          <w:szCs w:val="21"/>
          <w:highlight w:val="none"/>
        </w:rPr>
        <w:t>声明如下：</w:t>
      </w:r>
    </w:p>
    <w:p w14:paraId="12D1E40A">
      <w:pPr>
        <w:numPr>
          <w:ilvl w:val="0"/>
          <w:numId w:val="3"/>
        </w:numPr>
        <w:snapToGrid w:val="0"/>
        <w:spacing w:line="460" w:lineRule="exact"/>
        <w:ind w:firstLine="480" w:firstLineChars="200"/>
        <w:contextualSpacing/>
        <w:rPr>
          <w:color w:val="auto"/>
          <w:kern w:val="0"/>
          <w:sz w:val="24"/>
          <w:highlight w:val="none"/>
          <w:lang w:val="zh-CN"/>
        </w:rPr>
      </w:pPr>
      <w:r>
        <w:rPr>
          <w:color w:val="auto"/>
          <w:kern w:val="0"/>
          <w:sz w:val="24"/>
          <w:highlight w:val="none"/>
          <w:lang w:val="zh-CN"/>
        </w:rPr>
        <w:t>我单位具有独立承担民事责任的能力；</w:t>
      </w:r>
    </w:p>
    <w:p w14:paraId="01F59EF3">
      <w:pPr>
        <w:numPr>
          <w:ilvl w:val="0"/>
          <w:numId w:val="3"/>
        </w:numPr>
        <w:snapToGrid w:val="0"/>
        <w:spacing w:line="460" w:lineRule="exact"/>
        <w:ind w:firstLine="480" w:firstLineChars="200"/>
        <w:contextualSpacing/>
        <w:rPr>
          <w:color w:val="auto"/>
          <w:kern w:val="0"/>
          <w:sz w:val="24"/>
          <w:highlight w:val="none"/>
          <w:lang w:val="zh-CN"/>
        </w:rPr>
      </w:pPr>
      <w:r>
        <w:rPr>
          <w:color w:val="auto"/>
          <w:kern w:val="0"/>
          <w:sz w:val="24"/>
          <w:highlight w:val="none"/>
          <w:lang w:val="zh-CN"/>
        </w:rPr>
        <w:t>我单位具有良好的商业信誉和健全的财务会计制度；</w:t>
      </w:r>
    </w:p>
    <w:p w14:paraId="53660B5F">
      <w:pPr>
        <w:numPr>
          <w:ilvl w:val="0"/>
          <w:numId w:val="3"/>
        </w:numPr>
        <w:snapToGrid w:val="0"/>
        <w:spacing w:line="460" w:lineRule="exact"/>
        <w:ind w:firstLine="480" w:firstLineChars="200"/>
        <w:contextualSpacing/>
        <w:rPr>
          <w:color w:val="auto"/>
          <w:kern w:val="0"/>
          <w:sz w:val="24"/>
          <w:highlight w:val="none"/>
          <w:lang w:val="zh-CN"/>
        </w:rPr>
      </w:pPr>
      <w:r>
        <w:rPr>
          <w:color w:val="auto"/>
          <w:kern w:val="0"/>
          <w:sz w:val="24"/>
          <w:highlight w:val="none"/>
          <w:lang w:val="zh-CN"/>
        </w:rPr>
        <w:t xml:space="preserve">我单位具有履行合同所必需的设备和专业技术能力； </w:t>
      </w:r>
    </w:p>
    <w:p w14:paraId="288D2EFF">
      <w:pPr>
        <w:numPr>
          <w:ilvl w:val="0"/>
          <w:numId w:val="3"/>
        </w:numPr>
        <w:snapToGrid w:val="0"/>
        <w:spacing w:line="460" w:lineRule="exact"/>
        <w:ind w:firstLine="480" w:firstLineChars="200"/>
        <w:contextualSpacing/>
        <w:rPr>
          <w:color w:val="auto"/>
          <w:kern w:val="0"/>
          <w:sz w:val="24"/>
          <w:highlight w:val="none"/>
          <w:lang w:val="zh-CN"/>
        </w:rPr>
      </w:pPr>
      <w:r>
        <w:rPr>
          <w:color w:val="auto"/>
          <w:kern w:val="0"/>
          <w:sz w:val="24"/>
          <w:highlight w:val="none"/>
          <w:lang w:val="zh-CN"/>
        </w:rPr>
        <w:t>我单位有依法缴纳税收和社会保障资金的良好记录；</w:t>
      </w:r>
    </w:p>
    <w:p w14:paraId="577E426E">
      <w:pPr>
        <w:numPr>
          <w:ilvl w:val="0"/>
          <w:numId w:val="3"/>
        </w:numPr>
        <w:snapToGrid w:val="0"/>
        <w:spacing w:line="460" w:lineRule="exact"/>
        <w:ind w:firstLine="480" w:firstLineChars="200"/>
        <w:contextualSpacing/>
        <w:rPr>
          <w:color w:val="auto"/>
          <w:kern w:val="0"/>
          <w:sz w:val="24"/>
          <w:highlight w:val="none"/>
          <w:lang w:val="zh-CN"/>
        </w:rPr>
      </w:pPr>
      <w:r>
        <w:rPr>
          <w:color w:val="auto"/>
          <w:kern w:val="0"/>
          <w:sz w:val="24"/>
          <w:highlight w:val="none"/>
          <w:lang w:val="zh-CN"/>
        </w:rPr>
        <w:t>我单位参加采购活动前三年内，在经营活动中没有重大违法记录；在</w:t>
      </w:r>
      <w:r>
        <w:rPr>
          <w:rFonts w:hint="eastAsia"/>
          <w:color w:val="auto"/>
          <w:kern w:val="0"/>
          <w:sz w:val="24"/>
          <w:highlight w:val="none"/>
          <w:lang w:val="en-US" w:eastAsia="zh-CN"/>
        </w:rPr>
        <w:t>递交响应文件</w:t>
      </w:r>
      <w:r>
        <w:rPr>
          <w:color w:val="auto"/>
          <w:kern w:val="0"/>
          <w:sz w:val="24"/>
          <w:highlight w:val="none"/>
          <w:lang w:val="zh-CN"/>
        </w:rPr>
        <w:t>截止时间节点，没有被“信用中国”网站（www.creditchina.gov.cn）列入失信被执行人、重大税收违法案件当事人名单；</w:t>
      </w:r>
    </w:p>
    <w:p w14:paraId="5813F207">
      <w:pPr>
        <w:numPr>
          <w:ilvl w:val="0"/>
          <w:numId w:val="3"/>
        </w:numPr>
        <w:snapToGrid w:val="0"/>
        <w:spacing w:line="460" w:lineRule="exact"/>
        <w:ind w:firstLine="480" w:firstLineChars="200"/>
        <w:contextualSpacing/>
        <w:rPr>
          <w:color w:val="auto"/>
          <w:kern w:val="0"/>
          <w:sz w:val="24"/>
          <w:highlight w:val="none"/>
          <w:lang w:val="zh-CN"/>
        </w:rPr>
      </w:pPr>
      <w:r>
        <w:rPr>
          <w:color w:val="auto"/>
          <w:kern w:val="0"/>
          <w:sz w:val="24"/>
          <w:highlight w:val="none"/>
          <w:lang w:val="zh-CN"/>
        </w:rPr>
        <w:t>我单位满足法律、行政法规规定的其他条件。</w:t>
      </w:r>
    </w:p>
    <w:p w14:paraId="60B39ABB">
      <w:pPr>
        <w:spacing w:line="500" w:lineRule="exact"/>
        <w:ind w:firstLine="482"/>
        <w:rPr>
          <w:color w:val="auto"/>
          <w:sz w:val="24"/>
          <w:highlight w:val="none"/>
        </w:rPr>
      </w:pPr>
    </w:p>
    <w:p w14:paraId="25E346BA">
      <w:pPr>
        <w:spacing w:line="460" w:lineRule="exact"/>
        <w:jc w:val="center"/>
        <w:rPr>
          <w:bCs/>
          <w:color w:val="auto"/>
          <w:sz w:val="24"/>
          <w:szCs w:val="21"/>
          <w:highlight w:val="none"/>
        </w:rPr>
      </w:pPr>
      <w:r>
        <w:rPr>
          <w:bCs/>
          <w:color w:val="auto"/>
          <w:sz w:val="24"/>
          <w:szCs w:val="21"/>
          <w:highlight w:val="none"/>
        </w:rPr>
        <w:t xml:space="preserve">                                     承诺人名称（盖单位公章）：</w:t>
      </w:r>
    </w:p>
    <w:p w14:paraId="02E2FECB">
      <w:pPr>
        <w:spacing w:line="460" w:lineRule="exact"/>
        <w:jc w:val="right"/>
        <w:rPr>
          <w:bCs/>
          <w:color w:val="auto"/>
          <w:sz w:val="24"/>
          <w:szCs w:val="21"/>
          <w:highlight w:val="none"/>
        </w:rPr>
      </w:pPr>
      <w:r>
        <w:rPr>
          <w:bCs/>
          <w:color w:val="auto"/>
          <w:sz w:val="24"/>
          <w:szCs w:val="21"/>
          <w:highlight w:val="none"/>
        </w:rPr>
        <w:t xml:space="preserve">  </w:t>
      </w:r>
    </w:p>
    <w:p w14:paraId="5A02DCBA">
      <w:pPr>
        <w:spacing w:line="360" w:lineRule="auto"/>
        <w:ind w:firstLine="1320" w:firstLineChars="550"/>
        <w:jc w:val="right"/>
        <w:rPr>
          <w:rFonts w:ascii="宋体" w:hAnsi="宋体" w:cs="宋体"/>
          <w:color w:val="auto"/>
          <w:sz w:val="24"/>
          <w:highlight w:val="none"/>
        </w:rPr>
      </w:pPr>
      <w:r>
        <w:rPr>
          <w:bCs/>
          <w:color w:val="auto"/>
          <w:sz w:val="24"/>
          <w:szCs w:val="21"/>
          <w:highlight w:val="none"/>
        </w:rPr>
        <w:t xml:space="preserve">                              日期：______年</w:t>
      </w:r>
      <w:r>
        <w:rPr>
          <w:bCs/>
          <w:color w:val="auto"/>
          <w:sz w:val="24"/>
          <w:szCs w:val="21"/>
          <w:highlight w:val="none"/>
          <w:u w:val="single"/>
        </w:rPr>
        <w:t xml:space="preserve">    </w:t>
      </w:r>
      <w:r>
        <w:rPr>
          <w:bCs/>
          <w:color w:val="auto"/>
          <w:sz w:val="24"/>
          <w:szCs w:val="21"/>
          <w:highlight w:val="none"/>
        </w:rPr>
        <w:t>月</w:t>
      </w:r>
      <w:r>
        <w:rPr>
          <w:bCs/>
          <w:color w:val="auto"/>
          <w:sz w:val="24"/>
          <w:szCs w:val="21"/>
          <w:highlight w:val="none"/>
          <w:u w:val="single"/>
        </w:rPr>
        <w:t xml:space="preserve">    </w:t>
      </w:r>
      <w:r>
        <w:rPr>
          <w:bCs/>
          <w:color w:val="auto"/>
          <w:sz w:val="24"/>
          <w:szCs w:val="21"/>
          <w:highlight w:val="none"/>
        </w:rPr>
        <w:t>日</w:t>
      </w:r>
    </w:p>
    <w:p w14:paraId="6B8D6D31">
      <w:pPr>
        <w:spacing w:line="360" w:lineRule="auto"/>
        <w:jc w:val="center"/>
        <w:rPr>
          <w:rFonts w:ascii="宋体" w:hAnsi="宋体" w:cs="宋体"/>
          <w:b/>
          <w:bCs/>
          <w:color w:val="auto"/>
          <w:sz w:val="24"/>
          <w:highlight w:val="none"/>
        </w:rPr>
      </w:pPr>
      <w:r>
        <w:rPr>
          <w:rFonts w:ascii="宋体" w:hAnsi="宋体" w:cs="宋体"/>
          <w:b/>
          <w:bCs/>
          <w:color w:val="auto"/>
          <w:sz w:val="24"/>
          <w:highlight w:val="none"/>
        </w:rPr>
        <w:br w:type="page"/>
      </w:r>
      <w:r>
        <w:rPr>
          <w:rFonts w:hint="eastAsia" w:ascii="宋体" w:hAnsi="宋体" w:cs="宋体"/>
          <w:b/>
          <w:bCs/>
          <w:color w:val="auto"/>
          <w:sz w:val="24"/>
          <w:highlight w:val="none"/>
        </w:rPr>
        <w:t>2、法定代表人身份证明</w:t>
      </w:r>
    </w:p>
    <w:p w14:paraId="5D621B94">
      <w:pPr>
        <w:spacing w:line="360" w:lineRule="auto"/>
        <w:jc w:val="center"/>
        <w:rPr>
          <w:rFonts w:ascii="宋体" w:hAnsi="宋体" w:cs="宋体"/>
          <w:color w:val="auto"/>
          <w:sz w:val="24"/>
          <w:highlight w:val="none"/>
        </w:rPr>
      </w:pPr>
    </w:p>
    <w:p w14:paraId="1018929F">
      <w:pPr>
        <w:adjustRightInd w:val="0"/>
        <w:snapToGrid w:val="0"/>
        <w:spacing w:line="360" w:lineRule="auto"/>
        <w:jc w:val="left"/>
        <w:rPr>
          <w:rFonts w:ascii="宋体" w:hAnsi="宋体" w:cs="宋体"/>
          <w:color w:val="auto"/>
          <w:sz w:val="24"/>
          <w:highlight w:val="none"/>
          <w:u w:val="single"/>
        </w:rPr>
      </w:pPr>
    </w:p>
    <w:p w14:paraId="76C4CB02">
      <w:pPr>
        <w:adjustRightInd w:val="0"/>
        <w:snapToGrid w:val="0"/>
        <w:spacing w:line="360" w:lineRule="auto"/>
        <w:jc w:val="left"/>
        <w:rPr>
          <w:rFonts w:ascii="宋体" w:hAnsi="宋体" w:cs="宋体"/>
          <w:color w:val="auto"/>
          <w:sz w:val="24"/>
          <w:highlight w:val="none"/>
          <w:u w:val="single"/>
        </w:rPr>
      </w:pPr>
      <w:r>
        <w:rPr>
          <w:rFonts w:hint="eastAsia" w:ascii="宋体" w:hAnsi="宋体" w:cs="宋体"/>
          <w:color w:val="auto"/>
          <w:sz w:val="24"/>
          <w:highlight w:val="none"/>
          <w:u w:val="single"/>
        </w:rPr>
        <w:t xml:space="preserve">       （采购人）      ： </w:t>
      </w:r>
    </w:p>
    <w:p w14:paraId="439299A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我公司法定代表人</w:t>
      </w:r>
      <w:r>
        <w:rPr>
          <w:rFonts w:hint="eastAsia" w:ascii="宋体" w:hAnsi="宋体" w:cs="宋体"/>
          <w:color w:val="auto"/>
          <w:sz w:val="24"/>
          <w:highlight w:val="none"/>
          <w:u w:val="single"/>
        </w:rPr>
        <w:t>　　　</w:t>
      </w:r>
      <w:r>
        <w:rPr>
          <w:rFonts w:hint="eastAsia" w:ascii="宋体" w:hAnsi="宋体" w:cs="宋体"/>
          <w:color w:val="auto"/>
          <w:sz w:val="24"/>
          <w:highlight w:val="none"/>
        </w:rPr>
        <w:t>参加贵单位组织的</w:t>
      </w:r>
      <w:r>
        <w:rPr>
          <w:rFonts w:hint="eastAsia" w:ascii="宋体" w:hAnsi="宋体" w:cs="宋体"/>
          <w:color w:val="auto"/>
          <w:sz w:val="24"/>
          <w:highlight w:val="none"/>
          <w:u w:val="single"/>
        </w:rPr>
        <w:t>（竞争性磋商项目名称及项目编号</w:t>
      </w:r>
      <w:r>
        <w:rPr>
          <w:rFonts w:ascii="宋体" w:hAnsi="宋体" w:cs="宋体"/>
          <w:color w:val="auto"/>
          <w:sz w:val="24"/>
          <w:highlight w:val="none"/>
          <w:u w:val="single"/>
        </w:rPr>
        <w:t>)</w:t>
      </w:r>
      <w:r>
        <w:rPr>
          <w:rFonts w:hint="eastAsia" w:ascii="宋体" w:hAnsi="宋体" w:cs="宋体"/>
          <w:color w:val="auto"/>
          <w:sz w:val="24"/>
          <w:highlight w:val="none"/>
        </w:rPr>
        <w:t>项目的磋商活动，全权代表我公司处理竞争性磋商的有关事宜。</w:t>
      </w:r>
    </w:p>
    <w:p w14:paraId="54E0D2C9">
      <w:pPr>
        <w:spacing w:line="360" w:lineRule="auto"/>
        <w:ind w:firstLine="480" w:firstLineChars="200"/>
        <w:rPr>
          <w:rFonts w:ascii="宋体" w:hAnsi="宋体" w:cs="宋体"/>
          <w:color w:val="auto"/>
          <w:sz w:val="24"/>
          <w:highlight w:val="none"/>
        </w:rPr>
      </w:pPr>
    </w:p>
    <w:p w14:paraId="73C33008">
      <w:pPr>
        <w:spacing w:line="360" w:lineRule="auto"/>
        <w:rPr>
          <w:rFonts w:ascii="宋体" w:hAnsi="宋体" w:cs="宋体"/>
          <w:color w:val="auto"/>
          <w:sz w:val="24"/>
          <w:highlight w:val="none"/>
        </w:rPr>
      </w:pPr>
      <w:r>
        <w:rPr>
          <w:rFonts w:hint="eastAsia" w:ascii="宋体" w:hAnsi="宋体" w:cs="宋体"/>
          <w:color w:val="auto"/>
          <w:sz w:val="24"/>
          <w:highlight w:val="none"/>
        </w:rPr>
        <w:t>附：法定代表人情况：</w:t>
      </w:r>
    </w:p>
    <w:p w14:paraId="2F8C9041">
      <w:pPr>
        <w:spacing w:line="360" w:lineRule="auto"/>
        <w:rPr>
          <w:rFonts w:ascii="宋体" w:hAnsi="宋体" w:cs="宋体"/>
          <w:color w:val="auto"/>
          <w:sz w:val="24"/>
          <w:highlight w:val="none"/>
          <w:u w:val="single"/>
        </w:rPr>
      </w:pPr>
      <w:r>
        <w:rPr>
          <w:rFonts w:hint="eastAsia" w:ascii="宋体" w:hAnsi="宋体" w:cs="宋体"/>
          <w:color w:val="auto"/>
          <w:sz w:val="24"/>
          <w:highlight w:val="none"/>
        </w:rPr>
        <w:t>姓名：</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性别：</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 xml:space="preserve"> 年龄：</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 xml:space="preserve">  职务：</w:t>
      </w:r>
      <w:r>
        <w:rPr>
          <w:rFonts w:hint="eastAsia" w:ascii="宋体" w:hAnsi="宋体" w:cs="宋体"/>
          <w:color w:val="auto"/>
          <w:sz w:val="24"/>
          <w:highlight w:val="none"/>
          <w:u w:val="single"/>
          <w:lang w:val="en-US" w:eastAsia="zh-CN"/>
        </w:rPr>
        <w:t xml:space="preserve">       ；</w:t>
      </w:r>
    </w:p>
    <w:p w14:paraId="612F7200">
      <w:pPr>
        <w:spacing w:line="360" w:lineRule="auto"/>
        <w:rPr>
          <w:rFonts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lang w:val="en-US" w:eastAsia="zh-CN"/>
        </w:rPr>
        <w:t xml:space="preserve">       ；</w:t>
      </w:r>
    </w:p>
    <w:p w14:paraId="7B2D5744">
      <w:pPr>
        <w:spacing w:line="360" w:lineRule="auto"/>
        <w:rPr>
          <w:rFonts w:ascii="宋体" w:hAnsi="宋体" w:cs="宋体"/>
          <w:color w:val="auto"/>
          <w:sz w:val="24"/>
          <w:highlight w:val="none"/>
        </w:rPr>
      </w:pPr>
      <w:r>
        <w:rPr>
          <w:rFonts w:hint="eastAsia" w:ascii="宋体" w:hAnsi="宋体" w:cs="宋体"/>
          <w:color w:val="auto"/>
          <w:sz w:val="24"/>
          <w:highlight w:val="none"/>
        </w:rPr>
        <w:t>手机：</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 xml:space="preserve">   传真：</w:t>
      </w:r>
      <w:r>
        <w:rPr>
          <w:rFonts w:hint="eastAsia" w:ascii="宋体" w:hAnsi="宋体" w:cs="宋体"/>
          <w:color w:val="auto"/>
          <w:sz w:val="24"/>
          <w:highlight w:val="none"/>
          <w:u w:val="single"/>
          <w:lang w:val="en-US" w:eastAsia="zh-CN"/>
        </w:rPr>
        <w:t xml:space="preserve">       ；</w:t>
      </w:r>
    </w:p>
    <w:p w14:paraId="1445F3B6">
      <w:pPr>
        <w:adjustRightInd w:val="0"/>
        <w:snapToGrid w:val="0"/>
        <w:spacing w:line="360" w:lineRule="auto"/>
        <w:ind w:firstLine="482"/>
        <w:rPr>
          <w:color w:val="auto"/>
          <w:kern w:val="0"/>
          <w:sz w:val="24"/>
          <w:szCs w:val="20"/>
          <w:highlight w:val="none"/>
          <w:shd w:val="clear" w:color="auto" w:fill="FFFFFF"/>
        </w:rPr>
      </w:pPr>
    </w:p>
    <w:p w14:paraId="0016516B">
      <w:pPr>
        <w:rPr>
          <w:rFonts w:ascii="宋体" w:hAnsi="宋体" w:cs="宋体"/>
          <w:color w:val="auto"/>
          <w:sz w:val="24"/>
          <w:highlight w:val="none"/>
        </w:rPr>
      </w:pPr>
    </w:p>
    <w:p w14:paraId="51121F85">
      <w:pPr>
        <w:widowControl/>
        <w:tabs>
          <w:tab w:val="right" w:leader="hyphen" w:pos="9736"/>
        </w:tabs>
        <w:spacing w:after="100" w:line="276" w:lineRule="auto"/>
        <w:jc w:val="center"/>
        <w:rPr>
          <w:rFonts w:ascii="Calibri" w:hAnsi="Calibri"/>
          <w:color w:val="auto"/>
          <w:kern w:val="0"/>
          <w:sz w:val="22"/>
          <w:szCs w:val="22"/>
          <w:highlight w:val="none"/>
        </w:rPr>
      </w:pPr>
    </w:p>
    <w:p w14:paraId="67E57787">
      <w:pPr>
        <w:spacing w:line="360" w:lineRule="auto"/>
        <w:rPr>
          <w:rFonts w:ascii="宋体" w:hAnsi="宋体" w:cs="宋体"/>
          <w:color w:val="auto"/>
          <w:sz w:val="24"/>
          <w:highlight w:val="none"/>
        </w:rPr>
      </w:pPr>
      <w:r>
        <w:rPr>
          <w:rFonts w:hint="eastAsia" w:ascii="宋体" w:hAnsi="宋体" w:cs="宋体"/>
          <w:color w:val="auto"/>
          <w:sz w:val="24"/>
          <w:highlight w:val="none"/>
        </w:rPr>
        <w:t>单位名称（公章）             法定代表人（签字或盖章）</w:t>
      </w:r>
    </w:p>
    <w:p w14:paraId="297CAA07">
      <w:pPr>
        <w:spacing w:line="360" w:lineRule="auto"/>
        <w:ind w:firstLine="1200" w:firstLineChars="500"/>
        <w:rPr>
          <w:rFonts w:ascii="宋体" w:hAnsi="宋体" w:cs="宋体"/>
          <w:color w:val="auto"/>
          <w:sz w:val="24"/>
          <w:highlight w:val="none"/>
        </w:rPr>
      </w:pPr>
      <w:r>
        <w:rPr>
          <w:rFonts w:hint="eastAsia" w:ascii="宋体" w:hAnsi="宋体" w:cs="宋体"/>
          <w:color w:val="auto"/>
          <w:sz w:val="24"/>
          <w:highlight w:val="none"/>
        </w:rPr>
        <w:t xml:space="preserve">年   月   日                 年   月    日  </w:t>
      </w:r>
    </w:p>
    <w:p w14:paraId="17E5D920">
      <w:pPr>
        <w:spacing w:line="360" w:lineRule="auto"/>
        <w:rPr>
          <w:rFonts w:ascii="宋体" w:hAnsi="宋体" w:cs="宋体"/>
          <w:color w:val="auto"/>
          <w:sz w:val="24"/>
          <w:highlight w:val="none"/>
        </w:rPr>
      </w:pPr>
    </w:p>
    <w:p w14:paraId="51E73EA0">
      <w:pPr>
        <w:spacing w:line="360" w:lineRule="auto"/>
        <w:rPr>
          <w:rFonts w:ascii="宋体" w:hAnsi="宋体" w:cs="宋体"/>
          <w:color w:val="auto"/>
          <w:sz w:val="24"/>
          <w:highlight w:val="none"/>
        </w:rPr>
      </w:pPr>
    </w:p>
    <w:p w14:paraId="0CE900C0">
      <w:pPr>
        <w:spacing w:line="360" w:lineRule="auto"/>
        <w:rPr>
          <w:rFonts w:ascii="宋体" w:hAnsi="宋体" w:cs="宋体"/>
          <w:color w:val="auto"/>
          <w:sz w:val="24"/>
          <w:highlight w:val="none"/>
        </w:rPr>
      </w:pPr>
      <w:r>
        <w:rPr>
          <w:rFonts w:hint="eastAsia" w:ascii="宋体" w:hAnsi="宋体" w:cs="宋体"/>
          <w:color w:val="auto"/>
          <w:sz w:val="24"/>
          <w:highlight w:val="none"/>
        </w:rPr>
        <w:t>法定代表人身份证复印件（正反面）</w:t>
      </w:r>
    </w:p>
    <w:p w14:paraId="0CD705FA">
      <w:pPr>
        <w:spacing w:line="360" w:lineRule="auto"/>
        <w:rPr>
          <w:rFonts w:ascii="宋体" w:hAnsi="宋体" w:cs="宋体"/>
          <w:color w:val="auto"/>
          <w:sz w:val="24"/>
          <w:highlight w:val="none"/>
        </w:rPr>
      </w:pPr>
    </w:p>
    <w:p w14:paraId="37AF6C60">
      <w:pPr>
        <w:spacing w:line="360" w:lineRule="auto"/>
        <w:ind w:firstLine="2280" w:firstLineChars="950"/>
        <w:rPr>
          <w:rFonts w:ascii="宋体" w:hAnsi="宋体" w:cs="宋体"/>
          <w:color w:val="auto"/>
          <w:sz w:val="24"/>
          <w:highlight w:val="none"/>
        </w:rPr>
      </w:pPr>
      <w:r>
        <w:rPr>
          <w:rFonts w:hint="eastAsia" w:ascii="宋体" w:hAnsi="宋体" w:cs="宋体"/>
          <w:color w:val="auto"/>
          <w:sz w:val="24"/>
          <w:highlight w:val="none"/>
        </w:rPr>
        <w:t>（粘贴此处）</w:t>
      </w:r>
    </w:p>
    <w:p w14:paraId="64E8A4AA">
      <w:pPr>
        <w:spacing w:line="360" w:lineRule="auto"/>
        <w:ind w:firstLine="2289" w:firstLineChars="950"/>
        <w:rPr>
          <w:rFonts w:ascii="宋体" w:hAnsi="宋体" w:cs="宋体"/>
          <w:b/>
          <w:bCs/>
          <w:color w:val="auto"/>
          <w:sz w:val="24"/>
          <w:highlight w:val="none"/>
        </w:rPr>
      </w:pPr>
    </w:p>
    <w:p w14:paraId="73BAB61E">
      <w:pPr>
        <w:spacing w:line="360" w:lineRule="auto"/>
        <w:ind w:firstLine="2289" w:firstLineChars="950"/>
        <w:rPr>
          <w:rFonts w:ascii="宋体" w:hAnsi="宋体" w:cs="宋体"/>
          <w:b/>
          <w:bCs/>
          <w:color w:val="auto"/>
          <w:sz w:val="24"/>
          <w:highlight w:val="none"/>
        </w:rPr>
      </w:pPr>
    </w:p>
    <w:p w14:paraId="318972F7">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3、授权委托书</w:t>
      </w:r>
    </w:p>
    <w:p w14:paraId="20CEDA96">
      <w:pPr>
        <w:snapToGrid w:val="0"/>
        <w:spacing w:line="360" w:lineRule="auto"/>
        <w:jc w:val="center"/>
        <w:rPr>
          <w:rFonts w:ascii="宋体" w:hAnsi="宋体" w:cs="宋体"/>
          <w:color w:val="auto"/>
          <w:sz w:val="24"/>
          <w:highlight w:val="none"/>
          <w:u w:val="single"/>
        </w:rPr>
      </w:pPr>
    </w:p>
    <w:p w14:paraId="742AB485">
      <w:pPr>
        <w:snapToGrid w:val="0"/>
        <w:spacing w:line="360" w:lineRule="auto"/>
        <w:rPr>
          <w:rFonts w:ascii="宋体" w:hAnsi="宋体" w:cs="宋体"/>
          <w:bCs/>
          <w:color w:val="auto"/>
          <w:sz w:val="24"/>
          <w:highlight w:val="none"/>
        </w:rPr>
      </w:pPr>
    </w:p>
    <w:p w14:paraId="0F8C8C8A">
      <w:pPr>
        <w:adjustRightInd w:val="0"/>
        <w:snapToGrid w:val="0"/>
        <w:spacing w:line="360" w:lineRule="auto"/>
        <w:jc w:val="left"/>
        <w:rPr>
          <w:rFonts w:ascii="宋体" w:hAnsi="宋体" w:cs="宋体"/>
          <w:color w:val="auto"/>
          <w:sz w:val="24"/>
          <w:highlight w:val="none"/>
          <w:u w:val="single"/>
        </w:rPr>
      </w:pPr>
      <w:r>
        <w:rPr>
          <w:rFonts w:hint="eastAsia" w:ascii="宋体" w:hAnsi="宋体" w:cs="宋体"/>
          <w:color w:val="auto"/>
          <w:sz w:val="24"/>
          <w:highlight w:val="none"/>
          <w:u w:val="single"/>
        </w:rPr>
        <w:t xml:space="preserve">      （采购人）      ： </w:t>
      </w:r>
    </w:p>
    <w:p w14:paraId="1206DEC0">
      <w:pPr>
        <w:snapToGrid w:val="0"/>
        <w:spacing w:line="360" w:lineRule="auto"/>
        <w:ind w:firstLine="480" w:firstLineChars="200"/>
        <w:rPr>
          <w:rFonts w:ascii="宋体" w:hAnsi="宋体" w:cs="宋体"/>
          <w:color w:val="auto"/>
          <w:sz w:val="24"/>
          <w:highlight w:val="none"/>
        </w:rPr>
      </w:pPr>
      <w:r>
        <w:rPr>
          <w:rFonts w:hint="eastAsia" w:hAnsi="宋体" w:cs="宋体"/>
          <w:color w:val="auto"/>
          <w:sz w:val="24"/>
          <w:highlight w:val="none"/>
        </w:rPr>
        <w:t>兹授权</w:t>
      </w:r>
      <w:r>
        <w:rPr>
          <w:rFonts w:hint="eastAsia" w:hAnsi="宋体" w:cs="宋体"/>
          <w:color w:val="auto"/>
          <w:sz w:val="24"/>
          <w:highlight w:val="none"/>
          <w:u w:val="single"/>
        </w:rPr>
        <w:t xml:space="preserve">    （</w:t>
      </w:r>
      <w:r>
        <w:rPr>
          <w:rFonts w:hint="eastAsia" w:hAnsi="宋体" w:cs="宋体"/>
          <w:color w:val="auto"/>
          <w:sz w:val="24"/>
          <w:highlight w:val="none"/>
        </w:rPr>
        <w:t>被授权人的姓名）代表我公司参加</w:t>
      </w:r>
      <w:r>
        <w:rPr>
          <w:rFonts w:hint="eastAsia" w:hAnsi="宋体" w:cs="宋体"/>
          <w:color w:val="auto"/>
          <w:sz w:val="24"/>
          <w:highlight w:val="none"/>
          <w:u w:val="single"/>
        </w:rPr>
        <w:t xml:space="preserve">   （</w:t>
      </w:r>
      <w:r>
        <w:rPr>
          <w:rFonts w:hint="eastAsia" w:ascii="宋体" w:hAnsi="宋体" w:cs="宋体"/>
          <w:color w:val="auto"/>
          <w:sz w:val="24"/>
          <w:highlight w:val="none"/>
          <w:u w:val="single"/>
        </w:rPr>
        <w:t>竞争性磋商项目名称及项目编号</w:t>
      </w:r>
      <w:r>
        <w:rPr>
          <w:rFonts w:hAnsi="宋体"/>
          <w:color w:val="auto"/>
          <w:sz w:val="24"/>
          <w:highlight w:val="none"/>
          <w:u w:val="single"/>
        </w:rPr>
        <w:t>)</w:t>
      </w:r>
      <w:r>
        <w:rPr>
          <w:rFonts w:hint="eastAsia" w:hAnsi="宋体" w:cs="宋体"/>
          <w:color w:val="auto"/>
          <w:sz w:val="24"/>
          <w:highlight w:val="none"/>
        </w:rPr>
        <w:t>项目的采购活动，全权处理一切与该采购项目有关的事务。其在办理上述事宜过程中所签署的所有文件我公司均予以承认。</w:t>
      </w:r>
    </w:p>
    <w:p w14:paraId="7C324233">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被授权人无转委托权，特此委托。</w:t>
      </w:r>
    </w:p>
    <w:p w14:paraId="760FE9F4">
      <w:pPr>
        <w:adjustRightInd w:val="0"/>
        <w:snapToGrid w:val="0"/>
        <w:spacing w:line="360" w:lineRule="auto"/>
        <w:ind w:firstLine="480" w:firstLineChars="200"/>
        <w:jc w:val="left"/>
        <w:rPr>
          <w:rFonts w:ascii="宋体" w:hAnsi="宋体" w:cs="宋体"/>
          <w:color w:val="auto"/>
          <w:sz w:val="24"/>
          <w:highlight w:val="none"/>
        </w:rPr>
      </w:pPr>
    </w:p>
    <w:p w14:paraId="707B3AA0">
      <w:pPr>
        <w:spacing w:line="360" w:lineRule="auto"/>
        <w:rPr>
          <w:rFonts w:ascii="宋体" w:hAnsi="宋体" w:cs="宋体"/>
          <w:color w:val="auto"/>
          <w:sz w:val="24"/>
          <w:highlight w:val="none"/>
        </w:rPr>
      </w:pPr>
      <w:r>
        <w:rPr>
          <w:rFonts w:hint="eastAsia" w:ascii="宋体" w:hAnsi="宋体" w:cs="宋体"/>
          <w:color w:val="auto"/>
          <w:sz w:val="24"/>
          <w:highlight w:val="none"/>
        </w:rPr>
        <w:t>附：被授权人情况：</w:t>
      </w:r>
    </w:p>
    <w:p w14:paraId="2ECD483F">
      <w:pPr>
        <w:spacing w:line="360" w:lineRule="auto"/>
        <w:rPr>
          <w:rFonts w:ascii="宋体" w:hAnsi="宋体" w:cs="宋体"/>
          <w:color w:val="auto"/>
          <w:sz w:val="24"/>
          <w:highlight w:val="none"/>
          <w:u w:val="single"/>
        </w:rPr>
      </w:pPr>
      <w:r>
        <w:rPr>
          <w:rFonts w:hint="eastAsia" w:ascii="宋体" w:hAnsi="宋体" w:cs="宋体"/>
          <w:color w:val="auto"/>
          <w:sz w:val="24"/>
          <w:highlight w:val="none"/>
        </w:rPr>
        <w:t>姓名：</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 xml:space="preserve"> 性别：</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 xml:space="preserve"> 年龄：</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 xml:space="preserve"> 职务：</w:t>
      </w:r>
      <w:r>
        <w:rPr>
          <w:rFonts w:hint="eastAsia" w:ascii="宋体" w:hAnsi="宋体" w:cs="宋体"/>
          <w:color w:val="auto"/>
          <w:sz w:val="24"/>
          <w:highlight w:val="none"/>
          <w:u w:val="single"/>
          <w:lang w:val="en-US" w:eastAsia="zh-CN"/>
        </w:rPr>
        <w:t xml:space="preserve">       ；</w:t>
      </w:r>
    </w:p>
    <w:p w14:paraId="52582B2F">
      <w:pPr>
        <w:spacing w:line="360" w:lineRule="auto"/>
        <w:rPr>
          <w:rFonts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lang w:val="en-US" w:eastAsia="zh-CN"/>
        </w:rPr>
        <w:t xml:space="preserve">       ；</w:t>
      </w:r>
    </w:p>
    <w:p w14:paraId="11C4981A">
      <w:pPr>
        <w:spacing w:line="360" w:lineRule="auto"/>
        <w:rPr>
          <w:rFonts w:ascii="宋体" w:hAnsi="宋体" w:cs="宋体"/>
          <w:color w:val="auto"/>
          <w:sz w:val="24"/>
          <w:highlight w:val="none"/>
        </w:rPr>
      </w:pPr>
      <w:r>
        <w:rPr>
          <w:rFonts w:hint="eastAsia" w:ascii="宋体" w:hAnsi="宋体" w:cs="宋体"/>
          <w:color w:val="auto"/>
          <w:sz w:val="24"/>
          <w:highlight w:val="none"/>
        </w:rPr>
        <w:t>手机：</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 xml:space="preserve">  传真：</w:t>
      </w:r>
      <w:r>
        <w:rPr>
          <w:rFonts w:hint="eastAsia" w:ascii="宋体" w:hAnsi="宋体" w:cs="宋体"/>
          <w:color w:val="auto"/>
          <w:sz w:val="24"/>
          <w:highlight w:val="none"/>
          <w:u w:val="single"/>
          <w:lang w:val="en-US" w:eastAsia="zh-CN"/>
        </w:rPr>
        <w:t xml:space="preserve">       ；</w:t>
      </w:r>
    </w:p>
    <w:p w14:paraId="25352DC7">
      <w:pPr>
        <w:spacing w:line="360" w:lineRule="auto"/>
        <w:rPr>
          <w:rFonts w:ascii="宋体" w:hAnsi="宋体" w:cs="宋体"/>
          <w:color w:val="auto"/>
          <w:sz w:val="24"/>
          <w:highlight w:val="none"/>
        </w:rPr>
      </w:pPr>
      <w:r>
        <w:rPr>
          <w:rFonts w:hint="eastAsia" w:ascii="宋体" w:hAnsi="宋体" w:cs="宋体"/>
          <w:color w:val="auto"/>
          <w:sz w:val="24"/>
          <w:highlight w:val="none"/>
        </w:rPr>
        <w:t>单位名称（公章）             法定代表人（签字或盖章）</w:t>
      </w:r>
    </w:p>
    <w:p w14:paraId="5F6D3285">
      <w:pPr>
        <w:spacing w:line="360" w:lineRule="auto"/>
        <w:ind w:firstLine="1200" w:firstLineChars="500"/>
        <w:rPr>
          <w:rFonts w:ascii="宋体" w:hAnsi="宋体" w:cs="宋体"/>
          <w:color w:val="auto"/>
          <w:sz w:val="24"/>
          <w:highlight w:val="none"/>
        </w:rPr>
      </w:pPr>
      <w:r>
        <w:rPr>
          <w:rFonts w:hint="eastAsia" w:ascii="宋体" w:hAnsi="宋体" w:cs="宋体"/>
          <w:color w:val="auto"/>
          <w:sz w:val="24"/>
          <w:highlight w:val="none"/>
        </w:rPr>
        <w:t xml:space="preserve">年   月   日                 年   月    日  </w:t>
      </w:r>
    </w:p>
    <w:p w14:paraId="0BF2F03F">
      <w:pPr>
        <w:spacing w:line="360" w:lineRule="auto"/>
        <w:rPr>
          <w:rFonts w:ascii="宋体" w:hAnsi="宋体" w:cs="宋体"/>
          <w:color w:val="auto"/>
          <w:sz w:val="24"/>
          <w:highlight w:val="none"/>
        </w:rPr>
      </w:pPr>
    </w:p>
    <w:p w14:paraId="673E5721">
      <w:pPr>
        <w:spacing w:line="360" w:lineRule="auto"/>
        <w:rPr>
          <w:rFonts w:ascii="宋体" w:hAnsi="宋体" w:cs="宋体"/>
          <w:color w:val="auto"/>
          <w:sz w:val="24"/>
          <w:highlight w:val="none"/>
        </w:rPr>
      </w:pPr>
    </w:p>
    <w:p w14:paraId="66CE7AA5">
      <w:pPr>
        <w:spacing w:line="360" w:lineRule="auto"/>
        <w:rPr>
          <w:rFonts w:ascii="宋体" w:hAnsi="宋体" w:cs="宋体"/>
          <w:color w:val="auto"/>
          <w:sz w:val="24"/>
          <w:highlight w:val="none"/>
        </w:rPr>
      </w:pPr>
      <w:r>
        <w:rPr>
          <w:rFonts w:hint="eastAsia" w:ascii="宋体" w:hAnsi="宋体" w:cs="宋体"/>
          <w:color w:val="auto"/>
          <w:sz w:val="24"/>
          <w:highlight w:val="none"/>
        </w:rPr>
        <w:t>法定代表人身份证复印件（正反面）</w:t>
      </w:r>
    </w:p>
    <w:p w14:paraId="5E53FA20">
      <w:pPr>
        <w:spacing w:line="360" w:lineRule="auto"/>
        <w:rPr>
          <w:rFonts w:ascii="宋体" w:hAnsi="宋体" w:cs="宋体"/>
          <w:color w:val="auto"/>
          <w:sz w:val="24"/>
          <w:highlight w:val="none"/>
        </w:rPr>
      </w:pPr>
    </w:p>
    <w:p w14:paraId="49E215E5">
      <w:pPr>
        <w:spacing w:line="360" w:lineRule="auto"/>
        <w:ind w:firstLine="2160" w:firstLineChars="900"/>
        <w:rPr>
          <w:rFonts w:ascii="宋体" w:hAnsi="宋体" w:cs="宋体"/>
          <w:color w:val="auto"/>
          <w:sz w:val="24"/>
          <w:highlight w:val="none"/>
        </w:rPr>
      </w:pPr>
      <w:r>
        <w:rPr>
          <w:rFonts w:hint="eastAsia" w:ascii="宋体" w:hAnsi="宋体" w:cs="宋体"/>
          <w:color w:val="auto"/>
          <w:sz w:val="24"/>
          <w:highlight w:val="none"/>
        </w:rPr>
        <w:t>（粘贴此处）</w:t>
      </w:r>
    </w:p>
    <w:p w14:paraId="0BB25B0E">
      <w:pPr>
        <w:spacing w:line="360" w:lineRule="auto"/>
        <w:rPr>
          <w:rFonts w:ascii="宋体" w:hAnsi="宋体" w:cs="宋体"/>
          <w:color w:val="auto"/>
          <w:sz w:val="24"/>
          <w:highlight w:val="none"/>
        </w:rPr>
      </w:pPr>
    </w:p>
    <w:p w14:paraId="4ADA3F6E">
      <w:pPr>
        <w:spacing w:line="360" w:lineRule="auto"/>
        <w:rPr>
          <w:rFonts w:ascii="宋体" w:hAnsi="宋体" w:cs="宋体"/>
          <w:color w:val="auto"/>
          <w:sz w:val="24"/>
          <w:highlight w:val="none"/>
        </w:rPr>
      </w:pPr>
    </w:p>
    <w:p w14:paraId="46E581A0">
      <w:pPr>
        <w:spacing w:line="360" w:lineRule="auto"/>
        <w:rPr>
          <w:rFonts w:ascii="宋体" w:hAnsi="宋体" w:cs="宋体"/>
          <w:color w:val="auto"/>
          <w:sz w:val="24"/>
          <w:highlight w:val="none"/>
        </w:rPr>
      </w:pPr>
      <w:r>
        <w:rPr>
          <w:rFonts w:hint="eastAsia" w:ascii="宋体" w:hAnsi="宋体" w:cs="宋体"/>
          <w:color w:val="auto"/>
          <w:sz w:val="24"/>
          <w:highlight w:val="none"/>
        </w:rPr>
        <w:t>被授权人身份证复印件（正反面）</w:t>
      </w:r>
    </w:p>
    <w:p w14:paraId="19BBF1C0">
      <w:pPr>
        <w:spacing w:line="360" w:lineRule="auto"/>
        <w:rPr>
          <w:rFonts w:ascii="宋体" w:hAnsi="宋体" w:cs="宋体"/>
          <w:color w:val="auto"/>
          <w:sz w:val="24"/>
          <w:highlight w:val="none"/>
        </w:rPr>
      </w:pPr>
    </w:p>
    <w:p w14:paraId="12072A05">
      <w:pPr>
        <w:spacing w:line="360" w:lineRule="auto"/>
        <w:rPr>
          <w:rFonts w:ascii="宋体" w:hAnsi="宋体" w:cs="宋体"/>
          <w:color w:val="auto"/>
          <w:sz w:val="24"/>
          <w:highlight w:val="none"/>
        </w:rPr>
      </w:pPr>
    </w:p>
    <w:p w14:paraId="4076F6BD">
      <w:pPr>
        <w:spacing w:line="360" w:lineRule="auto"/>
        <w:rPr>
          <w:rFonts w:ascii="宋体" w:hAnsi="宋体" w:cs="宋体"/>
          <w:color w:val="auto"/>
          <w:sz w:val="24"/>
          <w:highlight w:val="none"/>
        </w:rPr>
      </w:pPr>
    </w:p>
    <w:p w14:paraId="358986C4">
      <w:pPr>
        <w:spacing w:line="360" w:lineRule="auto"/>
        <w:ind w:firstLine="2280" w:firstLineChars="950"/>
        <w:rPr>
          <w:rFonts w:ascii="宋体" w:hAnsi="宋体" w:cs="宋体"/>
          <w:color w:val="auto"/>
          <w:sz w:val="24"/>
          <w:highlight w:val="none"/>
        </w:rPr>
      </w:pPr>
      <w:r>
        <w:rPr>
          <w:rFonts w:hint="eastAsia" w:ascii="宋体" w:hAnsi="宋体" w:cs="宋体"/>
          <w:color w:val="auto"/>
          <w:sz w:val="24"/>
          <w:highlight w:val="none"/>
        </w:rPr>
        <w:t>（粘贴此处）</w:t>
      </w:r>
    </w:p>
    <w:p w14:paraId="32A33BFE">
      <w:pPr>
        <w:spacing w:line="360" w:lineRule="auto"/>
        <w:ind w:firstLine="2289" w:firstLineChars="950"/>
        <w:rPr>
          <w:rFonts w:ascii="宋体" w:hAnsi="宋体" w:cs="宋体"/>
          <w:b/>
          <w:bCs/>
          <w:color w:val="auto"/>
          <w:sz w:val="24"/>
          <w:highlight w:val="none"/>
        </w:rPr>
      </w:pPr>
    </w:p>
    <w:p w14:paraId="7303604A">
      <w:pPr>
        <w:snapToGrid w:val="0"/>
        <w:spacing w:line="360" w:lineRule="auto"/>
        <w:jc w:val="center"/>
        <w:outlineLvl w:val="4"/>
        <w:rPr>
          <w:rFonts w:ascii="宋体" w:hAnsi="宋体" w:cs="宋体"/>
          <w:b/>
          <w:bCs/>
          <w:color w:val="auto"/>
          <w:sz w:val="24"/>
          <w:highlight w:val="none"/>
        </w:rPr>
      </w:pPr>
      <w:r>
        <w:rPr>
          <w:rFonts w:hint="eastAsia" w:ascii="宋体" w:hAnsi="宋体" w:cs="宋体"/>
          <w:b/>
          <w:bCs/>
          <w:color w:val="auto"/>
          <w:sz w:val="24"/>
          <w:highlight w:val="none"/>
        </w:rPr>
        <w:br w:type="page"/>
      </w:r>
    </w:p>
    <w:p w14:paraId="5AF96DE2">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w:t>
      </w:r>
      <w:r>
        <w:rPr>
          <w:rFonts w:hint="eastAsia" w:ascii="宋体" w:hAnsi="宋体" w:eastAsia="宋体" w:cs="宋体"/>
          <w:b/>
          <w:bCs/>
          <w:color w:val="auto"/>
          <w:sz w:val="24"/>
          <w:highlight w:val="none"/>
          <w:lang w:val="en-US" w:eastAsia="zh-CN"/>
        </w:rPr>
        <w:t>供应商</w:t>
      </w:r>
      <w:r>
        <w:rPr>
          <w:rFonts w:hint="eastAsia" w:ascii="宋体" w:hAnsi="宋体" w:eastAsia="宋体" w:cs="宋体"/>
          <w:b/>
          <w:bCs/>
          <w:color w:val="auto"/>
          <w:sz w:val="24"/>
          <w:highlight w:val="none"/>
        </w:rPr>
        <w:t>信用承诺书</w:t>
      </w:r>
    </w:p>
    <w:p w14:paraId="65478E6D">
      <w:pPr>
        <w:spacing w:line="360" w:lineRule="auto"/>
        <w:ind w:firstLine="480" w:firstLineChars="200"/>
        <w:rPr>
          <w:color w:val="auto"/>
          <w:kern w:val="0"/>
          <w:sz w:val="24"/>
          <w:highlight w:val="none"/>
          <w:lang w:val="zh-CN"/>
        </w:rPr>
      </w:pPr>
      <w:r>
        <w:rPr>
          <w:color w:val="auto"/>
          <w:kern w:val="0"/>
          <w:sz w:val="24"/>
          <w:highlight w:val="none"/>
          <w:lang w:val="zh-CN" w:bidi="ar"/>
        </w:rPr>
        <w:t>为营造公开、公平、公正的采购环境，树立诚信守法的</w:t>
      </w:r>
      <w:r>
        <w:rPr>
          <w:rFonts w:hint="eastAsia"/>
          <w:color w:val="auto"/>
          <w:kern w:val="0"/>
          <w:sz w:val="24"/>
          <w:highlight w:val="none"/>
          <w:lang w:val="en-US" w:eastAsia="zh-CN" w:bidi="ar"/>
        </w:rPr>
        <w:t>供应商</w:t>
      </w:r>
      <w:r>
        <w:rPr>
          <w:color w:val="auto"/>
          <w:kern w:val="0"/>
          <w:sz w:val="24"/>
          <w:highlight w:val="none"/>
          <w:lang w:val="zh-CN" w:bidi="ar"/>
        </w:rPr>
        <w:t>形象，本人代表本单位作出以下承诺：</w:t>
      </w:r>
    </w:p>
    <w:p w14:paraId="0E686B93">
      <w:pPr>
        <w:spacing w:line="360" w:lineRule="auto"/>
        <w:ind w:firstLine="480" w:firstLineChars="200"/>
        <w:rPr>
          <w:color w:val="auto"/>
          <w:kern w:val="0"/>
          <w:sz w:val="24"/>
          <w:highlight w:val="none"/>
          <w:lang w:val="zh-CN"/>
        </w:rPr>
      </w:pPr>
      <w:r>
        <w:rPr>
          <w:color w:val="auto"/>
          <w:kern w:val="0"/>
          <w:sz w:val="24"/>
          <w:highlight w:val="none"/>
          <w:lang w:val="zh-CN" w:bidi="ar"/>
        </w:rPr>
        <w:t>一、本单位对所提交的单位基本信息、单位负责人、从业资质和资格、业绩、财务状况、信誉等所有资料，均合法、真实、准确、有效，无任何伪造、修改、虚假成分；</w:t>
      </w:r>
    </w:p>
    <w:p w14:paraId="5BFC4A02">
      <w:pPr>
        <w:spacing w:line="360" w:lineRule="auto"/>
        <w:ind w:firstLine="480" w:firstLineChars="200"/>
        <w:rPr>
          <w:color w:val="auto"/>
          <w:kern w:val="0"/>
          <w:sz w:val="24"/>
          <w:highlight w:val="none"/>
          <w:lang w:val="zh-CN"/>
        </w:rPr>
      </w:pPr>
      <w:r>
        <w:rPr>
          <w:color w:val="auto"/>
          <w:kern w:val="0"/>
          <w:sz w:val="24"/>
          <w:highlight w:val="none"/>
          <w:lang w:val="zh-CN" w:bidi="ar"/>
        </w:rPr>
        <w:t>二、严格依照国家和省、市、县关于</w:t>
      </w:r>
      <w:r>
        <w:rPr>
          <w:rFonts w:hint="eastAsia"/>
          <w:color w:val="auto"/>
          <w:kern w:val="0"/>
          <w:sz w:val="24"/>
          <w:highlight w:val="none"/>
          <w:lang w:val="en-US" w:eastAsia="zh-CN" w:bidi="ar"/>
        </w:rPr>
        <w:t>招标投标（采购）</w:t>
      </w:r>
      <w:r>
        <w:rPr>
          <w:color w:val="auto"/>
          <w:kern w:val="0"/>
          <w:sz w:val="24"/>
          <w:highlight w:val="none"/>
          <w:lang w:val="zh-CN" w:bidi="ar"/>
        </w:rPr>
        <w:t>等方面的法律、法规、规章、规范性文件，参加本项目的</w:t>
      </w:r>
      <w:r>
        <w:rPr>
          <w:rFonts w:hint="eastAsia"/>
          <w:color w:val="auto"/>
          <w:kern w:val="0"/>
          <w:sz w:val="24"/>
          <w:highlight w:val="none"/>
          <w:lang w:val="en-US" w:eastAsia="zh-CN" w:bidi="ar"/>
        </w:rPr>
        <w:t>采购</w:t>
      </w:r>
      <w:r>
        <w:rPr>
          <w:color w:val="auto"/>
          <w:kern w:val="0"/>
          <w:sz w:val="24"/>
          <w:highlight w:val="none"/>
          <w:lang w:val="zh-CN" w:bidi="ar"/>
        </w:rPr>
        <w:t>活动；积极履行社会责任，促进廉政建设；</w:t>
      </w:r>
    </w:p>
    <w:p w14:paraId="5CEB93D9">
      <w:pPr>
        <w:spacing w:line="360" w:lineRule="auto"/>
        <w:ind w:firstLine="480" w:firstLineChars="200"/>
        <w:rPr>
          <w:color w:val="auto"/>
          <w:kern w:val="0"/>
          <w:sz w:val="24"/>
          <w:highlight w:val="none"/>
          <w:lang w:val="zh-CN"/>
        </w:rPr>
      </w:pPr>
      <w:r>
        <w:rPr>
          <w:color w:val="auto"/>
          <w:kern w:val="0"/>
          <w:sz w:val="24"/>
          <w:highlight w:val="none"/>
          <w:lang w:val="zh-CN" w:bidi="ar"/>
        </w:rPr>
        <w:t>三、自我约束、自我管理，守合同、重信用，不参与围标串标、弄虚作假、骗取</w:t>
      </w:r>
      <w:r>
        <w:rPr>
          <w:rFonts w:hint="eastAsia"/>
          <w:color w:val="auto"/>
          <w:kern w:val="0"/>
          <w:sz w:val="24"/>
          <w:highlight w:val="none"/>
          <w:lang w:val="zh-CN" w:bidi="ar"/>
        </w:rPr>
        <w:t>成交</w:t>
      </w:r>
      <w:r>
        <w:rPr>
          <w:color w:val="auto"/>
          <w:kern w:val="0"/>
          <w:sz w:val="24"/>
          <w:highlight w:val="none"/>
          <w:lang w:val="zh-CN" w:bidi="ar"/>
        </w:rPr>
        <w:t>、干扰评标、违约毁约、恶意投诉等行为，主动维护采购人</w:t>
      </w:r>
      <w:r>
        <w:rPr>
          <w:rFonts w:hint="eastAsia"/>
          <w:color w:val="auto"/>
          <w:kern w:val="0"/>
          <w:sz w:val="24"/>
          <w:highlight w:val="none"/>
          <w:lang w:val="en-US" w:eastAsia="zh-CN" w:bidi="ar"/>
        </w:rPr>
        <w:t>采购活动</w:t>
      </w:r>
      <w:r>
        <w:rPr>
          <w:color w:val="auto"/>
          <w:kern w:val="0"/>
          <w:sz w:val="24"/>
          <w:highlight w:val="none"/>
          <w:lang w:val="zh-CN" w:bidi="ar"/>
        </w:rPr>
        <w:t>的良好秩序；</w:t>
      </w:r>
    </w:p>
    <w:p w14:paraId="111BBD11">
      <w:pPr>
        <w:spacing w:line="360" w:lineRule="auto"/>
        <w:ind w:firstLine="480" w:firstLineChars="200"/>
        <w:rPr>
          <w:color w:val="auto"/>
          <w:kern w:val="0"/>
          <w:sz w:val="24"/>
          <w:highlight w:val="none"/>
          <w:lang w:val="zh-CN"/>
        </w:rPr>
      </w:pPr>
      <w:r>
        <w:rPr>
          <w:color w:val="auto"/>
          <w:kern w:val="0"/>
          <w:sz w:val="24"/>
          <w:highlight w:val="none"/>
          <w:lang w:val="zh-CN" w:bidi="ar"/>
        </w:rPr>
        <w:t>四、本单位自愿接受</w:t>
      </w:r>
      <w:r>
        <w:rPr>
          <w:rFonts w:hint="eastAsia"/>
          <w:color w:val="auto"/>
          <w:kern w:val="0"/>
          <w:sz w:val="24"/>
          <w:highlight w:val="none"/>
          <w:lang w:val="en-US" w:eastAsia="zh-CN" w:bidi="ar"/>
        </w:rPr>
        <w:t>采购</w:t>
      </w:r>
      <w:r>
        <w:rPr>
          <w:color w:val="auto"/>
          <w:kern w:val="0"/>
          <w:sz w:val="24"/>
          <w:highlight w:val="none"/>
          <w:lang w:val="zh-CN" w:bidi="ar"/>
        </w:rPr>
        <w:t>有关行政监督部门的依法检查。如发生违法违规或不良行为或存在其他法律法规对招标投标</w:t>
      </w:r>
      <w:r>
        <w:rPr>
          <w:rFonts w:hint="eastAsia"/>
          <w:color w:val="auto"/>
          <w:kern w:val="0"/>
          <w:sz w:val="24"/>
          <w:highlight w:val="none"/>
          <w:lang w:val="zh-CN" w:bidi="ar"/>
        </w:rPr>
        <w:t>（</w:t>
      </w:r>
      <w:r>
        <w:rPr>
          <w:rFonts w:hint="eastAsia"/>
          <w:color w:val="auto"/>
          <w:kern w:val="0"/>
          <w:sz w:val="24"/>
          <w:highlight w:val="none"/>
          <w:lang w:val="en-US" w:eastAsia="zh-CN" w:bidi="ar"/>
        </w:rPr>
        <w:t>采购活动</w:t>
      </w:r>
      <w:r>
        <w:rPr>
          <w:rFonts w:hint="eastAsia"/>
          <w:color w:val="auto"/>
          <w:kern w:val="0"/>
          <w:sz w:val="24"/>
          <w:highlight w:val="none"/>
          <w:lang w:val="zh-CN" w:bidi="ar"/>
        </w:rPr>
        <w:t>）</w:t>
      </w:r>
      <w:r>
        <w:rPr>
          <w:color w:val="auto"/>
          <w:kern w:val="0"/>
          <w:sz w:val="24"/>
          <w:highlight w:val="none"/>
          <w:lang w:val="zh-CN" w:bidi="ar"/>
        </w:rPr>
        <w:t>行为予以限制的情形，自愿接受招标投标</w:t>
      </w:r>
      <w:r>
        <w:rPr>
          <w:rFonts w:hint="eastAsia"/>
          <w:color w:val="auto"/>
          <w:kern w:val="0"/>
          <w:sz w:val="24"/>
          <w:highlight w:val="none"/>
          <w:lang w:val="zh-CN" w:bidi="ar"/>
        </w:rPr>
        <w:t>（</w:t>
      </w:r>
      <w:r>
        <w:rPr>
          <w:rFonts w:hint="eastAsia"/>
          <w:color w:val="auto"/>
          <w:kern w:val="0"/>
          <w:sz w:val="24"/>
          <w:highlight w:val="none"/>
          <w:lang w:val="en-US" w:eastAsia="zh-CN" w:bidi="ar"/>
        </w:rPr>
        <w:t>采购</w:t>
      </w:r>
      <w:r>
        <w:rPr>
          <w:rFonts w:hint="eastAsia"/>
          <w:color w:val="auto"/>
          <w:kern w:val="0"/>
          <w:sz w:val="24"/>
          <w:highlight w:val="none"/>
          <w:lang w:val="zh-CN" w:bidi="ar"/>
        </w:rPr>
        <w:t>）</w:t>
      </w:r>
      <w:r>
        <w:rPr>
          <w:color w:val="auto"/>
          <w:kern w:val="0"/>
          <w:sz w:val="24"/>
          <w:highlight w:val="none"/>
          <w:lang w:val="zh-CN" w:bidi="ar"/>
        </w:rPr>
        <w:t>有关行政监督部门依法给予的行政处罚（处理），并依法承担相应的法律责任；</w:t>
      </w:r>
    </w:p>
    <w:p w14:paraId="569F3950">
      <w:pPr>
        <w:spacing w:line="360" w:lineRule="auto"/>
        <w:ind w:firstLine="480" w:firstLineChars="200"/>
        <w:rPr>
          <w:color w:val="auto"/>
          <w:kern w:val="0"/>
          <w:sz w:val="24"/>
          <w:highlight w:val="none"/>
          <w:lang w:val="zh-CN"/>
        </w:rPr>
      </w:pPr>
      <w:r>
        <w:rPr>
          <w:color w:val="auto"/>
          <w:kern w:val="0"/>
          <w:sz w:val="24"/>
          <w:highlight w:val="none"/>
          <w:lang w:val="zh-CN" w:bidi="ar"/>
        </w:rPr>
        <w:t>五、自觉接受</w:t>
      </w:r>
      <w:r>
        <w:rPr>
          <w:color w:val="auto"/>
          <w:kern w:val="0"/>
          <w:sz w:val="24"/>
          <w:highlight w:val="none"/>
          <w:lang w:bidi="ar"/>
        </w:rPr>
        <w:t>相关</w:t>
      </w:r>
      <w:r>
        <w:rPr>
          <w:color w:val="auto"/>
          <w:kern w:val="0"/>
          <w:sz w:val="24"/>
          <w:highlight w:val="none"/>
          <w:lang w:val="zh-CN" w:bidi="ar"/>
        </w:rPr>
        <w:t>部门、行业组织、社会公众、新闻舆论等监督；</w:t>
      </w:r>
    </w:p>
    <w:p w14:paraId="68CEFD09">
      <w:pPr>
        <w:spacing w:line="360" w:lineRule="auto"/>
        <w:ind w:firstLine="480" w:firstLineChars="200"/>
        <w:rPr>
          <w:color w:val="auto"/>
          <w:kern w:val="0"/>
          <w:sz w:val="24"/>
          <w:highlight w:val="none"/>
          <w:lang w:val="zh-CN"/>
        </w:rPr>
      </w:pPr>
      <w:r>
        <w:rPr>
          <w:color w:val="auto"/>
          <w:kern w:val="0"/>
          <w:sz w:val="24"/>
          <w:highlight w:val="none"/>
          <w:lang w:val="zh-CN" w:bidi="ar"/>
        </w:rPr>
        <w:t>六、上述承诺已向本单位员工作了宣传教育；</w:t>
      </w:r>
    </w:p>
    <w:p w14:paraId="2E4D1111">
      <w:pPr>
        <w:spacing w:line="360" w:lineRule="auto"/>
        <w:ind w:firstLine="482" w:firstLineChars="200"/>
        <w:rPr>
          <w:b/>
          <w:color w:val="auto"/>
          <w:kern w:val="0"/>
          <w:sz w:val="24"/>
          <w:highlight w:val="none"/>
          <w:lang w:val="zh-CN"/>
        </w:rPr>
      </w:pPr>
      <w:r>
        <w:rPr>
          <w:b/>
          <w:color w:val="auto"/>
          <w:kern w:val="0"/>
          <w:sz w:val="24"/>
          <w:highlight w:val="none"/>
          <w:lang w:val="zh-CN" w:bidi="ar"/>
        </w:rPr>
        <w:t>如有违反上述承诺的不良行为，本单位同意将其予以上网公示。</w:t>
      </w:r>
    </w:p>
    <w:p w14:paraId="5F579AC6">
      <w:pPr>
        <w:spacing w:line="360" w:lineRule="auto"/>
        <w:rPr>
          <w:color w:val="auto"/>
          <w:kern w:val="0"/>
          <w:sz w:val="24"/>
          <w:highlight w:val="none"/>
          <w:lang w:val="zh-CN"/>
        </w:rPr>
      </w:pPr>
    </w:p>
    <w:p w14:paraId="6E9FC955">
      <w:pPr>
        <w:spacing w:line="360" w:lineRule="auto"/>
        <w:ind w:firstLine="4560" w:firstLineChars="1900"/>
        <w:rPr>
          <w:color w:val="auto"/>
          <w:kern w:val="0"/>
          <w:sz w:val="24"/>
          <w:highlight w:val="none"/>
          <w:lang w:val="zh-CN"/>
        </w:rPr>
      </w:pPr>
    </w:p>
    <w:p w14:paraId="7EE478E5">
      <w:pPr>
        <w:spacing w:line="360" w:lineRule="auto"/>
        <w:jc w:val="center"/>
        <w:rPr>
          <w:color w:val="auto"/>
          <w:kern w:val="0"/>
          <w:sz w:val="24"/>
          <w:highlight w:val="none"/>
          <w:lang w:val="zh-CN" w:bidi="ar"/>
        </w:rPr>
      </w:pPr>
      <w:r>
        <w:rPr>
          <w:color w:val="auto"/>
          <w:sz w:val="24"/>
          <w:highlight w:val="none"/>
        </w:rPr>
        <w:t xml:space="preserve">   </w:t>
      </w:r>
      <w:r>
        <w:rPr>
          <w:rFonts w:hint="eastAsia"/>
          <w:color w:val="auto"/>
          <w:sz w:val="24"/>
          <w:highlight w:val="none"/>
          <w:lang w:val="en-US" w:eastAsia="zh-CN"/>
        </w:rPr>
        <w:t>供应商</w:t>
      </w:r>
      <w:r>
        <w:rPr>
          <w:bCs/>
          <w:color w:val="auto"/>
          <w:sz w:val="24"/>
          <w:szCs w:val="21"/>
          <w:highlight w:val="none"/>
        </w:rPr>
        <w:t>（盖单位公章）</w:t>
      </w:r>
      <w:r>
        <w:rPr>
          <w:color w:val="auto"/>
          <w:sz w:val="24"/>
          <w:highlight w:val="none"/>
        </w:rPr>
        <w:t>：</w:t>
      </w:r>
    </w:p>
    <w:p w14:paraId="751CDD2B">
      <w:pPr>
        <w:spacing w:line="360" w:lineRule="auto"/>
        <w:jc w:val="center"/>
        <w:rPr>
          <w:color w:val="auto"/>
          <w:sz w:val="24"/>
          <w:highlight w:val="none"/>
          <w:u w:val="single"/>
          <w:lang w:val="zh-CN"/>
        </w:rPr>
      </w:pPr>
      <w:r>
        <w:rPr>
          <w:color w:val="auto"/>
          <w:kern w:val="0"/>
          <w:sz w:val="24"/>
          <w:highlight w:val="none"/>
          <w:lang w:bidi="ar"/>
        </w:rPr>
        <w:t xml:space="preserve">                      </w:t>
      </w:r>
      <w:r>
        <w:rPr>
          <w:color w:val="auto"/>
          <w:kern w:val="0"/>
          <w:sz w:val="24"/>
          <w:highlight w:val="none"/>
          <w:lang w:val="zh-CN" w:bidi="ar"/>
        </w:rPr>
        <w:t>法定代表人或</w:t>
      </w:r>
      <w:r>
        <w:rPr>
          <w:color w:val="auto"/>
          <w:kern w:val="0"/>
          <w:sz w:val="24"/>
          <w:highlight w:val="none"/>
          <w:lang w:bidi="ar"/>
        </w:rPr>
        <w:t>其委托代理人</w:t>
      </w:r>
      <w:r>
        <w:rPr>
          <w:color w:val="auto"/>
          <w:kern w:val="0"/>
          <w:sz w:val="24"/>
          <w:highlight w:val="none"/>
          <w:lang w:val="zh-CN" w:bidi="ar"/>
        </w:rPr>
        <w:t>（签字或盖章）：</w:t>
      </w:r>
    </w:p>
    <w:p w14:paraId="2A4E06F2">
      <w:pPr>
        <w:wordWrap w:val="0"/>
        <w:snapToGrid w:val="0"/>
        <w:spacing w:line="460" w:lineRule="exact"/>
        <w:jc w:val="right"/>
        <w:rPr>
          <w:rFonts w:ascii="宋体" w:hAnsi="宋体"/>
          <w:bCs/>
          <w:color w:val="auto"/>
          <w:sz w:val="24"/>
          <w:highlight w:val="none"/>
        </w:rPr>
      </w:pPr>
      <w:r>
        <w:rPr>
          <w:color w:val="auto"/>
          <w:kern w:val="0"/>
          <w:sz w:val="24"/>
          <w:highlight w:val="none"/>
          <w:lang w:bidi="ar"/>
        </w:rPr>
        <w:t xml:space="preserve">     </w:t>
      </w:r>
      <w:r>
        <w:rPr>
          <w:color w:val="auto"/>
          <w:kern w:val="0"/>
          <w:sz w:val="24"/>
          <w:highlight w:val="none"/>
          <w:lang w:val="zh-CN" w:bidi="ar"/>
        </w:rPr>
        <w:t xml:space="preserve">  年  月   日</w:t>
      </w:r>
    </w:p>
    <w:p w14:paraId="172BC228">
      <w:pPr>
        <w:rPr>
          <w:rFonts w:ascii="宋体" w:hAnsi="宋体" w:cs="宋体"/>
          <w:b/>
          <w:bCs/>
          <w:color w:val="auto"/>
          <w:sz w:val="24"/>
          <w:highlight w:val="none"/>
        </w:rPr>
      </w:pPr>
      <w:r>
        <w:rPr>
          <w:rFonts w:ascii="宋体" w:hAnsi="宋体" w:cs="宋体"/>
          <w:b/>
          <w:bCs/>
          <w:color w:val="auto"/>
          <w:sz w:val="24"/>
          <w:highlight w:val="none"/>
        </w:rPr>
        <w:br w:type="page"/>
      </w:r>
    </w:p>
    <w:p w14:paraId="5C6465A0">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5、</w:t>
      </w:r>
      <w:r>
        <w:rPr>
          <w:rFonts w:hint="eastAsia" w:ascii="宋体" w:hAnsi="宋体" w:eastAsia="宋体" w:cs="宋体"/>
          <w:b/>
          <w:bCs/>
          <w:color w:val="auto"/>
          <w:sz w:val="24"/>
          <w:highlight w:val="none"/>
        </w:rPr>
        <w:t>现场勘察承诺函</w:t>
      </w:r>
    </w:p>
    <w:p w14:paraId="7C5D8351">
      <w:pPr>
        <w:snapToGrid w:val="0"/>
        <w:spacing w:line="520" w:lineRule="exact"/>
        <w:jc w:val="center"/>
        <w:outlineLvl w:val="4"/>
        <w:rPr>
          <w:b/>
          <w:bCs/>
          <w:color w:val="auto"/>
          <w:sz w:val="28"/>
          <w:szCs w:val="28"/>
          <w:highlight w:val="none"/>
        </w:rPr>
      </w:pPr>
    </w:p>
    <w:p w14:paraId="30E637DF">
      <w:pPr>
        <w:snapToGrid w:val="0"/>
        <w:spacing w:line="520" w:lineRule="exact"/>
        <w:jc w:val="left"/>
        <w:outlineLvl w:val="4"/>
        <w:rPr>
          <w:color w:val="auto"/>
          <w:sz w:val="24"/>
          <w:highlight w:val="none"/>
        </w:rPr>
      </w:pPr>
      <w:r>
        <w:rPr>
          <w:color w:val="auto"/>
          <w:sz w:val="24"/>
          <w:highlight w:val="none"/>
          <w:u w:val="single"/>
        </w:rPr>
        <w:t xml:space="preserve">    （采购人）    ：</w:t>
      </w:r>
    </w:p>
    <w:p w14:paraId="4ECFD7A1">
      <w:pPr>
        <w:snapToGrid w:val="0"/>
        <w:spacing w:line="520" w:lineRule="exact"/>
        <w:ind w:firstLine="480" w:firstLineChars="200"/>
        <w:jc w:val="left"/>
        <w:outlineLvl w:val="4"/>
        <w:rPr>
          <w:color w:val="auto"/>
          <w:sz w:val="24"/>
          <w:highlight w:val="none"/>
        </w:rPr>
      </w:pPr>
      <w:r>
        <w:rPr>
          <w:color w:val="auto"/>
          <w:sz w:val="24"/>
          <w:highlight w:val="none"/>
        </w:rPr>
        <w:t>依据贵单位________（项目名称、项目编号)项目</w:t>
      </w:r>
      <w:r>
        <w:rPr>
          <w:rFonts w:hint="eastAsia"/>
          <w:color w:val="auto"/>
          <w:sz w:val="24"/>
          <w:highlight w:val="none"/>
          <w:lang w:val="en-US" w:eastAsia="zh-CN"/>
        </w:rPr>
        <w:t>采购</w:t>
      </w:r>
      <w:r>
        <w:rPr>
          <w:color w:val="auto"/>
          <w:sz w:val="24"/>
          <w:highlight w:val="none"/>
        </w:rPr>
        <w:t>文件的要求。我方已于202</w:t>
      </w:r>
      <w:r>
        <w:rPr>
          <w:rFonts w:hint="eastAsia"/>
          <w:color w:val="auto"/>
          <w:sz w:val="24"/>
          <w:highlight w:val="none"/>
          <w:lang w:val="en-US" w:eastAsia="zh-CN"/>
        </w:rPr>
        <w:t>4</w:t>
      </w:r>
      <w:r>
        <w:rPr>
          <w:color w:val="auto"/>
          <w:sz w:val="24"/>
          <w:highlight w:val="none"/>
          <w:u w:val="single"/>
        </w:rPr>
        <w:t xml:space="preserve">  </w:t>
      </w:r>
      <w:r>
        <w:rPr>
          <w:color w:val="auto"/>
          <w:sz w:val="24"/>
          <w:highlight w:val="none"/>
        </w:rPr>
        <w:t>年__月__日对该项目进行了现场勘察，现就现场勘察情况做如下承诺：</w:t>
      </w:r>
    </w:p>
    <w:p w14:paraId="7438E8F7">
      <w:pPr>
        <w:snapToGrid w:val="0"/>
        <w:spacing w:line="520" w:lineRule="exact"/>
        <w:ind w:firstLine="480" w:firstLineChars="200"/>
        <w:jc w:val="left"/>
        <w:outlineLvl w:val="4"/>
        <w:rPr>
          <w:color w:val="auto"/>
          <w:sz w:val="24"/>
          <w:highlight w:val="none"/>
        </w:rPr>
      </w:pPr>
      <w:r>
        <w:rPr>
          <w:color w:val="auto"/>
          <w:sz w:val="24"/>
          <w:highlight w:val="none"/>
        </w:rPr>
        <w:t>1、经现场勘察，我方已熟悉与该项目相关的供货及安装现场、施工环境、现场周围交通道路等所有情况。</w:t>
      </w:r>
    </w:p>
    <w:p w14:paraId="4AD76182">
      <w:pPr>
        <w:snapToGrid w:val="0"/>
        <w:spacing w:line="520" w:lineRule="exact"/>
        <w:ind w:firstLine="480" w:firstLineChars="200"/>
        <w:jc w:val="left"/>
        <w:outlineLvl w:val="4"/>
        <w:rPr>
          <w:color w:val="auto"/>
          <w:sz w:val="24"/>
          <w:highlight w:val="none"/>
        </w:rPr>
      </w:pPr>
      <w:r>
        <w:rPr>
          <w:color w:val="auto"/>
          <w:sz w:val="24"/>
          <w:highlight w:val="none"/>
        </w:rPr>
        <w:t>2、我方承诺自行承担本次现场勘察所发生的所有费用并承担勘察现场的相关责任和风险。</w:t>
      </w:r>
    </w:p>
    <w:p w14:paraId="15012D7F">
      <w:pPr>
        <w:snapToGrid w:val="0"/>
        <w:spacing w:line="520" w:lineRule="exact"/>
        <w:ind w:firstLine="480" w:firstLineChars="200"/>
        <w:jc w:val="left"/>
        <w:outlineLvl w:val="4"/>
        <w:rPr>
          <w:color w:val="auto"/>
          <w:sz w:val="24"/>
          <w:highlight w:val="none"/>
        </w:rPr>
      </w:pPr>
      <w:r>
        <w:rPr>
          <w:color w:val="auto"/>
          <w:sz w:val="24"/>
          <w:highlight w:val="none"/>
        </w:rPr>
        <w:t>3、我方承诺在任何情况下均不以不完全了解现场情况为理由而向采购单位提出任何索赔的要求。</w:t>
      </w:r>
    </w:p>
    <w:p w14:paraId="7505A9BB">
      <w:pPr>
        <w:keepNext w:val="0"/>
        <w:keepLines w:val="0"/>
        <w:pageBreakBefore w:val="0"/>
        <w:widowControl w:val="0"/>
        <w:kinsoku/>
        <w:wordWrap/>
        <w:overflowPunct/>
        <w:topLinePunct w:val="0"/>
        <w:autoSpaceDE/>
        <w:autoSpaceDN/>
        <w:bidi w:val="0"/>
        <w:adjustRightInd/>
        <w:snapToGrid/>
        <w:spacing w:line="360" w:lineRule="auto"/>
        <w:ind w:right="-512" w:rightChars="-244"/>
        <w:textAlignment w:val="auto"/>
        <w:rPr>
          <w:rFonts w:hint="eastAsia" w:ascii="宋体" w:hAnsi="宋体" w:eastAsia="宋体" w:cs="宋体"/>
          <w:color w:val="auto"/>
          <w:sz w:val="24"/>
          <w:szCs w:val="24"/>
          <w:highlight w:val="none"/>
          <w:lang w:val="en-US" w:eastAsia="zh-CN"/>
        </w:rPr>
      </w:pPr>
    </w:p>
    <w:p w14:paraId="37A417E4">
      <w:pPr>
        <w:keepNext w:val="0"/>
        <w:keepLines w:val="0"/>
        <w:pageBreakBefore w:val="0"/>
        <w:widowControl w:val="0"/>
        <w:kinsoku/>
        <w:wordWrap/>
        <w:overflowPunct/>
        <w:topLinePunct w:val="0"/>
        <w:autoSpaceDE/>
        <w:autoSpaceDN/>
        <w:bidi w:val="0"/>
        <w:adjustRightInd/>
        <w:snapToGrid/>
        <w:spacing w:line="360" w:lineRule="auto"/>
        <w:ind w:right="-512" w:rightChars="-24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（盖单位</w:t>
      </w:r>
      <w:r>
        <w:rPr>
          <w:rFonts w:hint="eastAsia" w:ascii="宋体" w:hAnsi="宋体" w:eastAsia="宋体" w:cs="宋体"/>
          <w:color w:val="auto"/>
          <w:sz w:val="24"/>
          <w:szCs w:val="24"/>
          <w:highlight w:val="none"/>
          <w:lang w:val="en-US" w:eastAsia="zh-CN"/>
        </w:rPr>
        <w:t>公</w:t>
      </w:r>
      <w:r>
        <w:rPr>
          <w:rFonts w:hint="eastAsia" w:ascii="宋体" w:hAnsi="宋体" w:eastAsia="宋体" w:cs="宋体"/>
          <w:color w:val="auto"/>
          <w:sz w:val="24"/>
          <w:szCs w:val="24"/>
          <w:highlight w:val="none"/>
        </w:rPr>
        <w:t>章）：</w:t>
      </w:r>
    </w:p>
    <w:p w14:paraId="430B0D4A">
      <w:pPr>
        <w:keepNext w:val="0"/>
        <w:keepLines w:val="0"/>
        <w:pageBreakBefore w:val="0"/>
        <w:widowControl w:val="0"/>
        <w:tabs>
          <w:tab w:val="left" w:pos="4320"/>
        </w:tabs>
        <w:kinsoku/>
        <w:wordWrap/>
        <w:overflowPunct/>
        <w:topLinePunct w:val="0"/>
        <w:autoSpaceDE/>
        <w:autoSpaceDN/>
        <w:bidi w:val="0"/>
        <w:adjustRightInd/>
        <w:snapToGrid/>
        <w:spacing w:line="360" w:lineRule="auto"/>
        <w:ind w:right="-512" w:rightChars="-24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法定代表人或投标人授权代表（签字或盖章）：</w:t>
      </w:r>
    </w:p>
    <w:p w14:paraId="6D716F7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 xml:space="preserve">日期：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14:paraId="5F01F613">
      <w:pPr>
        <w:pStyle w:val="15"/>
        <w:rPr>
          <w:rFonts w:hint="eastAsia" w:ascii="宋体" w:hAnsi="宋体" w:eastAsia="宋体" w:cs="宋体"/>
          <w:color w:val="auto"/>
          <w:sz w:val="24"/>
          <w:szCs w:val="24"/>
          <w:highlight w:val="none"/>
        </w:rPr>
      </w:pPr>
    </w:p>
    <w:p w14:paraId="79252470">
      <w:pPr>
        <w:pStyle w:val="10"/>
        <w:ind w:left="0" w:leftChars="0" w:firstLine="0" w:firstLineChars="0"/>
        <w:rPr>
          <w:rFonts w:hint="eastAsia"/>
          <w:color w:val="auto"/>
          <w:highlight w:val="none"/>
          <w:lang w:val="en-US" w:eastAsia="zh-CN"/>
        </w:rPr>
      </w:pPr>
      <w:r>
        <w:rPr>
          <w:rFonts w:hint="eastAsia"/>
          <w:color w:val="auto"/>
          <w:highlight w:val="none"/>
          <w:lang w:val="en-US" w:eastAsia="zh-CN"/>
        </w:rPr>
        <w:t>采购人现场踏勘联系人（签名）：</w:t>
      </w:r>
    </w:p>
    <w:p w14:paraId="1CC7AD1F">
      <w:pPr>
        <w:pStyle w:val="10"/>
        <w:ind w:left="0" w:leftChars="0" w:firstLine="0" w:firstLineChars="0"/>
        <w:rPr>
          <w:rFonts w:hint="default"/>
          <w:color w:val="auto"/>
          <w:highlight w:val="none"/>
          <w:lang w:val="en-US" w:eastAsia="zh-CN"/>
        </w:rPr>
      </w:pPr>
      <w:r>
        <w:rPr>
          <w:rFonts w:hint="eastAsia"/>
          <w:color w:val="auto"/>
          <w:highlight w:val="none"/>
          <w:lang w:val="en-US" w:eastAsia="zh-CN"/>
        </w:rPr>
        <w:t>日期：    年    月   日</w:t>
      </w:r>
    </w:p>
    <w:p w14:paraId="3AE541C6">
      <w:pPr>
        <w:snapToGrid w:val="0"/>
        <w:spacing w:line="520" w:lineRule="exact"/>
        <w:jc w:val="left"/>
        <w:outlineLvl w:val="4"/>
        <w:rPr>
          <w:color w:val="auto"/>
          <w:sz w:val="24"/>
          <w:highlight w:val="none"/>
        </w:rPr>
      </w:pPr>
    </w:p>
    <w:p w14:paraId="63EAB6B8">
      <w:pPr>
        <w:snapToGrid w:val="0"/>
        <w:spacing w:line="520" w:lineRule="exact"/>
        <w:ind w:firstLine="482" w:firstLineChars="200"/>
        <w:jc w:val="left"/>
        <w:outlineLvl w:val="4"/>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注:</w:t>
      </w:r>
    </w:p>
    <w:p w14:paraId="34718C20">
      <w:pPr>
        <w:snapToGrid w:val="0"/>
        <w:spacing w:line="520" w:lineRule="exact"/>
        <w:ind w:firstLine="482" w:firstLineChars="200"/>
        <w:jc w:val="left"/>
        <w:outlineLvl w:val="4"/>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投标人在获取到招标文件后，参加本项目投标的，必须进行踏勘现场，由采购人现场踏勘联系人本人亲笔签名确认。</w:t>
      </w:r>
    </w:p>
    <w:p w14:paraId="74B48E5F">
      <w:pPr>
        <w:snapToGrid w:val="0"/>
        <w:spacing w:line="520" w:lineRule="exact"/>
        <w:ind w:firstLine="482" w:firstLineChars="200"/>
        <w:jc w:val="left"/>
        <w:outlineLvl w:val="4"/>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踏勘前务必先与采购人现场踏勘联系人提前联系，联系人:朱</w:t>
      </w:r>
      <w:r>
        <w:rPr>
          <w:rFonts w:hint="eastAsia" w:ascii="宋体" w:hAnsi="宋体" w:cs="宋体"/>
          <w:b/>
          <w:bCs/>
          <w:color w:val="auto"/>
          <w:sz w:val="24"/>
          <w:highlight w:val="none"/>
          <w:lang w:val="en-US" w:eastAsia="zh-CN"/>
        </w:rPr>
        <w:t>兵</w:t>
      </w:r>
      <w:r>
        <w:rPr>
          <w:rFonts w:hint="eastAsia" w:ascii="宋体" w:hAnsi="宋体" w:eastAsia="宋体" w:cs="宋体"/>
          <w:b/>
          <w:bCs/>
          <w:color w:val="auto"/>
          <w:sz w:val="24"/>
          <w:highlight w:val="none"/>
          <w:lang w:val="en-US" w:eastAsia="zh-CN"/>
        </w:rPr>
        <w:t>，联系电话:13962900197，踏勘现场之前请务必提前联系预约时间。踏勘现场如有费用产生，由投标人自行承担。</w:t>
      </w:r>
    </w:p>
    <w:p w14:paraId="0B054E3E">
      <w:pPr>
        <w:snapToGrid w:val="0"/>
        <w:spacing w:line="520" w:lineRule="exact"/>
        <w:ind w:firstLine="482" w:firstLineChars="200"/>
        <w:jc w:val="left"/>
        <w:outlineLvl w:val="4"/>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现场踏勘确认函原件必须在资格审查文件中提供，未按要求提供做无效响应。</w:t>
      </w:r>
    </w:p>
    <w:p w14:paraId="14B537A0">
      <w:pPr>
        <w:keepNext w:val="0"/>
        <w:keepLines w:val="0"/>
        <w:pageBreakBefore w:val="0"/>
        <w:widowControl w:val="0"/>
        <w:kinsoku/>
        <w:wordWrap/>
        <w:overflowPunct/>
        <w:topLinePunct w:val="0"/>
        <w:autoSpaceDE/>
        <w:autoSpaceDN/>
        <w:bidi w:val="0"/>
        <w:adjustRightInd/>
        <w:snapToGrid/>
        <w:spacing w:line="360" w:lineRule="auto"/>
        <w:ind w:right="-512" w:rightChars="-244"/>
        <w:textAlignment w:val="auto"/>
        <w:rPr>
          <w:rFonts w:hint="eastAsia" w:ascii="宋体" w:hAnsi="宋体" w:eastAsia="宋体" w:cs="宋体"/>
          <w:color w:val="auto"/>
          <w:sz w:val="24"/>
          <w:szCs w:val="24"/>
          <w:highlight w:val="none"/>
          <w:lang w:val="en-US" w:eastAsia="zh-CN"/>
        </w:rPr>
      </w:pPr>
    </w:p>
    <w:p w14:paraId="7A4BBB31">
      <w:pPr>
        <w:rPr>
          <w:rFonts w:ascii="宋体" w:hAnsi="宋体" w:cs="宋体"/>
          <w:b/>
          <w:bCs/>
          <w:color w:val="auto"/>
          <w:sz w:val="24"/>
          <w:highlight w:val="none"/>
        </w:rPr>
      </w:pPr>
      <w:r>
        <w:rPr>
          <w:rFonts w:ascii="宋体" w:hAnsi="宋体" w:cs="宋体"/>
          <w:b/>
          <w:bCs/>
          <w:color w:val="auto"/>
          <w:sz w:val="24"/>
          <w:highlight w:val="none"/>
        </w:rPr>
        <w:br w:type="page"/>
      </w:r>
      <w:r>
        <w:rPr>
          <w:rFonts w:hint="eastAsia" w:ascii="宋体" w:hAnsi="宋体" w:cs="宋体"/>
          <w:b/>
          <w:bCs/>
          <w:color w:val="auto"/>
          <w:sz w:val="24"/>
          <w:highlight w:val="none"/>
        </w:rPr>
        <w:t>二、商务技术标相关的格式文件及表格</w:t>
      </w:r>
    </w:p>
    <w:p w14:paraId="2626C935">
      <w:pPr>
        <w:spacing w:line="360" w:lineRule="auto"/>
        <w:jc w:val="center"/>
        <w:rPr>
          <w:rFonts w:ascii="宋体" w:hAnsi="宋体" w:cs="宋体"/>
          <w:b/>
          <w:bCs/>
          <w:color w:val="auto"/>
          <w:sz w:val="24"/>
          <w:highlight w:val="none"/>
        </w:rPr>
      </w:pPr>
      <w:r>
        <w:rPr>
          <w:rFonts w:hint="eastAsia" w:ascii="宋体" w:hAnsi="宋体" w:cs="宋体"/>
          <w:b/>
          <w:color w:val="auto"/>
          <w:sz w:val="24"/>
          <w:highlight w:val="none"/>
        </w:rPr>
        <w:t>1</w:t>
      </w:r>
      <w:r>
        <w:rPr>
          <w:rFonts w:hint="eastAsia" w:ascii="宋体" w:hAnsi="宋体" w:cs="宋体"/>
          <w:b/>
          <w:bCs/>
          <w:color w:val="auto"/>
          <w:sz w:val="24"/>
          <w:highlight w:val="none"/>
        </w:rPr>
        <w:t>、竞争性磋商响应函</w:t>
      </w:r>
    </w:p>
    <w:p w14:paraId="338DD462">
      <w:pPr>
        <w:spacing w:line="360" w:lineRule="auto"/>
        <w:rPr>
          <w:rFonts w:ascii="宋体" w:hAnsi="宋体" w:cs="宋体"/>
          <w:color w:val="auto"/>
          <w:sz w:val="24"/>
          <w:highlight w:val="none"/>
        </w:rPr>
      </w:pPr>
      <w:r>
        <w:rPr>
          <w:rFonts w:hint="eastAsia" w:ascii="宋体" w:hAnsi="宋体" w:cs="宋体"/>
          <w:color w:val="auto"/>
          <w:sz w:val="24"/>
          <w:highlight w:val="none"/>
          <w:u w:val="single"/>
        </w:rPr>
        <w:t>致    （采购人）    ：</w:t>
      </w:r>
    </w:p>
    <w:p w14:paraId="5A7769AE">
      <w:pPr>
        <w:pStyle w:val="13"/>
        <w:shd w:val="clear" w:color="auto" w:fill="FFFFFF"/>
        <w:wordWrap w:val="0"/>
        <w:spacing w:before="0" w:beforeAutospacing="0" w:after="0" w:afterAutospacing="0" w:line="480" w:lineRule="exact"/>
        <w:ind w:firstLine="480" w:firstLineChars="200"/>
        <w:rPr>
          <w:rFonts w:ascii="Times New Roman" w:hAnsi="Times New Roman" w:cs="Times New Roman"/>
          <w:color w:val="auto"/>
          <w:highlight w:val="none"/>
        </w:rPr>
      </w:pPr>
      <w:r>
        <w:rPr>
          <w:rFonts w:ascii="Times New Roman" w:hAnsi="Times New Roman" w:cs="Times New Roman"/>
          <w:color w:val="auto"/>
          <w:highlight w:val="none"/>
        </w:rPr>
        <w:t>根据贵方的</w:t>
      </w:r>
      <w:r>
        <w:rPr>
          <w:rFonts w:hint="eastAsia" w:ascii="Times New Roman" w:hAnsi="Times New Roman" w:cs="Times New Roman"/>
          <w:color w:val="auto"/>
          <w:highlight w:val="none"/>
          <w:u w:val="single"/>
        </w:rPr>
        <w:t>（竞争性磋商项目名称和项目编号）</w:t>
      </w:r>
      <w:r>
        <w:rPr>
          <w:rFonts w:ascii="Times New Roman" w:hAnsi="Times New Roman" w:cs="Times New Roman"/>
          <w:color w:val="auto"/>
          <w:highlight w:val="none"/>
        </w:rPr>
        <w:t>磋商文件，正式授权下述签字人</w:t>
      </w:r>
      <w:r>
        <w:rPr>
          <w:rFonts w:ascii="Times New Roman" w:hAnsi="Times New Roman" w:cs="Times New Roman"/>
          <w:color w:val="auto"/>
          <w:highlight w:val="none"/>
          <w:u w:val="single"/>
        </w:rPr>
        <w:t xml:space="preserve">         (姓名和职务)</w:t>
      </w:r>
      <w:r>
        <w:rPr>
          <w:rFonts w:ascii="Times New Roman" w:hAnsi="Times New Roman" w:cs="Times New Roman"/>
          <w:color w:val="auto"/>
          <w:highlight w:val="none"/>
        </w:rPr>
        <w:t>代表我方</w:t>
      </w:r>
      <w:r>
        <w:rPr>
          <w:rFonts w:ascii="Times New Roman" w:hAnsi="Times New Roman" w:cs="Times New Roman"/>
          <w:color w:val="auto"/>
          <w:highlight w:val="none"/>
          <w:u w:val="single"/>
        </w:rPr>
        <w:t xml:space="preserve">         （供应商的名称）</w:t>
      </w:r>
      <w:r>
        <w:rPr>
          <w:rFonts w:ascii="Times New Roman" w:hAnsi="Times New Roman" w:cs="Times New Roman"/>
          <w:color w:val="auto"/>
          <w:highlight w:val="none"/>
        </w:rPr>
        <w:t>，全权处理本次项目磋商采购的有关事宜。</w:t>
      </w:r>
    </w:p>
    <w:p w14:paraId="3BAF81E7">
      <w:pPr>
        <w:pStyle w:val="13"/>
        <w:shd w:val="clear" w:color="auto" w:fill="FFFFFF"/>
        <w:wordWrap w:val="0"/>
        <w:spacing w:before="0" w:beforeAutospacing="0" w:after="0" w:afterAutospacing="0" w:line="480" w:lineRule="exact"/>
        <w:ind w:firstLine="480" w:firstLineChars="200"/>
        <w:rPr>
          <w:rFonts w:ascii="Times New Roman" w:hAnsi="Times New Roman" w:cs="Times New Roman"/>
          <w:color w:val="auto"/>
          <w:highlight w:val="none"/>
        </w:rPr>
      </w:pPr>
      <w:r>
        <w:rPr>
          <w:rFonts w:ascii="Times New Roman" w:hAnsi="Times New Roman" w:cs="Times New Roman"/>
          <w:color w:val="auto"/>
          <w:highlight w:val="none"/>
        </w:rPr>
        <w:t>据此函，</w:t>
      </w:r>
      <w:r>
        <w:rPr>
          <w:rFonts w:ascii="Times New Roman" w:hAnsi="Times New Roman" w:cs="Times New Roman"/>
          <w:color w:val="auto"/>
          <w:highlight w:val="none"/>
          <w:u w:val="single"/>
        </w:rPr>
        <w:t xml:space="preserve">       （签字人</w:t>
      </w:r>
      <w:r>
        <w:rPr>
          <w:rFonts w:hint="eastAsia" w:ascii="Times New Roman" w:hAnsi="Times New Roman" w:cs="Times New Roman"/>
          <w:color w:val="auto"/>
          <w:highlight w:val="none"/>
          <w:u w:val="single"/>
        </w:rPr>
        <w:t>姓名</w:t>
      </w:r>
      <w:r>
        <w:rPr>
          <w:rFonts w:ascii="Times New Roman" w:hAnsi="Times New Roman" w:cs="Times New Roman"/>
          <w:color w:val="auto"/>
          <w:highlight w:val="none"/>
          <w:u w:val="single"/>
        </w:rPr>
        <w:t>）</w:t>
      </w:r>
      <w:r>
        <w:rPr>
          <w:rFonts w:ascii="Times New Roman" w:hAnsi="Times New Roman" w:cs="Times New Roman"/>
          <w:color w:val="auto"/>
          <w:highlight w:val="none"/>
        </w:rPr>
        <w:t>兹宣布同意如下：</w:t>
      </w:r>
    </w:p>
    <w:p w14:paraId="2079F55F">
      <w:pPr>
        <w:pStyle w:val="13"/>
        <w:shd w:val="clear" w:color="auto" w:fill="FFFFFF"/>
        <w:wordWrap w:val="0"/>
        <w:spacing w:before="0" w:beforeAutospacing="0" w:after="0" w:afterAutospacing="0" w:line="480" w:lineRule="exact"/>
        <w:ind w:firstLine="480" w:firstLineChars="200"/>
        <w:rPr>
          <w:rFonts w:ascii="Times New Roman" w:hAnsi="Times New Roman" w:cs="Times New Roman"/>
          <w:color w:val="auto"/>
          <w:highlight w:val="none"/>
        </w:rPr>
      </w:pPr>
      <w:r>
        <w:rPr>
          <w:rFonts w:ascii="Times New Roman" w:hAnsi="Times New Roman" w:cs="Times New Roman"/>
          <w:color w:val="auto"/>
          <w:highlight w:val="none"/>
        </w:rPr>
        <w:t>1.按磋商文件规定的各项要求，向买方提供所需货物、服务。</w:t>
      </w:r>
    </w:p>
    <w:p w14:paraId="46D97422">
      <w:pPr>
        <w:pStyle w:val="13"/>
        <w:shd w:val="clear" w:color="auto" w:fill="FFFFFF"/>
        <w:wordWrap w:val="0"/>
        <w:spacing w:before="0" w:beforeAutospacing="0" w:after="0" w:afterAutospacing="0" w:line="480" w:lineRule="exact"/>
        <w:ind w:firstLine="480" w:firstLineChars="200"/>
        <w:rPr>
          <w:rFonts w:ascii="Times New Roman" w:hAnsi="Times New Roman" w:cs="Times New Roman"/>
          <w:color w:val="auto"/>
          <w:highlight w:val="none"/>
        </w:rPr>
      </w:pPr>
      <w:r>
        <w:rPr>
          <w:rFonts w:ascii="Times New Roman" w:hAnsi="Times New Roman" w:cs="Times New Roman"/>
          <w:color w:val="auto"/>
          <w:highlight w:val="none"/>
        </w:rPr>
        <w:t>2.我们已详细审核全部磋商文件及其有效补充文件，我们知道必须放弃提出含糊不清或误解问题的权利。</w:t>
      </w:r>
    </w:p>
    <w:p w14:paraId="032359DB">
      <w:pPr>
        <w:pStyle w:val="13"/>
        <w:shd w:val="clear" w:color="auto" w:fill="FFFFFF"/>
        <w:wordWrap w:val="0"/>
        <w:spacing w:before="0" w:beforeAutospacing="0" w:after="0" w:afterAutospacing="0" w:line="480" w:lineRule="exact"/>
        <w:ind w:firstLine="480" w:firstLineChars="200"/>
        <w:rPr>
          <w:rFonts w:ascii="Times New Roman" w:hAnsi="Times New Roman" w:cs="Times New Roman"/>
          <w:color w:val="auto"/>
          <w:highlight w:val="none"/>
        </w:rPr>
      </w:pPr>
      <w:r>
        <w:rPr>
          <w:rFonts w:ascii="Times New Roman" w:hAnsi="Times New Roman" w:cs="Times New Roman"/>
          <w:color w:val="auto"/>
          <w:highlight w:val="none"/>
        </w:rPr>
        <w:t>3.我们同意从规定的响应文件接收截止时间起遵循本响应文件，并在规定的磋商、有效期期满之前均具有约束力。</w:t>
      </w:r>
    </w:p>
    <w:p w14:paraId="6A5986CC">
      <w:pPr>
        <w:pStyle w:val="13"/>
        <w:shd w:val="clear" w:color="auto" w:fill="FFFFFF"/>
        <w:wordWrap w:val="0"/>
        <w:spacing w:before="0" w:beforeAutospacing="0" w:after="0" w:afterAutospacing="0" w:line="480" w:lineRule="exact"/>
        <w:ind w:firstLine="480" w:firstLineChars="200"/>
        <w:rPr>
          <w:rFonts w:ascii="Times New Roman" w:hAnsi="Times New Roman" w:cs="Times New Roman"/>
          <w:color w:val="auto"/>
          <w:highlight w:val="none"/>
        </w:rPr>
      </w:pPr>
      <w:r>
        <w:rPr>
          <w:rFonts w:ascii="Times New Roman" w:hAnsi="Times New Roman" w:cs="Times New Roman"/>
          <w:color w:val="auto"/>
          <w:highlight w:val="none"/>
        </w:rPr>
        <w:t>4.同意向贵方提供贵方可能另外要求的与磋商采购有关的任何证据或资料，并保证我方已提供和将要提供的文件是真实的、准确的。</w:t>
      </w:r>
    </w:p>
    <w:p w14:paraId="4BFB268F">
      <w:pPr>
        <w:pStyle w:val="13"/>
        <w:shd w:val="clear" w:color="auto" w:fill="FFFFFF"/>
        <w:wordWrap w:val="0"/>
        <w:spacing w:before="0" w:beforeAutospacing="0" w:after="0" w:afterAutospacing="0" w:line="480" w:lineRule="exact"/>
        <w:ind w:firstLine="480" w:firstLineChars="200"/>
        <w:rPr>
          <w:rFonts w:ascii="Times New Roman" w:hAnsi="Times New Roman" w:cs="Times New Roman"/>
          <w:color w:val="auto"/>
          <w:highlight w:val="none"/>
        </w:rPr>
      </w:pPr>
      <w:r>
        <w:rPr>
          <w:rFonts w:ascii="Times New Roman" w:hAnsi="Times New Roman" w:cs="Times New Roman"/>
          <w:color w:val="auto"/>
          <w:highlight w:val="none"/>
        </w:rPr>
        <w:t>5.一旦我方成交，我方将根据磋商文件的规定，严格履行合同的责任和义务，并保证在磋商文件规定的时间完成项目，交付买方验收、使用。</w:t>
      </w:r>
    </w:p>
    <w:p w14:paraId="1756E32B">
      <w:pPr>
        <w:pStyle w:val="13"/>
        <w:shd w:val="clear" w:color="auto" w:fill="FFFFFF"/>
        <w:wordWrap w:val="0"/>
        <w:spacing w:before="0" w:beforeAutospacing="0" w:after="0" w:afterAutospacing="0" w:line="480" w:lineRule="exact"/>
        <w:ind w:firstLine="480" w:firstLineChars="200"/>
        <w:rPr>
          <w:rFonts w:ascii="Times New Roman" w:hAnsi="Times New Roman" w:cs="Times New Roman"/>
          <w:color w:val="auto"/>
          <w:highlight w:val="none"/>
        </w:rPr>
      </w:pPr>
      <w:r>
        <w:rPr>
          <w:rFonts w:ascii="Times New Roman" w:hAnsi="Times New Roman" w:cs="Times New Roman"/>
          <w:color w:val="auto"/>
          <w:highlight w:val="none"/>
        </w:rPr>
        <w:t>6.遵守磋商文件中要求的收费项目和标准。</w:t>
      </w:r>
    </w:p>
    <w:p w14:paraId="3F7ED9E2">
      <w:pPr>
        <w:pStyle w:val="13"/>
        <w:shd w:val="clear" w:color="auto" w:fill="FFFFFF"/>
        <w:wordWrap w:val="0"/>
        <w:spacing w:before="0" w:beforeAutospacing="0" w:after="0" w:afterAutospacing="0" w:line="480" w:lineRule="exact"/>
        <w:ind w:firstLine="480" w:firstLineChars="200"/>
        <w:rPr>
          <w:rFonts w:ascii="Times New Roman" w:hAnsi="Times New Roman" w:cs="Times New Roman"/>
          <w:color w:val="auto"/>
          <w:highlight w:val="none"/>
        </w:rPr>
      </w:pPr>
      <w:r>
        <w:rPr>
          <w:rFonts w:ascii="Times New Roman" w:hAnsi="Times New Roman" w:cs="Times New Roman"/>
          <w:color w:val="auto"/>
          <w:highlight w:val="none"/>
        </w:rPr>
        <w:t>7.与本磋商采购有关的正式通讯地址为：</w:t>
      </w:r>
    </w:p>
    <w:p w14:paraId="2C2DDD08">
      <w:pPr>
        <w:widowControl/>
        <w:shd w:val="clear" w:color="auto" w:fill="FFFFFF"/>
        <w:wordWrap w:val="0"/>
        <w:spacing w:line="480" w:lineRule="exact"/>
        <w:ind w:firstLine="480" w:firstLineChars="200"/>
        <w:jc w:val="left"/>
        <w:rPr>
          <w:rFonts w:ascii="宋体" w:hAnsi="宋体" w:cs="Tahoma"/>
          <w:color w:val="auto"/>
          <w:kern w:val="0"/>
          <w:sz w:val="24"/>
          <w:highlight w:val="none"/>
        </w:rPr>
      </w:pPr>
      <w:r>
        <w:rPr>
          <w:rFonts w:hint="eastAsia" w:ascii="宋体" w:hAnsi="宋体" w:cs="Tahoma"/>
          <w:color w:val="auto"/>
          <w:kern w:val="0"/>
          <w:sz w:val="24"/>
          <w:highlight w:val="none"/>
        </w:rPr>
        <w:t>地址</w:t>
      </w:r>
      <w:r>
        <w:rPr>
          <w:rFonts w:hint="eastAsia" w:ascii="宋体" w:hAnsi="宋体" w:cs="Tahoma"/>
          <w:color w:val="auto"/>
          <w:kern w:val="0"/>
          <w:sz w:val="24"/>
          <w:highlight w:val="none"/>
          <w:u w:val="single"/>
        </w:rPr>
        <w:t xml:space="preserve">：            </w:t>
      </w:r>
    </w:p>
    <w:p w14:paraId="1146C36F">
      <w:pPr>
        <w:widowControl/>
        <w:shd w:val="clear" w:color="auto" w:fill="FFFFFF"/>
        <w:wordWrap w:val="0"/>
        <w:spacing w:line="480" w:lineRule="exact"/>
        <w:ind w:firstLine="480" w:firstLineChars="200"/>
        <w:jc w:val="left"/>
        <w:rPr>
          <w:rFonts w:ascii="宋体" w:hAnsi="宋体" w:cs="Tahoma"/>
          <w:color w:val="auto"/>
          <w:kern w:val="0"/>
          <w:sz w:val="24"/>
          <w:highlight w:val="none"/>
        </w:rPr>
      </w:pPr>
      <w:r>
        <w:rPr>
          <w:rFonts w:hint="eastAsia" w:ascii="宋体" w:hAnsi="宋体" w:cs="Tahoma"/>
          <w:color w:val="auto"/>
          <w:kern w:val="0"/>
          <w:sz w:val="24"/>
          <w:highlight w:val="none"/>
        </w:rPr>
        <w:t>邮编</w:t>
      </w:r>
      <w:r>
        <w:rPr>
          <w:rFonts w:hint="eastAsia" w:ascii="宋体" w:hAnsi="宋体" w:cs="Tahoma"/>
          <w:color w:val="auto"/>
          <w:kern w:val="0"/>
          <w:sz w:val="24"/>
          <w:highlight w:val="none"/>
          <w:u w:val="single"/>
        </w:rPr>
        <w:t xml:space="preserve">：            </w:t>
      </w:r>
    </w:p>
    <w:p w14:paraId="4D0F948D">
      <w:pPr>
        <w:widowControl/>
        <w:shd w:val="clear" w:color="auto" w:fill="FFFFFF"/>
        <w:wordWrap w:val="0"/>
        <w:spacing w:line="480" w:lineRule="exact"/>
        <w:ind w:firstLine="480" w:firstLineChars="200"/>
        <w:jc w:val="left"/>
        <w:rPr>
          <w:rFonts w:ascii="宋体" w:hAnsi="宋体" w:cs="Tahoma"/>
          <w:color w:val="auto"/>
          <w:kern w:val="0"/>
          <w:sz w:val="24"/>
          <w:highlight w:val="none"/>
        </w:rPr>
      </w:pPr>
      <w:r>
        <w:rPr>
          <w:rFonts w:hint="eastAsia" w:ascii="宋体" w:hAnsi="宋体" w:cs="Tahoma"/>
          <w:color w:val="auto"/>
          <w:kern w:val="0"/>
          <w:sz w:val="24"/>
          <w:highlight w:val="none"/>
        </w:rPr>
        <w:t>电话</w:t>
      </w:r>
      <w:r>
        <w:rPr>
          <w:rFonts w:hint="eastAsia" w:ascii="宋体" w:hAnsi="宋体" w:cs="Tahoma"/>
          <w:color w:val="auto"/>
          <w:kern w:val="0"/>
          <w:sz w:val="24"/>
          <w:highlight w:val="none"/>
          <w:u w:val="single"/>
        </w:rPr>
        <w:t xml:space="preserve">：            </w:t>
      </w:r>
    </w:p>
    <w:p w14:paraId="10784F8C">
      <w:pPr>
        <w:widowControl/>
        <w:shd w:val="clear" w:color="auto" w:fill="FFFFFF"/>
        <w:wordWrap w:val="0"/>
        <w:spacing w:line="480" w:lineRule="exact"/>
        <w:ind w:firstLine="480" w:firstLineChars="200"/>
        <w:jc w:val="left"/>
        <w:rPr>
          <w:rFonts w:ascii="宋体" w:hAnsi="宋体" w:cs="Tahoma"/>
          <w:color w:val="auto"/>
          <w:kern w:val="0"/>
          <w:sz w:val="24"/>
          <w:highlight w:val="none"/>
        </w:rPr>
      </w:pPr>
      <w:r>
        <w:rPr>
          <w:rFonts w:hint="eastAsia" w:ascii="宋体" w:hAnsi="宋体" w:cs="Tahoma"/>
          <w:color w:val="auto"/>
          <w:kern w:val="0"/>
          <w:sz w:val="24"/>
          <w:highlight w:val="none"/>
        </w:rPr>
        <w:t>传真</w:t>
      </w:r>
      <w:r>
        <w:rPr>
          <w:rFonts w:hint="eastAsia" w:ascii="宋体" w:hAnsi="宋体" w:cs="Tahoma"/>
          <w:color w:val="auto"/>
          <w:kern w:val="0"/>
          <w:sz w:val="24"/>
          <w:highlight w:val="none"/>
          <w:u w:val="single"/>
        </w:rPr>
        <w:t xml:space="preserve">：            </w:t>
      </w:r>
    </w:p>
    <w:p w14:paraId="01F92147">
      <w:pPr>
        <w:widowControl/>
        <w:shd w:val="clear" w:color="auto" w:fill="FFFFFF"/>
        <w:wordWrap w:val="0"/>
        <w:spacing w:line="480" w:lineRule="exact"/>
        <w:ind w:firstLine="480" w:firstLineChars="200"/>
        <w:jc w:val="left"/>
        <w:rPr>
          <w:rFonts w:ascii="宋体" w:hAnsi="宋体" w:cs="Tahoma"/>
          <w:color w:val="auto"/>
          <w:kern w:val="0"/>
          <w:sz w:val="24"/>
          <w:highlight w:val="none"/>
        </w:rPr>
      </w:pPr>
      <w:r>
        <w:rPr>
          <w:rFonts w:hint="eastAsia" w:ascii="宋体" w:hAnsi="宋体" w:cs="Tahoma"/>
          <w:color w:val="auto"/>
          <w:kern w:val="0"/>
          <w:sz w:val="24"/>
          <w:highlight w:val="none"/>
        </w:rPr>
        <w:t>供应商开户行</w:t>
      </w:r>
      <w:r>
        <w:rPr>
          <w:rFonts w:hint="eastAsia" w:ascii="宋体" w:hAnsi="宋体" w:cs="Tahoma"/>
          <w:color w:val="auto"/>
          <w:kern w:val="0"/>
          <w:sz w:val="24"/>
          <w:highlight w:val="none"/>
          <w:u w:val="single"/>
        </w:rPr>
        <w:t xml:space="preserve">：            </w:t>
      </w:r>
    </w:p>
    <w:p w14:paraId="52CF17D8">
      <w:pPr>
        <w:widowControl/>
        <w:shd w:val="clear" w:color="auto" w:fill="FFFFFF"/>
        <w:wordWrap w:val="0"/>
        <w:spacing w:line="480" w:lineRule="exact"/>
        <w:ind w:firstLine="480" w:firstLineChars="200"/>
        <w:jc w:val="left"/>
        <w:rPr>
          <w:rFonts w:ascii="宋体" w:hAnsi="宋体" w:cs="Tahoma"/>
          <w:color w:val="auto"/>
          <w:kern w:val="0"/>
          <w:sz w:val="24"/>
          <w:highlight w:val="none"/>
        </w:rPr>
      </w:pPr>
      <w:r>
        <w:rPr>
          <w:rFonts w:hint="eastAsia" w:ascii="宋体" w:hAnsi="宋体" w:cs="Tahoma"/>
          <w:color w:val="auto"/>
          <w:kern w:val="0"/>
          <w:sz w:val="24"/>
          <w:highlight w:val="none"/>
        </w:rPr>
        <w:t>账户</w:t>
      </w:r>
      <w:r>
        <w:rPr>
          <w:rFonts w:hint="eastAsia" w:ascii="宋体" w:hAnsi="宋体" w:cs="Tahoma"/>
          <w:color w:val="auto"/>
          <w:kern w:val="0"/>
          <w:sz w:val="24"/>
          <w:highlight w:val="none"/>
          <w:u w:val="single"/>
        </w:rPr>
        <w:t xml:space="preserve">：            </w:t>
      </w:r>
    </w:p>
    <w:p w14:paraId="13C37A42">
      <w:pPr>
        <w:widowControl/>
        <w:shd w:val="clear" w:color="auto" w:fill="FFFFFF"/>
        <w:wordWrap w:val="0"/>
        <w:spacing w:line="480" w:lineRule="exact"/>
        <w:jc w:val="left"/>
        <w:rPr>
          <w:rFonts w:ascii="宋体" w:hAnsi="宋体" w:cs="Tahoma"/>
          <w:color w:val="auto"/>
          <w:kern w:val="0"/>
          <w:sz w:val="24"/>
          <w:highlight w:val="none"/>
        </w:rPr>
      </w:pPr>
    </w:p>
    <w:p w14:paraId="12446AC7">
      <w:pPr>
        <w:kinsoku w:val="0"/>
        <w:topLinePunct/>
        <w:snapToGrid w:val="0"/>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供应商：（盖章）             </w:t>
      </w:r>
    </w:p>
    <w:p w14:paraId="32123A4B">
      <w:pPr>
        <w:kinsoku w:val="0"/>
        <w:topLinePunct/>
        <w:snapToGrid w:val="0"/>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法定代表人或被授权人（签字或盖章）：</w:t>
      </w:r>
    </w:p>
    <w:p w14:paraId="5985572F">
      <w:pPr>
        <w:kinsoku w:val="0"/>
        <w:topLinePunct/>
        <w:snapToGrid w:val="0"/>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日期：</w:t>
      </w:r>
    </w:p>
    <w:p w14:paraId="5ED5A93E">
      <w:pPr>
        <w:spacing w:line="360" w:lineRule="auto"/>
        <w:jc w:val="center"/>
        <w:rPr>
          <w:rFonts w:ascii="宋体" w:hAnsi="宋体" w:cs="宋体"/>
          <w:b/>
          <w:color w:val="auto"/>
          <w:sz w:val="24"/>
          <w:highlight w:val="none"/>
        </w:rPr>
      </w:pPr>
      <w:r>
        <w:rPr>
          <w:rFonts w:ascii="宋体" w:hAnsi="宋体" w:cs="宋体"/>
          <w:b/>
          <w:bCs/>
          <w:color w:val="auto"/>
          <w:sz w:val="24"/>
          <w:highlight w:val="none"/>
        </w:rPr>
        <w:br w:type="page"/>
      </w:r>
      <w:r>
        <w:rPr>
          <w:rFonts w:hint="eastAsia" w:ascii="宋体" w:hAnsi="宋体" w:cs="宋体"/>
          <w:b/>
          <w:bCs/>
          <w:color w:val="auto"/>
          <w:sz w:val="24"/>
          <w:highlight w:val="none"/>
        </w:rPr>
        <w:t>2、</w:t>
      </w:r>
      <w:r>
        <w:rPr>
          <w:rFonts w:hint="eastAsia" w:ascii="宋体" w:hAnsi="宋体" w:cs="宋体"/>
          <w:b/>
          <w:color w:val="auto"/>
          <w:sz w:val="24"/>
          <w:highlight w:val="none"/>
        </w:rPr>
        <w:t>技术部分正负偏离表</w:t>
      </w:r>
    </w:p>
    <w:p w14:paraId="11D93A40">
      <w:pPr>
        <w:jc w:val="center"/>
        <w:rPr>
          <w:rFonts w:ascii="宋体" w:hAnsi="宋体"/>
          <w:color w:val="auto"/>
          <w:sz w:val="24"/>
          <w:highlight w:val="none"/>
        </w:rPr>
      </w:pPr>
      <w:r>
        <w:rPr>
          <w:color w:val="auto"/>
          <w:sz w:val="28"/>
          <w:szCs w:val="28"/>
          <w:highlight w:val="none"/>
        </w:rPr>
        <w:t>（由</w:t>
      </w:r>
      <w:r>
        <w:rPr>
          <w:rFonts w:hint="eastAsia"/>
          <w:color w:val="auto"/>
          <w:sz w:val="28"/>
          <w:szCs w:val="28"/>
          <w:highlight w:val="none"/>
          <w:lang w:val="en-US" w:eastAsia="zh-CN"/>
        </w:rPr>
        <w:t>供应商</w:t>
      </w:r>
      <w:r>
        <w:rPr>
          <w:color w:val="auto"/>
          <w:sz w:val="28"/>
          <w:szCs w:val="28"/>
          <w:highlight w:val="none"/>
        </w:rPr>
        <w:t>据实填写，表格不够自行添加）</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7"/>
        <w:gridCol w:w="1174"/>
      </w:tblGrid>
      <w:tr w14:paraId="45A83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noWrap/>
            <w:vAlign w:val="center"/>
          </w:tcPr>
          <w:p w14:paraId="787BD784">
            <w:pPr>
              <w:jc w:val="center"/>
              <w:rPr>
                <w:rFonts w:ascii="宋体" w:hAnsi="宋体"/>
                <w:color w:val="auto"/>
                <w:sz w:val="24"/>
                <w:highlight w:val="none"/>
              </w:rPr>
            </w:pPr>
            <w:r>
              <w:rPr>
                <w:rFonts w:hint="eastAsia" w:ascii="宋体" w:hAnsi="宋体"/>
                <w:color w:val="auto"/>
                <w:sz w:val="24"/>
                <w:highlight w:val="none"/>
              </w:rPr>
              <w:t>序号</w:t>
            </w:r>
          </w:p>
        </w:tc>
        <w:tc>
          <w:tcPr>
            <w:tcW w:w="2852" w:type="dxa"/>
            <w:noWrap/>
            <w:vAlign w:val="center"/>
          </w:tcPr>
          <w:p w14:paraId="65D7A509">
            <w:pPr>
              <w:jc w:val="center"/>
              <w:rPr>
                <w:rFonts w:ascii="宋体" w:hAnsi="宋体"/>
                <w:color w:val="auto"/>
                <w:sz w:val="24"/>
                <w:highlight w:val="none"/>
              </w:rPr>
            </w:pPr>
            <w:r>
              <w:rPr>
                <w:rFonts w:hint="eastAsia" w:ascii="宋体" w:hAnsi="宋体"/>
                <w:color w:val="auto"/>
                <w:sz w:val="24"/>
                <w:highlight w:val="none"/>
              </w:rPr>
              <w:t>磋商要求</w:t>
            </w:r>
          </w:p>
        </w:tc>
        <w:tc>
          <w:tcPr>
            <w:tcW w:w="2852" w:type="dxa"/>
            <w:noWrap/>
            <w:vAlign w:val="center"/>
          </w:tcPr>
          <w:p w14:paraId="413993AC">
            <w:pPr>
              <w:jc w:val="center"/>
              <w:rPr>
                <w:rFonts w:ascii="宋体" w:hAnsi="宋体"/>
                <w:color w:val="auto"/>
                <w:sz w:val="24"/>
                <w:highlight w:val="none"/>
              </w:rPr>
            </w:pPr>
            <w:r>
              <w:rPr>
                <w:rFonts w:hint="eastAsia" w:ascii="宋体" w:hAnsi="宋体"/>
                <w:color w:val="auto"/>
                <w:sz w:val="24"/>
                <w:highlight w:val="none"/>
              </w:rPr>
              <w:t>磋商响应</w:t>
            </w:r>
          </w:p>
        </w:tc>
        <w:tc>
          <w:tcPr>
            <w:tcW w:w="1307" w:type="dxa"/>
            <w:noWrap/>
            <w:vAlign w:val="center"/>
          </w:tcPr>
          <w:p w14:paraId="282357FE">
            <w:pPr>
              <w:jc w:val="center"/>
              <w:rPr>
                <w:rFonts w:ascii="宋体" w:hAnsi="宋体"/>
                <w:color w:val="auto"/>
                <w:sz w:val="24"/>
                <w:highlight w:val="none"/>
              </w:rPr>
            </w:pPr>
            <w:r>
              <w:rPr>
                <w:rFonts w:hint="eastAsia" w:ascii="宋体" w:hAnsi="宋体"/>
                <w:color w:val="auto"/>
                <w:sz w:val="24"/>
                <w:highlight w:val="none"/>
              </w:rPr>
              <w:t>超出、符合或偏离</w:t>
            </w:r>
          </w:p>
        </w:tc>
        <w:tc>
          <w:tcPr>
            <w:tcW w:w="1174" w:type="dxa"/>
            <w:noWrap/>
            <w:vAlign w:val="center"/>
          </w:tcPr>
          <w:p w14:paraId="600A36C5">
            <w:pPr>
              <w:jc w:val="center"/>
              <w:rPr>
                <w:rFonts w:ascii="宋体" w:hAnsi="宋体"/>
                <w:color w:val="auto"/>
                <w:sz w:val="24"/>
                <w:highlight w:val="none"/>
              </w:rPr>
            </w:pPr>
            <w:r>
              <w:rPr>
                <w:rFonts w:hint="eastAsia" w:ascii="宋体" w:hAnsi="宋体"/>
                <w:color w:val="auto"/>
                <w:sz w:val="24"/>
                <w:highlight w:val="none"/>
              </w:rPr>
              <w:t>原因</w:t>
            </w:r>
          </w:p>
        </w:tc>
      </w:tr>
      <w:tr w14:paraId="1AF8A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14:paraId="3821BDF2">
            <w:pPr>
              <w:jc w:val="center"/>
              <w:rPr>
                <w:rFonts w:ascii="宋体" w:hAnsi="宋体"/>
                <w:color w:val="auto"/>
                <w:sz w:val="24"/>
                <w:highlight w:val="none"/>
              </w:rPr>
            </w:pPr>
          </w:p>
        </w:tc>
        <w:tc>
          <w:tcPr>
            <w:tcW w:w="2852" w:type="dxa"/>
            <w:noWrap/>
          </w:tcPr>
          <w:p w14:paraId="1E053FE9">
            <w:pPr>
              <w:jc w:val="center"/>
              <w:rPr>
                <w:rFonts w:ascii="宋体" w:hAnsi="宋体"/>
                <w:color w:val="auto"/>
                <w:sz w:val="24"/>
                <w:highlight w:val="none"/>
              </w:rPr>
            </w:pPr>
          </w:p>
        </w:tc>
        <w:tc>
          <w:tcPr>
            <w:tcW w:w="2852" w:type="dxa"/>
            <w:noWrap/>
          </w:tcPr>
          <w:p w14:paraId="1456DD8A">
            <w:pPr>
              <w:jc w:val="center"/>
              <w:rPr>
                <w:rFonts w:ascii="宋体" w:hAnsi="宋体"/>
                <w:color w:val="auto"/>
                <w:sz w:val="24"/>
                <w:highlight w:val="none"/>
              </w:rPr>
            </w:pPr>
          </w:p>
        </w:tc>
        <w:tc>
          <w:tcPr>
            <w:tcW w:w="1307" w:type="dxa"/>
            <w:noWrap/>
          </w:tcPr>
          <w:p w14:paraId="2A070448">
            <w:pPr>
              <w:jc w:val="center"/>
              <w:rPr>
                <w:rFonts w:ascii="宋体" w:hAnsi="宋体"/>
                <w:color w:val="auto"/>
                <w:sz w:val="24"/>
                <w:highlight w:val="none"/>
              </w:rPr>
            </w:pPr>
          </w:p>
        </w:tc>
        <w:tc>
          <w:tcPr>
            <w:tcW w:w="1174" w:type="dxa"/>
            <w:noWrap/>
          </w:tcPr>
          <w:p w14:paraId="0A2069FE">
            <w:pPr>
              <w:jc w:val="center"/>
              <w:rPr>
                <w:rFonts w:ascii="宋体" w:hAnsi="宋体"/>
                <w:color w:val="auto"/>
                <w:sz w:val="24"/>
                <w:highlight w:val="none"/>
              </w:rPr>
            </w:pPr>
          </w:p>
        </w:tc>
      </w:tr>
      <w:tr w14:paraId="72C38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14:paraId="221FCDED">
            <w:pPr>
              <w:jc w:val="center"/>
              <w:rPr>
                <w:rFonts w:ascii="宋体" w:hAnsi="宋体"/>
                <w:color w:val="auto"/>
                <w:sz w:val="24"/>
                <w:highlight w:val="none"/>
              </w:rPr>
            </w:pPr>
          </w:p>
        </w:tc>
        <w:tc>
          <w:tcPr>
            <w:tcW w:w="2852" w:type="dxa"/>
            <w:noWrap/>
          </w:tcPr>
          <w:p w14:paraId="52214BF6">
            <w:pPr>
              <w:jc w:val="center"/>
              <w:rPr>
                <w:rFonts w:ascii="宋体" w:hAnsi="宋体"/>
                <w:color w:val="auto"/>
                <w:sz w:val="24"/>
                <w:highlight w:val="none"/>
              </w:rPr>
            </w:pPr>
          </w:p>
        </w:tc>
        <w:tc>
          <w:tcPr>
            <w:tcW w:w="2852" w:type="dxa"/>
            <w:noWrap/>
          </w:tcPr>
          <w:p w14:paraId="0DA36B77">
            <w:pPr>
              <w:jc w:val="center"/>
              <w:rPr>
                <w:rFonts w:ascii="宋体" w:hAnsi="宋体"/>
                <w:color w:val="auto"/>
                <w:sz w:val="24"/>
                <w:highlight w:val="none"/>
              </w:rPr>
            </w:pPr>
          </w:p>
        </w:tc>
        <w:tc>
          <w:tcPr>
            <w:tcW w:w="1307" w:type="dxa"/>
            <w:noWrap/>
          </w:tcPr>
          <w:p w14:paraId="49F3B1A6">
            <w:pPr>
              <w:jc w:val="center"/>
              <w:rPr>
                <w:rFonts w:ascii="宋体" w:hAnsi="宋体"/>
                <w:color w:val="auto"/>
                <w:sz w:val="24"/>
                <w:highlight w:val="none"/>
              </w:rPr>
            </w:pPr>
          </w:p>
        </w:tc>
        <w:tc>
          <w:tcPr>
            <w:tcW w:w="1174" w:type="dxa"/>
            <w:noWrap/>
          </w:tcPr>
          <w:p w14:paraId="6BBD2260">
            <w:pPr>
              <w:jc w:val="center"/>
              <w:rPr>
                <w:rFonts w:ascii="宋体" w:hAnsi="宋体"/>
                <w:color w:val="auto"/>
                <w:sz w:val="24"/>
                <w:highlight w:val="none"/>
              </w:rPr>
            </w:pPr>
          </w:p>
        </w:tc>
      </w:tr>
      <w:tr w14:paraId="21EFE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14:paraId="3E9D9DF4">
            <w:pPr>
              <w:jc w:val="center"/>
              <w:rPr>
                <w:rFonts w:ascii="宋体" w:hAnsi="宋体"/>
                <w:color w:val="auto"/>
                <w:sz w:val="24"/>
                <w:highlight w:val="none"/>
              </w:rPr>
            </w:pPr>
          </w:p>
        </w:tc>
        <w:tc>
          <w:tcPr>
            <w:tcW w:w="2852" w:type="dxa"/>
            <w:noWrap/>
          </w:tcPr>
          <w:p w14:paraId="45E672C0">
            <w:pPr>
              <w:jc w:val="center"/>
              <w:rPr>
                <w:rFonts w:ascii="宋体" w:hAnsi="宋体"/>
                <w:color w:val="auto"/>
                <w:sz w:val="24"/>
                <w:highlight w:val="none"/>
              </w:rPr>
            </w:pPr>
          </w:p>
        </w:tc>
        <w:tc>
          <w:tcPr>
            <w:tcW w:w="2852" w:type="dxa"/>
            <w:noWrap/>
          </w:tcPr>
          <w:p w14:paraId="31E8EC94">
            <w:pPr>
              <w:jc w:val="center"/>
              <w:rPr>
                <w:rFonts w:ascii="宋体" w:hAnsi="宋体"/>
                <w:color w:val="auto"/>
                <w:sz w:val="24"/>
                <w:highlight w:val="none"/>
              </w:rPr>
            </w:pPr>
          </w:p>
        </w:tc>
        <w:tc>
          <w:tcPr>
            <w:tcW w:w="1307" w:type="dxa"/>
            <w:noWrap/>
          </w:tcPr>
          <w:p w14:paraId="23E97690">
            <w:pPr>
              <w:jc w:val="center"/>
              <w:rPr>
                <w:rFonts w:ascii="宋体" w:hAnsi="宋体"/>
                <w:color w:val="auto"/>
                <w:sz w:val="24"/>
                <w:highlight w:val="none"/>
              </w:rPr>
            </w:pPr>
          </w:p>
        </w:tc>
        <w:tc>
          <w:tcPr>
            <w:tcW w:w="1174" w:type="dxa"/>
            <w:noWrap/>
          </w:tcPr>
          <w:p w14:paraId="3D36D287">
            <w:pPr>
              <w:jc w:val="center"/>
              <w:rPr>
                <w:rFonts w:ascii="宋体" w:hAnsi="宋体"/>
                <w:color w:val="auto"/>
                <w:sz w:val="24"/>
                <w:highlight w:val="none"/>
              </w:rPr>
            </w:pPr>
          </w:p>
        </w:tc>
      </w:tr>
      <w:tr w14:paraId="19DBE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14:paraId="105FC920">
            <w:pPr>
              <w:jc w:val="center"/>
              <w:rPr>
                <w:rFonts w:ascii="宋体" w:hAnsi="宋体"/>
                <w:color w:val="auto"/>
                <w:sz w:val="24"/>
                <w:highlight w:val="none"/>
              </w:rPr>
            </w:pPr>
          </w:p>
        </w:tc>
        <w:tc>
          <w:tcPr>
            <w:tcW w:w="2852" w:type="dxa"/>
            <w:noWrap/>
          </w:tcPr>
          <w:p w14:paraId="74A25676">
            <w:pPr>
              <w:jc w:val="center"/>
              <w:rPr>
                <w:rFonts w:ascii="宋体" w:hAnsi="宋体"/>
                <w:color w:val="auto"/>
                <w:sz w:val="24"/>
                <w:highlight w:val="none"/>
              </w:rPr>
            </w:pPr>
          </w:p>
        </w:tc>
        <w:tc>
          <w:tcPr>
            <w:tcW w:w="2852" w:type="dxa"/>
            <w:noWrap/>
          </w:tcPr>
          <w:p w14:paraId="0D1644F9">
            <w:pPr>
              <w:jc w:val="center"/>
              <w:rPr>
                <w:rFonts w:ascii="宋体" w:hAnsi="宋体"/>
                <w:color w:val="auto"/>
                <w:sz w:val="24"/>
                <w:highlight w:val="none"/>
              </w:rPr>
            </w:pPr>
          </w:p>
        </w:tc>
        <w:tc>
          <w:tcPr>
            <w:tcW w:w="1307" w:type="dxa"/>
            <w:noWrap/>
          </w:tcPr>
          <w:p w14:paraId="4A5D486C">
            <w:pPr>
              <w:jc w:val="center"/>
              <w:rPr>
                <w:rFonts w:ascii="宋体" w:hAnsi="宋体"/>
                <w:color w:val="auto"/>
                <w:sz w:val="24"/>
                <w:highlight w:val="none"/>
              </w:rPr>
            </w:pPr>
          </w:p>
        </w:tc>
        <w:tc>
          <w:tcPr>
            <w:tcW w:w="1174" w:type="dxa"/>
            <w:noWrap/>
          </w:tcPr>
          <w:p w14:paraId="5BF2CEE2">
            <w:pPr>
              <w:jc w:val="center"/>
              <w:rPr>
                <w:rFonts w:ascii="宋体" w:hAnsi="宋体"/>
                <w:color w:val="auto"/>
                <w:sz w:val="24"/>
                <w:highlight w:val="none"/>
              </w:rPr>
            </w:pPr>
          </w:p>
        </w:tc>
      </w:tr>
      <w:tr w14:paraId="54D6C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14:paraId="3D1ABD7D">
            <w:pPr>
              <w:jc w:val="center"/>
              <w:rPr>
                <w:rFonts w:ascii="宋体" w:hAnsi="宋体"/>
                <w:color w:val="auto"/>
                <w:sz w:val="24"/>
                <w:highlight w:val="none"/>
              </w:rPr>
            </w:pPr>
          </w:p>
        </w:tc>
        <w:tc>
          <w:tcPr>
            <w:tcW w:w="2852" w:type="dxa"/>
            <w:noWrap/>
          </w:tcPr>
          <w:p w14:paraId="3C7DA884">
            <w:pPr>
              <w:jc w:val="center"/>
              <w:rPr>
                <w:rFonts w:ascii="宋体" w:hAnsi="宋体"/>
                <w:color w:val="auto"/>
                <w:sz w:val="24"/>
                <w:highlight w:val="none"/>
              </w:rPr>
            </w:pPr>
          </w:p>
        </w:tc>
        <w:tc>
          <w:tcPr>
            <w:tcW w:w="2852" w:type="dxa"/>
            <w:noWrap/>
          </w:tcPr>
          <w:p w14:paraId="1646F9B6">
            <w:pPr>
              <w:jc w:val="center"/>
              <w:rPr>
                <w:rFonts w:ascii="宋体" w:hAnsi="宋体"/>
                <w:color w:val="auto"/>
                <w:sz w:val="24"/>
                <w:highlight w:val="none"/>
              </w:rPr>
            </w:pPr>
          </w:p>
        </w:tc>
        <w:tc>
          <w:tcPr>
            <w:tcW w:w="1307" w:type="dxa"/>
            <w:noWrap/>
          </w:tcPr>
          <w:p w14:paraId="22179E99">
            <w:pPr>
              <w:jc w:val="center"/>
              <w:rPr>
                <w:rFonts w:ascii="宋体" w:hAnsi="宋体"/>
                <w:color w:val="auto"/>
                <w:sz w:val="24"/>
                <w:highlight w:val="none"/>
              </w:rPr>
            </w:pPr>
          </w:p>
        </w:tc>
        <w:tc>
          <w:tcPr>
            <w:tcW w:w="1174" w:type="dxa"/>
            <w:noWrap/>
          </w:tcPr>
          <w:p w14:paraId="356F1FE9">
            <w:pPr>
              <w:jc w:val="center"/>
              <w:rPr>
                <w:rFonts w:ascii="宋体" w:hAnsi="宋体"/>
                <w:color w:val="auto"/>
                <w:sz w:val="24"/>
                <w:highlight w:val="none"/>
              </w:rPr>
            </w:pPr>
          </w:p>
        </w:tc>
      </w:tr>
      <w:tr w14:paraId="01216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14:paraId="39212D1E">
            <w:pPr>
              <w:jc w:val="center"/>
              <w:rPr>
                <w:rFonts w:ascii="宋体" w:hAnsi="宋体"/>
                <w:color w:val="auto"/>
                <w:sz w:val="24"/>
                <w:highlight w:val="none"/>
              </w:rPr>
            </w:pPr>
          </w:p>
        </w:tc>
        <w:tc>
          <w:tcPr>
            <w:tcW w:w="2852" w:type="dxa"/>
            <w:noWrap/>
          </w:tcPr>
          <w:p w14:paraId="2FDDD072">
            <w:pPr>
              <w:jc w:val="center"/>
              <w:rPr>
                <w:rFonts w:ascii="宋体" w:hAnsi="宋体"/>
                <w:color w:val="auto"/>
                <w:sz w:val="24"/>
                <w:highlight w:val="none"/>
              </w:rPr>
            </w:pPr>
          </w:p>
        </w:tc>
        <w:tc>
          <w:tcPr>
            <w:tcW w:w="2852" w:type="dxa"/>
            <w:noWrap/>
          </w:tcPr>
          <w:p w14:paraId="35E41CCC">
            <w:pPr>
              <w:jc w:val="center"/>
              <w:rPr>
                <w:rFonts w:ascii="宋体" w:hAnsi="宋体"/>
                <w:color w:val="auto"/>
                <w:sz w:val="24"/>
                <w:highlight w:val="none"/>
              </w:rPr>
            </w:pPr>
          </w:p>
        </w:tc>
        <w:tc>
          <w:tcPr>
            <w:tcW w:w="1307" w:type="dxa"/>
            <w:noWrap/>
          </w:tcPr>
          <w:p w14:paraId="2BA6FBE2">
            <w:pPr>
              <w:jc w:val="center"/>
              <w:rPr>
                <w:rFonts w:ascii="宋体" w:hAnsi="宋体"/>
                <w:color w:val="auto"/>
                <w:sz w:val="24"/>
                <w:highlight w:val="none"/>
              </w:rPr>
            </w:pPr>
          </w:p>
        </w:tc>
        <w:tc>
          <w:tcPr>
            <w:tcW w:w="1174" w:type="dxa"/>
            <w:noWrap/>
          </w:tcPr>
          <w:p w14:paraId="598D467A">
            <w:pPr>
              <w:jc w:val="center"/>
              <w:rPr>
                <w:rFonts w:ascii="宋体" w:hAnsi="宋体"/>
                <w:color w:val="auto"/>
                <w:sz w:val="24"/>
                <w:highlight w:val="none"/>
              </w:rPr>
            </w:pPr>
          </w:p>
        </w:tc>
      </w:tr>
      <w:tr w14:paraId="69EAA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14:paraId="08819717">
            <w:pPr>
              <w:jc w:val="center"/>
              <w:rPr>
                <w:rFonts w:ascii="宋体" w:hAnsi="宋体"/>
                <w:color w:val="auto"/>
                <w:sz w:val="24"/>
                <w:highlight w:val="none"/>
              </w:rPr>
            </w:pPr>
          </w:p>
        </w:tc>
        <w:tc>
          <w:tcPr>
            <w:tcW w:w="2852" w:type="dxa"/>
            <w:noWrap/>
          </w:tcPr>
          <w:p w14:paraId="3B104595">
            <w:pPr>
              <w:jc w:val="center"/>
              <w:rPr>
                <w:rFonts w:ascii="宋体" w:hAnsi="宋体"/>
                <w:color w:val="auto"/>
                <w:sz w:val="24"/>
                <w:highlight w:val="none"/>
              </w:rPr>
            </w:pPr>
          </w:p>
        </w:tc>
        <w:tc>
          <w:tcPr>
            <w:tcW w:w="2852" w:type="dxa"/>
            <w:noWrap/>
          </w:tcPr>
          <w:p w14:paraId="5050D934">
            <w:pPr>
              <w:jc w:val="center"/>
              <w:rPr>
                <w:rFonts w:ascii="宋体" w:hAnsi="宋体"/>
                <w:color w:val="auto"/>
                <w:sz w:val="24"/>
                <w:highlight w:val="none"/>
              </w:rPr>
            </w:pPr>
          </w:p>
        </w:tc>
        <w:tc>
          <w:tcPr>
            <w:tcW w:w="1307" w:type="dxa"/>
            <w:noWrap/>
          </w:tcPr>
          <w:p w14:paraId="770A7329">
            <w:pPr>
              <w:jc w:val="center"/>
              <w:rPr>
                <w:rFonts w:ascii="宋体" w:hAnsi="宋体"/>
                <w:color w:val="auto"/>
                <w:sz w:val="24"/>
                <w:highlight w:val="none"/>
              </w:rPr>
            </w:pPr>
          </w:p>
        </w:tc>
        <w:tc>
          <w:tcPr>
            <w:tcW w:w="1174" w:type="dxa"/>
            <w:noWrap/>
          </w:tcPr>
          <w:p w14:paraId="07E4D84F">
            <w:pPr>
              <w:jc w:val="center"/>
              <w:rPr>
                <w:rFonts w:ascii="宋体" w:hAnsi="宋体"/>
                <w:color w:val="auto"/>
                <w:sz w:val="24"/>
                <w:highlight w:val="none"/>
              </w:rPr>
            </w:pPr>
          </w:p>
        </w:tc>
      </w:tr>
      <w:tr w14:paraId="234E3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14:paraId="0F523B09">
            <w:pPr>
              <w:jc w:val="center"/>
              <w:rPr>
                <w:rFonts w:ascii="宋体" w:hAnsi="宋体"/>
                <w:color w:val="auto"/>
                <w:sz w:val="24"/>
                <w:highlight w:val="none"/>
              </w:rPr>
            </w:pPr>
          </w:p>
        </w:tc>
        <w:tc>
          <w:tcPr>
            <w:tcW w:w="2852" w:type="dxa"/>
            <w:noWrap/>
          </w:tcPr>
          <w:p w14:paraId="0A62E1B9">
            <w:pPr>
              <w:jc w:val="center"/>
              <w:rPr>
                <w:rFonts w:ascii="宋体" w:hAnsi="宋体"/>
                <w:color w:val="auto"/>
                <w:sz w:val="24"/>
                <w:highlight w:val="none"/>
              </w:rPr>
            </w:pPr>
          </w:p>
        </w:tc>
        <w:tc>
          <w:tcPr>
            <w:tcW w:w="2852" w:type="dxa"/>
            <w:noWrap/>
          </w:tcPr>
          <w:p w14:paraId="30D25DBA">
            <w:pPr>
              <w:jc w:val="center"/>
              <w:rPr>
                <w:rFonts w:ascii="宋体" w:hAnsi="宋体"/>
                <w:color w:val="auto"/>
                <w:sz w:val="24"/>
                <w:highlight w:val="none"/>
              </w:rPr>
            </w:pPr>
          </w:p>
        </w:tc>
        <w:tc>
          <w:tcPr>
            <w:tcW w:w="1307" w:type="dxa"/>
            <w:noWrap/>
          </w:tcPr>
          <w:p w14:paraId="7D44DA5B">
            <w:pPr>
              <w:jc w:val="center"/>
              <w:rPr>
                <w:rFonts w:ascii="宋体" w:hAnsi="宋体"/>
                <w:color w:val="auto"/>
                <w:sz w:val="24"/>
                <w:highlight w:val="none"/>
              </w:rPr>
            </w:pPr>
          </w:p>
        </w:tc>
        <w:tc>
          <w:tcPr>
            <w:tcW w:w="1174" w:type="dxa"/>
            <w:noWrap/>
          </w:tcPr>
          <w:p w14:paraId="7B2A86BB">
            <w:pPr>
              <w:jc w:val="center"/>
              <w:rPr>
                <w:rFonts w:ascii="宋体" w:hAnsi="宋体"/>
                <w:color w:val="auto"/>
                <w:sz w:val="24"/>
                <w:highlight w:val="none"/>
              </w:rPr>
            </w:pPr>
          </w:p>
        </w:tc>
      </w:tr>
    </w:tbl>
    <w:p w14:paraId="101A3D8A">
      <w:pPr>
        <w:spacing w:line="480" w:lineRule="exact"/>
        <w:rPr>
          <w:rFonts w:ascii="宋体" w:hAnsi="宋体"/>
          <w:color w:val="auto"/>
          <w:sz w:val="24"/>
          <w:highlight w:val="none"/>
        </w:rPr>
      </w:pPr>
    </w:p>
    <w:p w14:paraId="1FD2CA88">
      <w:pPr>
        <w:kinsoku w:val="0"/>
        <w:topLinePunct/>
        <w:snapToGrid w:val="0"/>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供应商：（盖章）             </w:t>
      </w:r>
    </w:p>
    <w:p w14:paraId="76439582">
      <w:pPr>
        <w:kinsoku w:val="0"/>
        <w:topLinePunct/>
        <w:snapToGrid w:val="0"/>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法定代表人或被授权人（签字或盖章）：</w:t>
      </w:r>
    </w:p>
    <w:p w14:paraId="4CC89699">
      <w:pPr>
        <w:kinsoku w:val="0"/>
        <w:topLinePunct/>
        <w:snapToGrid w:val="0"/>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日期：</w:t>
      </w:r>
    </w:p>
    <w:p w14:paraId="47ED5C58">
      <w:pPr>
        <w:rPr>
          <w:rFonts w:ascii="宋体" w:hAnsi="宋体"/>
          <w:color w:val="auto"/>
          <w:sz w:val="24"/>
          <w:highlight w:val="none"/>
        </w:rPr>
      </w:pPr>
    </w:p>
    <w:p w14:paraId="3BB73A33">
      <w:pPr>
        <w:spacing w:line="480" w:lineRule="exact"/>
        <w:rPr>
          <w:rFonts w:ascii="宋体" w:hAnsi="宋体"/>
          <w:color w:val="auto"/>
          <w:sz w:val="24"/>
          <w:highlight w:val="none"/>
        </w:rPr>
      </w:pPr>
    </w:p>
    <w:p w14:paraId="6661FD20">
      <w:pPr>
        <w:snapToGrid w:val="0"/>
        <w:spacing w:line="300" w:lineRule="auto"/>
        <w:contextualSpacing/>
        <w:rPr>
          <w:b/>
          <w:color w:val="auto"/>
          <w:sz w:val="24"/>
          <w:highlight w:val="none"/>
        </w:rPr>
      </w:pPr>
      <w:r>
        <w:rPr>
          <w:b/>
          <w:color w:val="auto"/>
          <w:sz w:val="24"/>
          <w:highlight w:val="none"/>
        </w:rPr>
        <w:t>注：</w:t>
      </w:r>
    </w:p>
    <w:p w14:paraId="416A959E">
      <w:pPr>
        <w:snapToGrid w:val="0"/>
        <w:spacing w:line="300" w:lineRule="auto"/>
        <w:ind w:firstLine="480" w:firstLineChars="200"/>
        <w:contextualSpacing/>
        <w:rPr>
          <w:color w:val="auto"/>
          <w:sz w:val="24"/>
          <w:highlight w:val="none"/>
        </w:rPr>
      </w:pPr>
      <w:r>
        <w:rPr>
          <w:color w:val="auto"/>
          <w:sz w:val="24"/>
          <w:highlight w:val="none"/>
        </w:rPr>
        <w:t>1.</w:t>
      </w:r>
      <w:r>
        <w:rPr>
          <w:rFonts w:hint="eastAsia"/>
          <w:color w:val="auto"/>
          <w:sz w:val="24"/>
          <w:highlight w:val="none"/>
          <w:lang w:val="en-US" w:eastAsia="zh-CN"/>
        </w:rPr>
        <w:t>供应商</w:t>
      </w:r>
      <w:r>
        <w:rPr>
          <w:color w:val="auto"/>
          <w:sz w:val="24"/>
          <w:highlight w:val="none"/>
        </w:rPr>
        <w:t>提交的</w:t>
      </w:r>
      <w:r>
        <w:rPr>
          <w:rFonts w:hint="eastAsia"/>
          <w:color w:val="auto"/>
          <w:sz w:val="24"/>
          <w:highlight w:val="none"/>
          <w:lang w:val="en-US" w:eastAsia="zh-CN"/>
        </w:rPr>
        <w:t>响应</w:t>
      </w:r>
      <w:r>
        <w:rPr>
          <w:color w:val="auto"/>
          <w:sz w:val="24"/>
          <w:highlight w:val="none"/>
        </w:rPr>
        <w:t>文件中与</w:t>
      </w:r>
      <w:r>
        <w:rPr>
          <w:rFonts w:hint="eastAsia"/>
          <w:color w:val="auto"/>
          <w:sz w:val="24"/>
          <w:highlight w:val="none"/>
          <w:lang w:val="en-US" w:eastAsia="zh-CN"/>
        </w:rPr>
        <w:t>采购</w:t>
      </w:r>
      <w:r>
        <w:rPr>
          <w:color w:val="auto"/>
          <w:sz w:val="24"/>
          <w:highlight w:val="none"/>
        </w:rPr>
        <w:t>文件第三部分“项目需求”中的技术部分的要求，应逐条填列在偏离表中。</w:t>
      </w:r>
    </w:p>
    <w:p w14:paraId="02AA2190">
      <w:pPr>
        <w:snapToGrid w:val="0"/>
        <w:spacing w:line="300" w:lineRule="auto"/>
        <w:ind w:firstLine="480" w:firstLineChars="200"/>
        <w:contextualSpacing/>
        <w:rPr>
          <w:color w:val="auto"/>
          <w:sz w:val="24"/>
          <w:highlight w:val="none"/>
        </w:rPr>
      </w:pPr>
      <w:r>
        <w:rPr>
          <w:color w:val="auto"/>
          <w:sz w:val="24"/>
          <w:highlight w:val="none"/>
        </w:rPr>
        <w:t>2. “偏离说明”一栏选择“正偏离”、“无偏离”、“负偏离”进行填写。正偏离、无偏离的确认和负偏离的是否响应</w:t>
      </w:r>
      <w:r>
        <w:rPr>
          <w:rFonts w:hint="eastAsia"/>
          <w:color w:val="auto"/>
          <w:sz w:val="24"/>
          <w:highlight w:val="none"/>
          <w:lang w:val="en-US" w:eastAsia="zh-CN"/>
        </w:rPr>
        <w:t>采购</w:t>
      </w:r>
      <w:r>
        <w:rPr>
          <w:color w:val="auto"/>
          <w:sz w:val="24"/>
          <w:highlight w:val="none"/>
        </w:rPr>
        <w:t>文件，由评委认定。</w:t>
      </w:r>
    </w:p>
    <w:p w14:paraId="263C2980">
      <w:pPr>
        <w:snapToGrid w:val="0"/>
        <w:spacing w:line="300" w:lineRule="auto"/>
        <w:ind w:firstLine="480" w:firstLineChars="200"/>
        <w:contextualSpacing/>
        <w:rPr>
          <w:color w:val="auto"/>
          <w:sz w:val="24"/>
          <w:highlight w:val="none"/>
        </w:rPr>
      </w:pPr>
      <w:r>
        <w:rPr>
          <w:color w:val="auto"/>
          <w:sz w:val="24"/>
          <w:highlight w:val="none"/>
        </w:rPr>
        <w:t>3.所投品牌型号，必须确定、唯一。</w:t>
      </w:r>
    </w:p>
    <w:p w14:paraId="4B599361">
      <w:pPr>
        <w:snapToGrid w:val="0"/>
        <w:spacing w:line="300" w:lineRule="auto"/>
        <w:ind w:firstLine="480" w:firstLineChars="200"/>
        <w:contextualSpacing/>
        <w:rPr>
          <w:bCs/>
          <w:color w:val="auto"/>
          <w:sz w:val="24"/>
          <w:highlight w:val="none"/>
        </w:rPr>
      </w:pPr>
      <w:r>
        <w:rPr>
          <w:bCs/>
          <w:color w:val="auto"/>
          <w:sz w:val="24"/>
          <w:highlight w:val="none"/>
        </w:rPr>
        <w:t>4.供应商若提供其他增值服务，可以在表中自行据实填写。</w:t>
      </w:r>
    </w:p>
    <w:p w14:paraId="4DD73635">
      <w:pPr>
        <w:snapToGrid w:val="0"/>
        <w:spacing w:line="300" w:lineRule="auto"/>
        <w:ind w:firstLine="482" w:firstLineChars="200"/>
        <w:contextualSpacing/>
        <w:rPr>
          <w:rFonts w:hint="default" w:eastAsia="宋体"/>
          <w:b/>
          <w:bCs w:val="0"/>
          <w:color w:val="auto"/>
          <w:sz w:val="24"/>
          <w:highlight w:val="none"/>
          <w:lang w:val="en-US" w:eastAsia="zh-CN"/>
        </w:rPr>
      </w:pPr>
      <w:r>
        <w:rPr>
          <w:rFonts w:hint="eastAsia"/>
          <w:b/>
          <w:bCs w:val="0"/>
          <w:color w:val="auto"/>
          <w:sz w:val="24"/>
          <w:highlight w:val="none"/>
          <w:lang w:val="en-US" w:eastAsia="zh-CN"/>
        </w:rPr>
        <w:t>5.</w:t>
      </w:r>
      <w:r>
        <w:rPr>
          <w:rFonts w:hint="eastAsia" w:ascii="宋体" w:hAnsi="宋体" w:cs="宋体"/>
          <w:b/>
          <w:bCs w:val="0"/>
          <w:color w:val="auto"/>
          <w:sz w:val="24"/>
          <w:highlight w:val="none"/>
        </w:rPr>
        <w:t>技术部分</w:t>
      </w:r>
      <w:r>
        <w:rPr>
          <w:rFonts w:hint="eastAsia" w:ascii="宋体" w:hAnsi="宋体" w:cs="宋体"/>
          <w:b/>
          <w:bCs w:val="0"/>
          <w:color w:val="auto"/>
          <w:sz w:val="24"/>
          <w:highlight w:val="none"/>
          <w:lang w:val="en-US" w:eastAsia="zh-CN"/>
        </w:rPr>
        <w:t>未在此表明示的内容</w:t>
      </w:r>
      <w:r>
        <w:rPr>
          <w:rFonts w:hint="eastAsia"/>
          <w:b/>
          <w:bCs w:val="0"/>
          <w:color w:val="auto"/>
          <w:sz w:val="24"/>
          <w:highlight w:val="none"/>
        </w:rPr>
        <w:t>视同完全响应</w:t>
      </w:r>
      <w:r>
        <w:rPr>
          <w:rFonts w:hint="eastAsia"/>
          <w:b/>
          <w:bCs w:val="0"/>
          <w:color w:val="auto"/>
          <w:sz w:val="24"/>
          <w:highlight w:val="none"/>
          <w:lang w:eastAsia="zh-CN"/>
        </w:rPr>
        <w:t>。</w:t>
      </w:r>
    </w:p>
    <w:p w14:paraId="78F36C81">
      <w:pPr>
        <w:spacing w:line="480" w:lineRule="exact"/>
        <w:ind w:firstLine="960" w:firstLineChars="400"/>
        <w:rPr>
          <w:rFonts w:ascii="宋体" w:hAnsi="宋体"/>
          <w:color w:val="auto"/>
          <w:sz w:val="24"/>
          <w:highlight w:val="none"/>
        </w:rPr>
      </w:pPr>
    </w:p>
    <w:p w14:paraId="2FCB59F8">
      <w:pPr>
        <w:spacing w:line="360" w:lineRule="auto"/>
        <w:jc w:val="center"/>
        <w:rPr>
          <w:rFonts w:ascii="宋体" w:hAnsi="宋体"/>
          <w:b/>
          <w:color w:val="auto"/>
          <w:sz w:val="32"/>
          <w:szCs w:val="32"/>
          <w:highlight w:val="none"/>
        </w:rPr>
      </w:pPr>
      <w:r>
        <w:rPr>
          <w:rFonts w:ascii="宋体" w:hAnsi="宋体" w:cs="宋体"/>
          <w:b/>
          <w:bCs/>
          <w:color w:val="auto"/>
          <w:sz w:val="24"/>
          <w:highlight w:val="none"/>
        </w:rPr>
        <w:br w:type="page"/>
      </w:r>
      <w:r>
        <w:rPr>
          <w:rFonts w:hint="eastAsia" w:ascii="宋体" w:hAnsi="宋体" w:cs="宋体"/>
          <w:b/>
          <w:bCs/>
          <w:color w:val="auto"/>
          <w:sz w:val="24"/>
          <w:highlight w:val="none"/>
        </w:rPr>
        <w:t>3、商务部分正负偏离表</w:t>
      </w:r>
    </w:p>
    <w:p w14:paraId="6C02907B">
      <w:pPr>
        <w:jc w:val="center"/>
        <w:rPr>
          <w:rFonts w:ascii="宋体" w:hAnsi="宋体"/>
          <w:color w:val="auto"/>
          <w:sz w:val="24"/>
          <w:highlight w:val="none"/>
        </w:rPr>
      </w:pPr>
    </w:p>
    <w:p w14:paraId="104F053B">
      <w:pPr>
        <w:jc w:val="center"/>
        <w:rPr>
          <w:rFonts w:ascii="宋体" w:hAnsi="宋体"/>
          <w:color w:val="auto"/>
          <w:sz w:val="24"/>
          <w:highlight w:val="none"/>
        </w:rPr>
      </w:pPr>
      <w:r>
        <w:rPr>
          <w:color w:val="auto"/>
          <w:sz w:val="28"/>
          <w:szCs w:val="28"/>
          <w:highlight w:val="none"/>
        </w:rPr>
        <w:t>（由</w:t>
      </w:r>
      <w:r>
        <w:rPr>
          <w:rFonts w:hint="eastAsia"/>
          <w:color w:val="auto"/>
          <w:sz w:val="28"/>
          <w:szCs w:val="28"/>
          <w:highlight w:val="none"/>
          <w:lang w:val="en-US" w:eastAsia="zh-CN"/>
        </w:rPr>
        <w:t>供应商</w:t>
      </w:r>
      <w:r>
        <w:rPr>
          <w:color w:val="auto"/>
          <w:sz w:val="28"/>
          <w:szCs w:val="28"/>
          <w:highlight w:val="none"/>
        </w:rPr>
        <w:t>据实填写，表格不够自行添加）</w:t>
      </w:r>
    </w:p>
    <w:tbl>
      <w:tblPr>
        <w:tblStyle w:val="16"/>
        <w:tblW w:w="861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31"/>
        <w:gridCol w:w="3327"/>
        <w:gridCol w:w="1198"/>
        <w:gridCol w:w="2262"/>
      </w:tblGrid>
      <w:tr w14:paraId="74CB95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1831" w:type="dxa"/>
            <w:tcBorders>
              <w:top w:val="single" w:color="auto" w:sz="4" w:space="0"/>
              <w:left w:val="single" w:color="auto" w:sz="4" w:space="0"/>
              <w:bottom w:val="single" w:color="auto" w:sz="4" w:space="0"/>
              <w:right w:val="single" w:color="auto" w:sz="4" w:space="0"/>
            </w:tcBorders>
            <w:noWrap/>
            <w:vAlign w:val="center"/>
          </w:tcPr>
          <w:p w14:paraId="3968D2F5">
            <w:pPr>
              <w:snapToGrid w:val="0"/>
              <w:spacing w:beforeLines="50"/>
              <w:jc w:val="center"/>
              <w:rPr>
                <w:rFonts w:ascii="仿宋_GB2312" w:hAnsi="宋体" w:eastAsia="仿宋_GB2312"/>
                <w:color w:val="auto"/>
                <w:sz w:val="24"/>
                <w:szCs w:val="20"/>
                <w:highlight w:val="none"/>
              </w:rPr>
            </w:pPr>
            <w:r>
              <w:rPr>
                <w:rFonts w:hint="eastAsia" w:ascii="仿宋_GB2312" w:hAnsi="宋体"/>
                <w:color w:val="auto"/>
                <w:sz w:val="24"/>
                <w:szCs w:val="21"/>
                <w:highlight w:val="none"/>
              </w:rPr>
              <w:t>项目</w:t>
            </w:r>
          </w:p>
        </w:tc>
        <w:tc>
          <w:tcPr>
            <w:tcW w:w="3327" w:type="dxa"/>
            <w:tcBorders>
              <w:top w:val="single" w:color="auto" w:sz="4" w:space="0"/>
              <w:left w:val="single" w:color="auto" w:sz="4" w:space="0"/>
              <w:bottom w:val="single" w:color="auto" w:sz="4" w:space="0"/>
              <w:right w:val="single" w:color="auto" w:sz="4" w:space="0"/>
            </w:tcBorders>
            <w:noWrap/>
          </w:tcPr>
          <w:p w14:paraId="28FC9B59">
            <w:pPr>
              <w:snapToGrid w:val="0"/>
              <w:spacing w:beforeLines="50"/>
              <w:jc w:val="center"/>
              <w:rPr>
                <w:rFonts w:ascii="仿宋_GB2312" w:hAnsi="宋体" w:eastAsia="仿宋_GB2312"/>
                <w:color w:val="auto"/>
                <w:sz w:val="24"/>
                <w:szCs w:val="20"/>
                <w:highlight w:val="none"/>
              </w:rPr>
            </w:pPr>
            <w:r>
              <w:rPr>
                <w:rFonts w:hint="eastAsia" w:ascii="仿宋_GB2312" w:hAnsi="宋体"/>
                <w:color w:val="auto"/>
                <w:sz w:val="24"/>
                <w:szCs w:val="21"/>
                <w:highlight w:val="none"/>
              </w:rPr>
              <w:t>竞争性磋商文件要求</w:t>
            </w:r>
          </w:p>
        </w:tc>
        <w:tc>
          <w:tcPr>
            <w:tcW w:w="1198" w:type="dxa"/>
            <w:tcBorders>
              <w:top w:val="single" w:color="auto" w:sz="4" w:space="0"/>
              <w:left w:val="single" w:color="auto" w:sz="4" w:space="0"/>
              <w:bottom w:val="single" w:color="auto" w:sz="4" w:space="0"/>
              <w:right w:val="single" w:color="auto" w:sz="4" w:space="0"/>
            </w:tcBorders>
            <w:noWrap/>
          </w:tcPr>
          <w:p w14:paraId="011CAD42">
            <w:pPr>
              <w:snapToGrid w:val="0"/>
              <w:spacing w:beforeLines="50"/>
              <w:jc w:val="center"/>
              <w:rPr>
                <w:rFonts w:ascii="仿宋_GB2312" w:hAnsi="宋体" w:eastAsia="仿宋_GB2312"/>
                <w:color w:val="auto"/>
                <w:sz w:val="24"/>
                <w:szCs w:val="20"/>
                <w:highlight w:val="none"/>
              </w:rPr>
            </w:pPr>
            <w:r>
              <w:rPr>
                <w:rFonts w:hint="eastAsia" w:ascii="仿宋_GB2312" w:hAnsi="宋体"/>
                <w:color w:val="auto"/>
                <w:sz w:val="24"/>
                <w:szCs w:val="21"/>
                <w:highlight w:val="none"/>
              </w:rPr>
              <w:t>是否响应</w:t>
            </w:r>
          </w:p>
        </w:tc>
        <w:tc>
          <w:tcPr>
            <w:tcW w:w="2262" w:type="dxa"/>
            <w:tcBorders>
              <w:top w:val="single" w:color="auto" w:sz="4" w:space="0"/>
              <w:left w:val="single" w:color="auto" w:sz="4" w:space="0"/>
              <w:bottom w:val="single" w:color="auto" w:sz="4" w:space="0"/>
              <w:right w:val="single" w:color="auto" w:sz="4" w:space="0"/>
            </w:tcBorders>
            <w:noWrap/>
          </w:tcPr>
          <w:p w14:paraId="030E7219">
            <w:pPr>
              <w:snapToGrid w:val="0"/>
              <w:spacing w:beforeLines="50"/>
              <w:jc w:val="center"/>
              <w:rPr>
                <w:rFonts w:ascii="仿宋_GB2312" w:hAnsi="宋体" w:eastAsia="仿宋_GB2312"/>
                <w:color w:val="auto"/>
                <w:sz w:val="24"/>
                <w:szCs w:val="20"/>
                <w:highlight w:val="none"/>
              </w:rPr>
            </w:pPr>
            <w:r>
              <w:rPr>
                <w:rFonts w:hint="eastAsia" w:ascii="仿宋_GB2312" w:hAnsi="宋体"/>
                <w:color w:val="auto"/>
                <w:sz w:val="24"/>
                <w:szCs w:val="21"/>
                <w:highlight w:val="none"/>
              </w:rPr>
              <w:t>供应商的承诺或说明</w:t>
            </w:r>
          </w:p>
        </w:tc>
      </w:tr>
      <w:tr w14:paraId="780D12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1831" w:type="dxa"/>
            <w:tcBorders>
              <w:top w:val="single" w:color="auto" w:sz="4" w:space="0"/>
              <w:left w:val="single" w:color="auto" w:sz="4" w:space="0"/>
              <w:bottom w:val="single" w:color="auto" w:sz="4" w:space="0"/>
              <w:right w:val="single" w:color="auto" w:sz="4" w:space="0"/>
            </w:tcBorders>
            <w:noWrap/>
            <w:vAlign w:val="top"/>
          </w:tcPr>
          <w:p w14:paraId="7F8ED96C">
            <w:pPr>
              <w:spacing w:line="340" w:lineRule="exact"/>
              <w:jc w:val="center"/>
              <w:rPr>
                <w:rFonts w:ascii="仿宋_GB2312" w:hAnsi="宋体" w:eastAsia="仿宋_GB2312"/>
                <w:color w:val="auto"/>
                <w:sz w:val="24"/>
                <w:szCs w:val="20"/>
                <w:highlight w:val="none"/>
              </w:rPr>
            </w:pPr>
            <w:r>
              <w:rPr>
                <w:color w:val="auto"/>
                <w:sz w:val="24"/>
                <w:highlight w:val="none"/>
              </w:rPr>
              <w:t>1</w:t>
            </w:r>
          </w:p>
        </w:tc>
        <w:tc>
          <w:tcPr>
            <w:tcW w:w="3327" w:type="dxa"/>
            <w:tcBorders>
              <w:top w:val="single" w:color="auto" w:sz="4" w:space="0"/>
              <w:left w:val="single" w:color="auto" w:sz="4" w:space="0"/>
              <w:bottom w:val="single" w:color="auto" w:sz="4" w:space="0"/>
              <w:right w:val="single" w:color="auto" w:sz="4" w:space="0"/>
            </w:tcBorders>
            <w:noWrap/>
          </w:tcPr>
          <w:p w14:paraId="0CAA9A46">
            <w:pPr>
              <w:snapToGrid w:val="0"/>
              <w:spacing w:beforeLines="50"/>
              <w:rPr>
                <w:rFonts w:ascii="仿宋_GB2312" w:hAnsi="宋体" w:eastAsia="仿宋_GB2312"/>
                <w:color w:val="auto"/>
                <w:sz w:val="24"/>
                <w:szCs w:val="20"/>
                <w:highlight w:val="none"/>
              </w:rPr>
            </w:pPr>
          </w:p>
        </w:tc>
        <w:tc>
          <w:tcPr>
            <w:tcW w:w="1198" w:type="dxa"/>
            <w:tcBorders>
              <w:top w:val="single" w:color="auto" w:sz="4" w:space="0"/>
              <w:left w:val="single" w:color="auto" w:sz="4" w:space="0"/>
              <w:bottom w:val="single" w:color="auto" w:sz="4" w:space="0"/>
              <w:right w:val="single" w:color="auto" w:sz="4" w:space="0"/>
            </w:tcBorders>
            <w:noWrap/>
          </w:tcPr>
          <w:p w14:paraId="2B2083BC">
            <w:pPr>
              <w:snapToGrid w:val="0"/>
              <w:spacing w:beforeLines="50"/>
              <w:rPr>
                <w:rFonts w:ascii="仿宋_GB2312" w:hAnsi="宋体" w:eastAsia="仿宋_GB2312"/>
                <w:color w:val="auto"/>
                <w:sz w:val="24"/>
                <w:szCs w:val="20"/>
                <w:highlight w:val="none"/>
              </w:rPr>
            </w:pPr>
          </w:p>
        </w:tc>
        <w:tc>
          <w:tcPr>
            <w:tcW w:w="2262" w:type="dxa"/>
            <w:tcBorders>
              <w:top w:val="single" w:color="auto" w:sz="4" w:space="0"/>
              <w:left w:val="single" w:color="auto" w:sz="4" w:space="0"/>
              <w:bottom w:val="single" w:color="auto" w:sz="4" w:space="0"/>
              <w:right w:val="single" w:color="auto" w:sz="4" w:space="0"/>
            </w:tcBorders>
            <w:noWrap/>
          </w:tcPr>
          <w:p w14:paraId="046556C2">
            <w:pPr>
              <w:snapToGrid w:val="0"/>
              <w:spacing w:beforeLines="50"/>
              <w:rPr>
                <w:rFonts w:ascii="仿宋_GB2312" w:hAnsi="宋体" w:eastAsia="仿宋_GB2312"/>
                <w:color w:val="auto"/>
                <w:sz w:val="24"/>
                <w:szCs w:val="20"/>
                <w:highlight w:val="none"/>
              </w:rPr>
            </w:pPr>
          </w:p>
        </w:tc>
      </w:tr>
      <w:tr w14:paraId="26E337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trPr>
        <w:tc>
          <w:tcPr>
            <w:tcW w:w="1831" w:type="dxa"/>
            <w:tcBorders>
              <w:top w:val="single" w:color="auto" w:sz="4" w:space="0"/>
              <w:left w:val="single" w:color="auto" w:sz="4" w:space="0"/>
              <w:bottom w:val="single" w:color="auto" w:sz="4" w:space="0"/>
              <w:right w:val="single" w:color="auto" w:sz="4" w:space="0"/>
            </w:tcBorders>
            <w:noWrap/>
            <w:vAlign w:val="top"/>
          </w:tcPr>
          <w:p w14:paraId="700F1C93">
            <w:pPr>
              <w:spacing w:line="340" w:lineRule="exact"/>
              <w:jc w:val="center"/>
              <w:rPr>
                <w:rFonts w:ascii="仿宋_GB2312" w:hAnsi="宋体" w:eastAsia="仿宋_GB2312"/>
                <w:color w:val="auto"/>
                <w:sz w:val="24"/>
                <w:szCs w:val="20"/>
                <w:highlight w:val="none"/>
              </w:rPr>
            </w:pPr>
            <w:r>
              <w:rPr>
                <w:color w:val="auto"/>
                <w:sz w:val="24"/>
                <w:highlight w:val="none"/>
              </w:rPr>
              <w:t>2</w:t>
            </w:r>
          </w:p>
        </w:tc>
        <w:tc>
          <w:tcPr>
            <w:tcW w:w="3327" w:type="dxa"/>
            <w:tcBorders>
              <w:top w:val="single" w:color="auto" w:sz="4" w:space="0"/>
              <w:left w:val="single" w:color="auto" w:sz="4" w:space="0"/>
              <w:bottom w:val="single" w:color="auto" w:sz="4" w:space="0"/>
              <w:right w:val="single" w:color="auto" w:sz="4" w:space="0"/>
            </w:tcBorders>
            <w:noWrap/>
          </w:tcPr>
          <w:p w14:paraId="5C36C038">
            <w:pPr>
              <w:snapToGrid w:val="0"/>
              <w:spacing w:beforeLines="50"/>
              <w:rPr>
                <w:rFonts w:ascii="仿宋_GB2312" w:hAnsi="宋体" w:eastAsia="仿宋_GB2312"/>
                <w:color w:val="auto"/>
                <w:sz w:val="24"/>
                <w:szCs w:val="20"/>
                <w:highlight w:val="none"/>
              </w:rPr>
            </w:pPr>
          </w:p>
        </w:tc>
        <w:tc>
          <w:tcPr>
            <w:tcW w:w="1198" w:type="dxa"/>
            <w:tcBorders>
              <w:top w:val="single" w:color="auto" w:sz="4" w:space="0"/>
              <w:left w:val="single" w:color="auto" w:sz="4" w:space="0"/>
              <w:bottom w:val="single" w:color="auto" w:sz="4" w:space="0"/>
              <w:right w:val="single" w:color="auto" w:sz="4" w:space="0"/>
            </w:tcBorders>
            <w:noWrap/>
          </w:tcPr>
          <w:p w14:paraId="1F00D381">
            <w:pPr>
              <w:snapToGrid w:val="0"/>
              <w:spacing w:beforeLines="50"/>
              <w:rPr>
                <w:rFonts w:ascii="仿宋_GB2312" w:hAnsi="宋体" w:eastAsia="仿宋_GB2312"/>
                <w:color w:val="auto"/>
                <w:sz w:val="24"/>
                <w:szCs w:val="20"/>
                <w:highlight w:val="none"/>
              </w:rPr>
            </w:pPr>
          </w:p>
        </w:tc>
        <w:tc>
          <w:tcPr>
            <w:tcW w:w="2262" w:type="dxa"/>
            <w:tcBorders>
              <w:top w:val="single" w:color="auto" w:sz="4" w:space="0"/>
              <w:left w:val="single" w:color="auto" w:sz="4" w:space="0"/>
              <w:bottom w:val="single" w:color="auto" w:sz="4" w:space="0"/>
              <w:right w:val="single" w:color="auto" w:sz="4" w:space="0"/>
            </w:tcBorders>
            <w:noWrap/>
          </w:tcPr>
          <w:p w14:paraId="42BC814A">
            <w:pPr>
              <w:snapToGrid w:val="0"/>
              <w:spacing w:beforeLines="50"/>
              <w:rPr>
                <w:rFonts w:ascii="仿宋_GB2312" w:hAnsi="宋体" w:eastAsia="仿宋_GB2312"/>
                <w:color w:val="auto"/>
                <w:sz w:val="24"/>
                <w:szCs w:val="20"/>
                <w:highlight w:val="none"/>
              </w:rPr>
            </w:pPr>
          </w:p>
        </w:tc>
      </w:tr>
      <w:tr w14:paraId="560324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831" w:type="dxa"/>
            <w:tcBorders>
              <w:top w:val="single" w:color="auto" w:sz="4" w:space="0"/>
              <w:left w:val="single" w:color="auto" w:sz="4" w:space="0"/>
              <w:bottom w:val="single" w:color="auto" w:sz="4" w:space="0"/>
              <w:right w:val="single" w:color="auto" w:sz="4" w:space="0"/>
            </w:tcBorders>
            <w:noWrap/>
            <w:vAlign w:val="top"/>
          </w:tcPr>
          <w:p w14:paraId="749AAEFC">
            <w:pPr>
              <w:spacing w:line="340" w:lineRule="exact"/>
              <w:jc w:val="center"/>
              <w:rPr>
                <w:rFonts w:ascii="仿宋_GB2312" w:hAnsi="宋体" w:eastAsia="仿宋_GB2312"/>
                <w:color w:val="auto"/>
                <w:sz w:val="24"/>
                <w:szCs w:val="20"/>
                <w:highlight w:val="none"/>
              </w:rPr>
            </w:pPr>
            <w:r>
              <w:rPr>
                <w:color w:val="auto"/>
                <w:sz w:val="24"/>
                <w:highlight w:val="none"/>
              </w:rPr>
              <w:t>3</w:t>
            </w:r>
          </w:p>
        </w:tc>
        <w:tc>
          <w:tcPr>
            <w:tcW w:w="3327" w:type="dxa"/>
            <w:tcBorders>
              <w:top w:val="single" w:color="auto" w:sz="4" w:space="0"/>
              <w:left w:val="single" w:color="auto" w:sz="4" w:space="0"/>
              <w:bottom w:val="single" w:color="auto" w:sz="4" w:space="0"/>
              <w:right w:val="single" w:color="auto" w:sz="4" w:space="0"/>
            </w:tcBorders>
            <w:noWrap/>
          </w:tcPr>
          <w:p w14:paraId="74A1CC9E">
            <w:pPr>
              <w:snapToGrid w:val="0"/>
              <w:spacing w:beforeLines="50"/>
              <w:rPr>
                <w:rFonts w:ascii="仿宋_GB2312" w:hAnsi="宋体" w:eastAsia="仿宋_GB2312"/>
                <w:color w:val="auto"/>
                <w:sz w:val="24"/>
                <w:szCs w:val="20"/>
                <w:highlight w:val="none"/>
              </w:rPr>
            </w:pPr>
          </w:p>
        </w:tc>
        <w:tc>
          <w:tcPr>
            <w:tcW w:w="1198" w:type="dxa"/>
            <w:tcBorders>
              <w:top w:val="single" w:color="auto" w:sz="4" w:space="0"/>
              <w:left w:val="single" w:color="auto" w:sz="4" w:space="0"/>
              <w:bottom w:val="single" w:color="auto" w:sz="4" w:space="0"/>
              <w:right w:val="single" w:color="auto" w:sz="4" w:space="0"/>
            </w:tcBorders>
            <w:noWrap/>
          </w:tcPr>
          <w:p w14:paraId="4DC4F254">
            <w:pPr>
              <w:snapToGrid w:val="0"/>
              <w:spacing w:beforeLines="50"/>
              <w:ind w:left="43"/>
              <w:rPr>
                <w:rFonts w:ascii="仿宋_GB2312" w:hAnsi="宋体" w:eastAsia="仿宋_GB2312"/>
                <w:color w:val="auto"/>
                <w:sz w:val="24"/>
                <w:szCs w:val="20"/>
                <w:highlight w:val="none"/>
              </w:rPr>
            </w:pPr>
          </w:p>
        </w:tc>
        <w:tc>
          <w:tcPr>
            <w:tcW w:w="2262" w:type="dxa"/>
            <w:tcBorders>
              <w:top w:val="single" w:color="auto" w:sz="4" w:space="0"/>
              <w:left w:val="single" w:color="auto" w:sz="4" w:space="0"/>
              <w:bottom w:val="single" w:color="auto" w:sz="4" w:space="0"/>
              <w:right w:val="single" w:color="auto" w:sz="4" w:space="0"/>
            </w:tcBorders>
            <w:noWrap/>
          </w:tcPr>
          <w:p w14:paraId="6EEA83D7">
            <w:pPr>
              <w:snapToGrid w:val="0"/>
              <w:spacing w:beforeLines="50"/>
              <w:ind w:left="43"/>
              <w:rPr>
                <w:rFonts w:ascii="仿宋_GB2312" w:hAnsi="宋体" w:eastAsia="仿宋_GB2312"/>
                <w:color w:val="auto"/>
                <w:sz w:val="24"/>
                <w:szCs w:val="20"/>
                <w:highlight w:val="none"/>
              </w:rPr>
            </w:pPr>
          </w:p>
        </w:tc>
      </w:tr>
      <w:tr w14:paraId="2E86A4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831" w:type="dxa"/>
            <w:tcBorders>
              <w:top w:val="single" w:color="auto" w:sz="4" w:space="0"/>
              <w:left w:val="single" w:color="auto" w:sz="4" w:space="0"/>
              <w:bottom w:val="single" w:color="auto" w:sz="4" w:space="0"/>
              <w:right w:val="single" w:color="auto" w:sz="4" w:space="0"/>
            </w:tcBorders>
            <w:noWrap/>
            <w:vAlign w:val="top"/>
          </w:tcPr>
          <w:p w14:paraId="1312B97A">
            <w:pPr>
              <w:spacing w:line="340" w:lineRule="exact"/>
              <w:jc w:val="center"/>
              <w:rPr>
                <w:rFonts w:ascii="仿宋_GB2312"/>
                <w:color w:val="auto"/>
                <w:sz w:val="24"/>
                <w:szCs w:val="21"/>
                <w:highlight w:val="none"/>
              </w:rPr>
            </w:pPr>
            <w:r>
              <w:rPr>
                <w:color w:val="auto"/>
                <w:sz w:val="24"/>
                <w:highlight w:val="none"/>
              </w:rPr>
              <w:t>4</w:t>
            </w:r>
          </w:p>
        </w:tc>
        <w:tc>
          <w:tcPr>
            <w:tcW w:w="3327" w:type="dxa"/>
            <w:tcBorders>
              <w:top w:val="single" w:color="auto" w:sz="4" w:space="0"/>
              <w:left w:val="single" w:color="auto" w:sz="4" w:space="0"/>
              <w:bottom w:val="single" w:color="auto" w:sz="4" w:space="0"/>
              <w:right w:val="single" w:color="auto" w:sz="4" w:space="0"/>
            </w:tcBorders>
            <w:noWrap/>
          </w:tcPr>
          <w:p w14:paraId="1DD8899F">
            <w:pPr>
              <w:snapToGrid w:val="0"/>
              <w:spacing w:beforeLines="50"/>
              <w:rPr>
                <w:rFonts w:ascii="仿宋_GB2312" w:hAnsi="宋体"/>
                <w:color w:val="auto"/>
                <w:sz w:val="24"/>
                <w:szCs w:val="21"/>
                <w:highlight w:val="none"/>
              </w:rPr>
            </w:pPr>
          </w:p>
        </w:tc>
        <w:tc>
          <w:tcPr>
            <w:tcW w:w="1198" w:type="dxa"/>
            <w:tcBorders>
              <w:top w:val="single" w:color="auto" w:sz="4" w:space="0"/>
              <w:left w:val="single" w:color="auto" w:sz="4" w:space="0"/>
              <w:bottom w:val="single" w:color="auto" w:sz="4" w:space="0"/>
              <w:right w:val="single" w:color="auto" w:sz="4" w:space="0"/>
            </w:tcBorders>
            <w:noWrap/>
          </w:tcPr>
          <w:p w14:paraId="32C2E558">
            <w:pPr>
              <w:snapToGrid w:val="0"/>
              <w:spacing w:beforeLines="50"/>
              <w:ind w:left="43"/>
              <w:rPr>
                <w:rFonts w:ascii="仿宋_GB2312" w:hAnsi="宋体" w:eastAsia="仿宋_GB2312"/>
                <w:color w:val="auto"/>
                <w:sz w:val="24"/>
                <w:szCs w:val="20"/>
                <w:highlight w:val="none"/>
              </w:rPr>
            </w:pPr>
          </w:p>
        </w:tc>
        <w:tc>
          <w:tcPr>
            <w:tcW w:w="2262" w:type="dxa"/>
            <w:tcBorders>
              <w:top w:val="single" w:color="auto" w:sz="4" w:space="0"/>
              <w:left w:val="single" w:color="auto" w:sz="4" w:space="0"/>
              <w:bottom w:val="single" w:color="auto" w:sz="4" w:space="0"/>
              <w:right w:val="single" w:color="auto" w:sz="4" w:space="0"/>
            </w:tcBorders>
            <w:noWrap/>
          </w:tcPr>
          <w:p w14:paraId="47462FDE">
            <w:pPr>
              <w:snapToGrid w:val="0"/>
              <w:spacing w:beforeLines="50"/>
              <w:ind w:left="43"/>
              <w:rPr>
                <w:rFonts w:ascii="仿宋_GB2312" w:hAnsi="宋体" w:eastAsia="仿宋_GB2312"/>
                <w:color w:val="auto"/>
                <w:sz w:val="24"/>
                <w:szCs w:val="20"/>
                <w:highlight w:val="none"/>
              </w:rPr>
            </w:pPr>
          </w:p>
        </w:tc>
      </w:tr>
    </w:tbl>
    <w:p w14:paraId="7E2ACFCA">
      <w:pPr>
        <w:rPr>
          <w:rFonts w:ascii="宋体" w:hAnsi="宋体"/>
          <w:color w:val="auto"/>
          <w:sz w:val="24"/>
          <w:highlight w:val="none"/>
        </w:rPr>
      </w:pPr>
    </w:p>
    <w:p w14:paraId="5F2C4130">
      <w:pPr>
        <w:kinsoku w:val="0"/>
        <w:topLinePunct/>
        <w:snapToGrid w:val="0"/>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供应商：（盖章）             </w:t>
      </w:r>
    </w:p>
    <w:p w14:paraId="5E17DF02">
      <w:pPr>
        <w:kinsoku w:val="0"/>
        <w:topLinePunct/>
        <w:snapToGrid w:val="0"/>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法定代表人或被授权人（签字或盖章）：</w:t>
      </w:r>
    </w:p>
    <w:p w14:paraId="446DE26B">
      <w:pPr>
        <w:kinsoku w:val="0"/>
        <w:topLinePunct/>
        <w:snapToGrid w:val="0"/>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日期：</w:t>
      </w:r>
    </w:p>
    <w:p w14:paraId="6EF4F495">
      <w:pPr>
        <w:ind w:firstLine="482" w:firstLineChars="200"/>
        <w:rPr>
          <w:rFonts w:ascii="宋体" w:hAnsi="宋体"/>
          <w:b/>
          <w:color w:val="auto"/>
          <w:sz w:val="24"/>
          <w:highlight w:val="none"/>
        </w:rPr>
      </w:pPr>
    </w:p>
    <w:p w14:paraId="10AB6B31">
      <w:pPr>
        <w:snapToGrid w:val="0"/>
        <w:spacing w:line="300" w:lineRule="auto"/>
        <w:contextualSpacing/>
        <w:rPr>
          <w:b/>
          <w:color w:val="auto"/>
          <w:sz w:val="24"/>
          <w:highlight w:val="none"/>
        </w:rPr>
      </w:pPr>
      <w:r>
        <w:rPr>
          <w:b/>
          <w:color w:val="auto"/>
          <w:sz w:val="24"/>
          <w:highlight w:val="none"/>
        </w:rPr>
        <w:t>注：</w:t>
      </w:r>
    </w:p>
    <w:p w14:paraId="5CE0EDD2">
      <w:pPr>
        <w:snapToGrid w:val="0"/>
        <w:spacing w:line="300" w:lineRule="auto"/>
        <w:ind w:firstLine="480" w:firstLineChars="200"/>
        <w:contextualSpacing/>
        <w:rPr>
          <w:color w:val="auto"/>
          <w:sz w:val="24"/>
          <w:highlight w:val="none"/>
        </w:rPr>
      </w:pPr>
      <w:r>
        <w:rPr>
          <w:color w:val="auto"/>
          <w:sz w:val="24"/>
          <w:highlight w:val="none"/>
        </w:rPr>
        <w:t>1.</w:t>
      </w:r>
      <w:r>
        <w:rPr>
          <w:rFonts w:hint="eastAsia"/>
          <w:color w:val="auto"/>
          <w:sz w:val="24"/>
          <w:highlight w:val="none"/>
          <w:lang w:val="en-US" w:eastAsia="zh-CN"/>
        </w:rPr>
        <w:t>供应商</w:t>
      </w:r>
      <w:r>
        <w:rPr>
          <w:color w:val="auto"/>
          <w:sz w:val="24"/>
          <w:highlight w:val="none"/>
        </w:rPr>
        <w:t>提交的</w:t>
      </w:r>
      <w:r>
        <w:rPr>
          <w:rFonts w:hint="eastAsia"/>
          <w:color w:val="auto"/>
          <w:sz w:val="24"/>
          <w:highlight w:val="none"/>
          <w:lang w:val="en-US" w:eastAsia="zh-CN"/>
        </w:rPr>
        <w:t>响应</w:t>
      </w:r>
      <w:r>
        <w:rPr>
          <w:color w:val="auto"/>
          <w:sz w:val="24"/>
          <w:highlight w:val="none"/>
        </w:rPr>
        <w:t>文件中与</w:t>
      </w:r>
      <w:r>
        <w:rPr>
          <w:rFonts w:hint="eastAsia"/>
          <w:color w:val="auto"/>
          <w:sz w:val="24"/>
          <w:highlight w:val="none"/>
          <w:lang w:val="en-US" w:eastAsia="zh-CN"/>
        </w:rPr>
        <w:t>采购</w:t>
      </w:r>
      <w:r>
        <w:rPr>
          <w:color w:val="auto"/>
          <w:sz w:val="24"/>
          <w:highlight w:val="none"/>
        </w:rPr>
        <w:t>文件第三部分“项目需求”中的商务部分的要求，应逐条填列在偏离表中。</w:t>
      </w:r>
    </w:p>
    <w:p w14:paraId="669F1C7F">
      <w:pPr>
        <w:snapToGrid w:val="0"/>
        <w:spacing w:line="300" w:lineRule="auto"/>
        <w:ind w:firstLine="480" w:firstLineChars="200"/>
        <w:contextualSpacing/>
        <w:rPr>
          <w:color w:val="auto"/>
          <w:sz w:val="24"/>
          <w:highlight w:val="none"/>
        </w:rPr>
      </w:pPr>
      <w:r>
        <w:rPr>
          <w:color w:val="auto"/>
          <w:sz w:val="24"/>
          <w:highlight w:val="none"/>
        </w:rPr>
        <w:t>2.“偏离说明”一栏选择“正偏离”、“无偏离”、“负偏离”进行填写。正偏离、无偏离的确认和负偏离的是否响应</w:t>
      </w:r>
      <w:r>
        <w:rPr>
          <w:rFonts w:hint="eastAsia"/>
          <w:color w:val="auto"/>
          <w:sz w:val="24"/>
          <w:highlight w:val="none"/>
          <w:lang w:val="en-US" w:eastAsia="zh-CN"/>
        </w:rPr>
        <w:t>采购</w:t>
      </w:r>
      <w:r>
        <w:rPr>
          <w:color w:val="auto"/>
          <w:sz w:val="24"/>
          <w:highlight w:val="none"/>
        </w:rPr>
        <w:t>文件，由评委认定。</w:t>
      </w:r>
    </w:p>
    <w:p w14:paraId="16042F08">
      <w:pPr>
        <w:snapToGrid w:val="0"/>
        <w:spacing w:line="300" w:lineRule="auto"/>
        <w:ind w:firstLine="480" w:firstLineChars="200"/>
        <w:contextualSpacing/>
        <w:rPr>
          <w:bCs/>
          <w:color w:val="auto"/>
          <w:sz w:val="24"/>
          <w:highlight w:val="none"/>
        </w:rPr>
      </w:pPr>
      <w:r>
        <w:rPr>
          <w:color w:val="auto"/>
          <w:sz w:val="24"/>
          <w:highlight w:val="none"/>
        </w:rPr>
        <w:t>3.</w:t>
      </w:r>
      <w:r>
        <w:rPr>
          <w:bCs/>
          <w:color w:val="auto"/>
          <w:sz w:val="24"/>
          <w:highlight w:val="none"/>
        </w:rPr>
        <w:t>供应商若提供其他增值服务，可以在表中自行据实填写。</w:t>
      </w:r>
    </w:p>
    <w:p w14:paraId="1225311D">
      <w:pPr>
        <w:snapToGrid w:val="0"/>
        <w:spacing w:line="300" w:lineRule="auto"/>
        <w:ind w:firstLine="482" w:firstLineChars="200"/>
        <w:contextualSpacing/>
        <w:rPr>
          <w:rFonts w:hint="default" w:eastAsia="宋体"/>
          <w:b/>
          <w:bCs w:val="0"/>
          <w:color w:val="auto"/>
          <w:sz w:val="24"/>
          <w:highlight w:val="none"/>
          <w:lang w:val="en-US" w:eastAsia="zh-CN"/>
        </w:rPr>
      </w:pPr>
      <w:r>
        <w:rPr>
          <w:rFonts w:hint="eastAsia"/>
          <w:b/>
          <w:bCs w:val="0"/>
          <w:color w:val="auto"/>
          <w:sz w:val="24"/>
          <w:highlight w:val="none"/>
          <w:lang w:val="en-US" w:eastAsia="zh-CN"/>
        </w:rPr>
        <w:t>4.商务</w:t>
      </w:r>
      <w:r>
        <w:rPr>
          <w:rFonts w:hint="eastAsia" w:ascii="宋体" w:hAnsi="宋体" w:cs="宋体"/>
          <w:b/>
          <w:bCs w:val="0"/>
          <w:color w:val="auto"/>
          <w:sz w:val="24"/>
          <w:highlight w:val="none"/>
        </w:rPr>
        <w:t>部分</w:t>
      </w:r>
      <w:r>
        <w:rPr>
          <w:rFonts w:hint="eastAsia" w:ascii="宋体" w:hAnsi="宋体" w:cs="宋体"/>
          <w:b/>
          <w:bCs w:val="0"/>
          <w:color w:val="auto"/>
          <w:sz w:val="24"/>
          <w:highlight w:val="none"/>
          <w:lang w:val="en-US" w:eastAsia="zh-CN"/>
        </w:rPr>
        <w:t>未在此表明示的内容</w:t>
      </w:r>
      <w:r>
        <w:rPr>
          <w:rFonts w:hint="eastAsia"/>
          <w:b/>
          <w:bCs w:val="0"/>
          <w:color w:val="auto"/>
          <w:sz w:val="24"/>
          <w:highlight w:val="none"/>
        </w:rPr>
        <w:t>视同完全响应</w:t>
      </w:r>
      <w:r>
        <w:rPr>
          <w:rFonts w:hint="eastAsia"/>
          <w:b/>
          <w:bCs w:val="0"/>
          <w:color w:val="auto"/>
          <w:sz w:val="24"/>
          <w:highlight w:val="none"/>
          <w:lang w:eastAsia="zh-CN"/>
        </w:rPr>
        <w:t>。</w:t>
      </w:r>
    </w:p>
    <w:p w14:paraId="17FAB6EE">
      <w:pPr>
        <w:snapToGrid w:val="0"/>
        <w:spacing w:line="300" w:lineRule="auto"/>
        <w:ind w:firstLine="480" w:firstLineChars="200"/>
        <w:contextualSpacing/>
        <w:rPr>
          <w:bCs/>
          <w:color w:val="auto"/>
          <w:sz w:val="24"/>
          <w:highlight w:val="none"/>
        </w:rPr>
      </w:pPr>
    </w:p>
    <w:p w14:paraId="0858C705">
      <w:pPr>
        <w:spacing w:line="360" w:lineRule="auto"/>
        <w:jc w:val="center"/>
        <w:rPr>
          <w:rFonts w:ascii="宋体" w:hAnsi="宋体" w:cs="宋体"/>
          <w:b/>
          <w:bCs/>
          <w:color w:val="auto"/>
          <w:sz w:val="24"/>
          <w:highlight w:val="none"/>
        </w:rPr>
      </w:pPr>
      <w:r>
        <w:rPr>
          <w:rFonts w:ascii="宋体" w:hAnsi="宋体" w:cs="宋体"/>
          <w:b/>
          <w:bCs/>
          <w:color w:val="auto"/>
          <w:sz w:val="24"/>
          <w:highlight w:val="none"/>
        </w:rPr>
        <w:br w:type="page"/>
      </w:r>
      <w:r>
        <w:rPr>
          <w:rFonts w:hint="eastAsia" w:ascii="宋体" w:hAnsi="宋体" w:cs="宋体"/>
          <w:b/>
          <w:bCs/>
          <w:color w:val="auto"/>
          <w:sz w:val="24"/>
          <w:highlight w:val="none"/>
        </w:rPr>
        <w:t>4、供应商一般情况表</w:t>
      </w:r>
    </w:p>
    <w:tbl>
      <w:tblPr>
        <w:tblStyle w:val="16"/>
        <w:tblW w:w="0" w:type="auto"/>
        <w:jc w:val="center"/>
        <w:tblLayout w:type="fixed"/>
        <w:tblCellMar>
          <w:top w:w="0" w:type="dxa"/>
          <w:left w:w="108" w:type="dxa"/>
          <w:bottom w:w="0" w:type="dxa"/>
          <w:right w:w="108" w:type="dxa"/>
        </w:tblCellMar>
      </w:tblPr>
      <w:tblGrid>
        <w:gridCol w:w="2235"/>
        <w:gridCol w:w="708"/>
        <w:gridCol w:w="851"/>
        <w:gridCol w:w="849"/>
        <w:gridCol w:w="568"/>
        <w:gridCol w:w="1307"/>
        <w:gridCol w:w="159"/>
        <w:gridCol w:w="1320"/>
        <w:gridCol w:w="1467"/>
      </w:tblGrid>
      <w:tr w14:paraId="4DE15653">
        <w:tblPrEx>
          <w:tblCellMar>
            <w:top w:w="0" w:type="dxa"/>
            <w:left w:w="108" w:type="dxa"/>
            <w:bottom w:w="0" w:type="dxa"/>
            <w:right w:w="108" w:type="dxa"/>
          </w:tblCellMar>
        </w:tblPrEx>
        <w:trPr>
          <w:cantSplit/>
          <w:trHeight w:val="286"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757E85F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企业名称</w:t>
            </w:r>
          </w:p>
        </w:tc>
        <w:tc>
          <w:tcPr>
            <w:tcW w:w="7229" w:type="dxa"/>
            <w:gridSpan w:val="8"/>
            <w:tcBorders>
              <w:top w:val="single" w:color="auto" w:sz="4" w:space="0"/>
              <w:left w:val="nil"/>
              <w:bottom w:val="single" w:color="auto" w:sz="4" w:space="0"/>
              <w:right w:val="single" w:color="auto" w:sz="4" w:space="0"/>
            </w:tcBorders>
            <w:noWrap/>
          </w:tcPr>
          <w:p w14:paraId="2CD224C5">
            <w:pPr>
              <w:spacing w:line="360" w:lineRule="auto"/>
              <w:rPr>
                <w:rFonts w:ascii="宋体" w:hAnsi="宋体" w:cs="宋体"/>
                <w:color w:val="auto"/>
                <w:sz w:val="24"/>
                <w:highlight w:val="none"/>
              </w:rPr>
            </w:pPr>
          </w:p>
        </w:tc>
      </w:tr>
      <w:tr w14:paraId="618DE52C">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438A687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总部地址</w:t>
            </w:r>
          </w:p>
        </w:tc>
        <w:tc>
          <w:tcPr>
            <w:tcW w:w="7229" w:type="dxa"/>
            <w:gridSpan w:val="8"/>
            <w:tcBorders>
              <w:top w:val="single" w:color="auto" w:sz="4" w:space="0"/>
              <w:left w:val="nil"/>
              <w:bottom w:val="single" w:color="auto" w:sz="4" w:space="0"/>
              <w:right w:val="single" w:color="auto" w:sz="4" w:space="0"/>
            </w:tcBorders>
            <w:noWrap/>
          </w:tcPr>
          <w:p w14:paraId="4945F5DD">
            <w:pPr>
              <w:spacing w:line="360" w:lineRule="auto"/>
              <w:rPr>
                <w:rFonts w:ascii="宋体" w:hAnsi="宋体" w:cs="宋体"/>
                <w:color w:val="auto"/>
                <w:sz w:val="24"/>
                <w:highlight w:val="none"/>
              </w:rPr>
            </w:pPr>
          </w:p>
        </w:tc>
      </w:tr>
      <w:tr w14:paraId="79C7B60F">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1CEF5F2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分支机构</w:t>
            </w:r>
          </w:p>
        </w:tc>
        <w:tc>
          <w:tcPr>
            <w:tcW w:w="7229" w:type="dxa"/>
            <w:gridSpan w:val="8"/>
            <w:tcBorders>
              <w:top w:val="single" w:color="auto" w:sz="4" w:space="0"/>
              <w:left w:val="nil"/>
              <w:bottom w:val="single" w:color="auto" w:sz="4" w:space="0"/>
              <w:right w:val="single" w:color="auto" w:sz="4" w:space="0"/>
            </w:tcBorders>
            <w:noWrap/>
          </w:tcPr>
          <w:p w14:paraId="0B605AC2">
            <w:pPr>
              <w:spacing w:line="360" w:lineRule="auto"/>
              <w:rPr>
                <w:rFonts w:ascii="宋体" w:hAnsi="宋体" w:cs="宋体"/>
                <w:color w:val="auto"/>
                <w:sz w:val="24"/>
                <w:highlight w:val="none"/>
              </w:rPr>
            </w:pPr>
          </w:p>
        </w:tc>
      </w:tr>
      <w:tr w14:paraId="31960C74">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0748A48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当地代表处地址</w:t>
            </w:r>
          </w:p>
        </w:tc>
        <w:tc>
          <w:tcPr>
            <w:tcW w:w="7229" w:type="dxa"/>
            <w:gridSpan w:val="8"/>
            <w:tcBorders>
              <w:top w:val="single" w:color="auto" w:sz="4" w:space="0"/>
              <w:left w:val="nil"/>
              <w:bottom w:val="single" w:color="auto" w:sz="4" w:space="0"/>
              <w:right w:val="single" w:color="auto" w:sz="4" w:space="0"/>
            </w:tcBorders>
            <w:noWrap/>
          </w:tcPr>
          <w:p w14:paraId="6099A9DB">
            <w:pPr>
              <w:spacing w:line="360" w:lineRule="auto"/>
              <w:rPr>
                <w:rFonts w:ascii="宋体" w:hAnsi="宋体" w:cs="宋体"/>
                <w:color w:val="auto"/>
                <w:sz w:val="24"/>
                <w:highlight w:val="none"/>
              </w:rPr>
            </w:pPr>
          </w:p>
        </w:tc>
      </w:tr>
      <w:tr w14:paraId="0AB487DE">
        <w:tblPrEx>
          <w:tblCellMar>
            <w:top w:w="0" w:type="dxa"/>
            <w:left w:w="108" w:type="dxa"/>
            <w:bottom w:w="0" w:type="dxa"/>
            <w:right w:w="108" w:type="dxa"/>
          </w:tblCellMar>
        </w:tblPrEx>
        <w:trPr>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02F2647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电话</w:t>
            </w:r>
          </w:p>
        </w:tc>
        <w:tc>
          <w:tcPr>
            <w:tcW w:w="2408" w:type="dxa"/>
            <w:gridSpan w:val="3"/>
            <w:tcBorders>
              <w:top w:val="single" w:color="auto" w:sz="4" w:space="0"/>
              <w:left w:val="nil"/>
              <w:bottom w:val="single" w:color="auto" w:sz="4" w:space="0"/>
              <w:right w:val="single" w:color="auto" w:sz="4" w:space="0"/>
            </w:tcBorders>
            <w:noWrap/>
          </w:tcPr>
          <w:p w14:paraId="41A9F9F8">
            <w:pPr>
              <w:spacing w:line="360" w:lineRule="auto"/>
              <w:rPr>
                <w:rFonts w:ascii="宋体" w:hAnsi="宋体" w:cs="宋体"/>
                <w:color w:val="auto"/>
                <w:sz w:val="24"/>
                <w:highlight w:val="none"/>
              </w:rPr>
            </w:pPr>
          </w:p>
        </w:tc>
        <w:tc>
          <w:tcPr>
            <w:tcW w:w="1875" w:type="dxa"/>
            <w:gridSpan w:val="2"/>
            <w:tcBorders>
              <w:top w:val="single" w:color="auto" w:sz="4" w:space="0"/>
              <w:left w:val="nil"/>
              <w:bottom w:val="single" w:color="auto" w:sz="4" w:space="0"/>
              <w:right w:val="single" w:color="auto" w:sz="4" w:space="0"/>
            </w:tcBorders>
            <w:noWrap/>
          </w:tcPr>
          <w:p w14:paraId="7AE2EA1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联系人</w:t>
            </w:r>
          </w:p>
        </w:tc>
        <w:tc>
          <w:tcPr>
            <w:tcW w:w="2946" w:type="dxa"/>
            <w:gridSpan w:val="3"/>
            <w:tcBorders>
              <w:top w:val="single" w:color="auto" w:sz="4" w:space="0"/>
              <w:left w:val="nil"/>
              <w:bottom w:val="single" w:color="auto" w:sz="4" w:space="0"/>
              <w:right w:val="single" w:color="auto" w:sz="4" w:space="0"/>
            </w:tcBorders>
            <w:noWrap/>
          </w:tcPr>
          <w:p w14:paraId="6C4F4460">
            <w:pPr>
              <w:spacing w:line="360" w:lineRule="auto"/>
              <w:rPr>
                <w:rFonts w:ascii="宋体" w:hAnsi="宋体" w:cs="宋体"/>
                <w:color w:val="auto"/>
                <w:sz w:val="24"/>
                <w:highlight w:val="none"/>
              </w:rPr>
            </w:pPr>
          </w:p>
        </w:tc>
      </w:tr>
      <w:tr w14:paraId="079329B9">
        <w:tblPrEx>
          <w:tblCellMar>
            <w:top w:w="0" w:type="dxa"/>
            <w:left w:w="108" w:type="dxa"/>
            <w:bottom w:w="0" w:type="dxa"/>
            <w:right w:w="108" w:type="dxa"/>
          </w:tblCellMar>
        </w:tblPrEx>
        <w:trPr>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51B6CB1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传真</w:t>
            </w:r>
          </w:p>
        </w:tc>
        <w:tc>
          <w:tcPr>
            <w:tcW w:w="2408" w:type="dxa"/>
            <w:gridSpan w:val="3"/>
            <w:tcBorders>
              <w:top w:val="single" w:color="auto" w:sz="4" w:space="0"/>
              <w:left w:val="nil"/>
              <w:bottom w:val="single" w:color="auto" w:sz="4" w:space="0"/>
              <w:right w:val="single" w:color="auto" w:sz="4" w:space="0"/>
            </w:tcBorders>
            <w:noWrap/>
          </w:tcPr>
          <w:p w14:paraId="3E6C217E">
            <w:pPr>
              <w:spacing w:line="360" w:lineRule="auto"/>
              <w:rPr>
                <w:rFonts w:ascii="宋体" w:hAnsi="宋体" w:cs="宋体"/>
                <w:color w:val="auto"/>
                <w:sz w:val="24"/>
                <w:highlight w:val="none"/>
              </w:rPr>
            </w:pPr>
          </w:p>
        </w:tc>
        <w:tc>
          <w:tcPr>
            <w:tcW w:w="1875" w:type="dxa"/>
            <w:gridSpan w:val="2"/>
            <w:tcBorders>
              <w:top w:val="single" w:color="auto" w:sz="4" w:space="0"/>
              <w:left w:val="nil"/>
              <w:bottom w:val="single" w:color="auto" w:sz="4" w:space="0"/>
              <w:right w:val="single" w:color="auto" w:sz="4" w:space="0"/>
            </w:tcBorders>
            <w:noWrap/>
          </w:tcPr>
          <w:p w14:paraId="50BEF9C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电子邮件</w:t>
            </w:r>
          </w:p>
        </w:tc>
        <w:tc>
          <w:tcPr>
            <w:tcW w:w="2946" w:type="dxa"/>
            <w:gridSpan w:val="3"/>
            <w:tcBorders>
              <w:top w:val="single" w:color="auto" w:sz="4" w:space="0"/>
              <w:left w:val="nil"/>
              <w:bottom w:val="single" w:color="auto" w:sz="4" w:space="0"/>
              <w:right w:val="single" w:color="auto" w:sz="4" w:space="0"/>
            </w:tcBorders>
            <w:noWrap/>
          </w:tcPr>
          <w:p w14:paraId="3BB300C7">
            <w:pPr>
              <w:spacing w:line="360" w:lineRule="auto"/>
              <w:rPr>
                <w:rFonts w:ascii="宋体" w:hAnsi="宋体" w:cs="宋体"/>
                <w:color w:val="auto"/>
                <w:sz w:val="24"/>
                <w:highlight w:val="none"/>
              </w:rPr>
            </w:pPr>
          </w:p>
        </w:tc>
      </w:tr>
      <w:tr w14:paraId="662C3145">
        <w:tblPrEx>
          <w:tblCellMar>
            <w:top w:w="0" w:type="dxa"/>
            <w:left w:w="108" w:type="dxa"/>
            <w:bottom w:w="0" w:type="dxa"/>
            <w:right w:w="108" w:type="dxa"/>
          </w:tblCellMar>
        </w:tblPrEx>
        <w:trPr>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0BA03472">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注册地</w:t>
            </w:r>
          </w:p>
        </w:tc>
        <w:tc>
          <w:tcPr>
            <w:tcW w:w="2408" w:type="dxa"/>
            <w:gridSpan w:val="3"/>
            <w:tcBorders>
              <w:top w:val="single" w:color="auto" w:sz="4" w:space="0"/>
              <w:left w:val="nil"/>
              <w:bottom w:val="single" w:color="auto" w:sz="4" w:space="0"/>
              <w:right w:val="single" w:color="auto" w:sz="4" w:space="0"/>
            </w:tcBorders>
            <w:noWrap/>
          </w:tcPr>
          <w:p w14:paraId="7A115E2F">
            <w:pPr>
              <w:spacing w:line="360" w:lineRule="auto"/>
              <w:rPr>
                <w:rFonts w:ascii="宋体" w:hAnsi="宋体" w:cs="宋体"/>
                <w:color w:val="auto"/>
                <w:sz w:val="24"/>
                <w:highlight w:val="none"/>
              </w:rPr>
            </w:pPr>
          </w:p>
        </w:tc>
        <w:tc>
          <w:tcPr>
            <w:tcW w:w="1875" w:type="dxa"/>
            <w:gridSpan w:val="2"/>
            <w:tcBorders>
              <w:top w:val="single" w:color="auto" w:sz="4" w:space="0"/>
              <w:left w:val="nil"/>
              <w:bottom w:val="single" w:color="auto" w:sz="4" w:space="0"/>
              <w:right w:val="single" w:color="auto" w:sz="4" w:space="0"/>
            </w:tcBorders>
            <w:noWrap/>
          </w:tcPr>
          <w:p w14:paraId="42265D34">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注册年份</w:t>
            </w:r>
          </w:p>
        </w:tc>
        <w:tc>
          <w:tcPr>
            <w:tcW w:w="2946" w:type="dxa"/>
            <w:gridSpan w:val="3"/>
            <w:tcBorders>
              <w:top w:val="single" w:color="auto" w:sz="4" w:space="0"/>
              <w:left w:val="nil"/>
              <w:bottom w:val="single" w:color="auto" w:sz="4" w:space="0"/>
              <w:right w:val="single" w:color="auto" w:sz="4" w:space="0"/>
            </w:tcBorders>
            <w:noWrap/>
          </w:tcPr>
          <w:p w14:paraId="521ADF63">
            <w:pPr>
              <w:spacing w:line="360" w:lineRule="auto"/>
              <w:rPr>
                <w:rFonts w:ascii="宋体" w:hAnsi="宋体" w:cs="宋体"/>
                <w:color w:val="auto"/>
                <w:sz w:val="24"/>
                <w:highlight w:val="none"/>
              </w:rPr>
            </w:pPr>
          </w:p>
        </w:tc>
      </w:tr>
      <w:tr w14:paraId="1BD37350">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5EB43B1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资质等级</w:t>
            </w:r>
          </w:p>
        </w:tc>
        <w:tc>
          <w:tcPr>
            <w:tcW w:w="7229" w:type="dxa"/>
            <w:gridSpan w:val="8"/>
            <w:tcBorders>
              <w:top w:val="single" w:color="auto" w:sz="4" w:space="0"/>
              <w:left w:val="nil"/>
              <w:bottom w:val="single" w:color="auto" w:sz="4" w:space="0"/>
              <w:right w:val="single" w:color="auto" w:sz="4" w:space="0"/>
            </w:tcBorders>
            <w:noWrap/>
          </w:tcPr>
          <w:p w14:paraId="338B1D84">
            <w:pPr>
              <w:spacing w:line="360" w:lineRule="auto"/>
              <w:rPr>
                <w:rFonts w:ascii="宋体" w:hAnsi="宋体" w:cs="宋体"/>
                <w:color w:val="auto"/>
                <w:sz w:val="24"/>
                <w:highlight w:val="none"/>
              </w:rPr>
            </w:pPr>
            <w:r>
              <w:rPr>
                <w:rFonts w:hint="eastAsia" w:ascii="宋体" w:hAnsi="宋体" w:cs="宋体"/>
                <w:color w:val="auto"/>
                <w:sz w:val="24"/>
                <w:highlight w:val="none"/>
              </w:rPr>
              <w:t>公司具备的相关资质等级及相应的证书号</w:t>
            </w:r>
          </w:p>
          <w:p w14:paraId="2F5B54E4">
            <w:pPr>
              <w:spacing w:line="360" w:lineRule="auto"/>
              <w:rPr>
                <w:rFonts w:ascii="宋体" w:hAnsi="宋体" w:cs="宋体"/>
                <w:color w:val="auto"/>
                <w:sz w:val="24"/>
                <w:highlight w:val="none"/>
              </w:rPr>
            </w:pPr>
            <w:r>
              <w:rPr>
                <w:rFonts w:hint="eastAsia" w:ascii="宋体" w:hAnsi="宋体" w:cs="宋体"/>
                <w:color w:val="auto"/>
                <w:sz w:val="24"/>
                <w:highlight w:val="none"/>
              </w:rPr>
              <w:t>（请附有关证书的复印件）</w:t>
            </w:r>
          </w:p>
        </w:tc>
      </w:tr>
      <w:tr w14:paraId="618FB400">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5F9A49F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质量管理体系</w:t>
            </w:r>
          </w:p>
        </w:tc>
        <w:tc>
          <w:tcPr>
            <w:tcW w:w="7229" w:type="dxa"/>
            <w:gridSpan w:val="8"/>
            <w:tcBorders>
              <w:top w:val="single" w:color="auto" w:sz="4" w:space="0"/>
              <w:left w:val="nil"/>
              <w:bottom w:val="single" w:color="auto" w:sz="4" w:space="0"/>
              <w:right w:val="single" w:color="auto" w:sz="4" w:space="0"/>
            </w:tcBorders>
            <w:noWrap/>
          </w:tcPr>
          <w:p w14:paraId="75A50236">
            <w:pPr>
              <w:spacing w:line="360" w:lineRule="auto"/>
              <w:rPr>
                <w:rFonts w:ascii="宋体" w:hAnsi="宋体" w:cs="宋体"/>
                <w:color w:val="auto"/>
                <w:sz w:val="24"/>
                <w:highlight w:val="none"/>
              </w:rPr>
            </w:pPr>
            <w:r>
              <w:rPr>
                <w:rFonts w:hint="eastAsia" w:ascii="宋体" w:hAnsi="宋体" w:cs="宋体"/>
                <w:color w:val="auto"/>
                <w:sz w:val="24"/>
                <w:highlight w:val="none"/>
              </w:rPr>
              <w:t>公司</w:t>
            </w:r>
            <w:r>
              <w:rPr>
                <w:rFonts w:hint="eastAsia" w:ascii="宋体" w:hAnsi="宋体" w:cs="宋体"/>
                <w:color w:val="auto"/>
                <w:sz w:val="24"/>
                <w:highlight w:val="none"/>
                <w:u w:val="single"/>
              </w:rPr>
              <w:t xml:space="preserve">   （是否通过，何种）   </w:t>
            </w:r>
            <w:r>
              <w:rPr>
                <w:rFonts w:hint="eastAsia" w:ascii="宋体" w:hAnsi="宋体" w:cs="宋体"/>
                <w:color w:val="auto"/>
                <w:sz w:val="24"/>
                <w:highlight w:val="none"/>
              </w:rPr>
              <w:t>质量保证体系认证（如通过请附相关在有效期内的证书复印件）</w:t>
            </w:r>
          </w:p>
        </w:tc>
      </w:tr>
      <w:tr w14:paraId="6B5E7B1D">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3F54AD09">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项目负责人</w:t>
            </w:r>
          </w:p>
        </w:tc>
        <w:tc>
          <w:tcPr>
            <w:tcW w:w="1559" w:type="dxa"/>
            <w:gridSpan w:val="2"/>
            <w:tcBorders>
              <w:top w:val="single" w:color="auto" w:sz="4" w:space="0"/>
              <w:left w:val="nil"/>
              <w:bottom w:val="single" w:color="auto" w:sz="4" w:space="0"/>
              <w:right w:val="single" w:color="auto" w:sz="4" w:space="0"/>
            </w:tcBorders>
            <w:noWrap/>
          </w:tcPr>
          <w:p w14:paraId="32157A88">
            <w:pPr>
              <w:spacing w:line="360" w:lineRule="auto"/>
              <w:jc w:val="center"/>
              <w:rPr>
                <w:rFonts w:ascii="宋体" w:hAnsi="宋体" w:cs="宋体"/>
                <w:color w:val="auto"/>
                <w:sz w:val="24"/>
                <w:highlight w:val="none"/>
              </w:rPr>
            </w:pPr>
          </w:p>
        </w:tc>
        <w:tc>
          <w:tcPr>
            <w:tcW w:w="1417" w:type="dxa"/>
            <w:gridSpan w:val="2"/>
            <w:tcBorders>
              <w:top w:val="single" w:color="auto" w:sz="4" w:space="0"/>
              <w:left w:val="nil"/>
              <w:bottom w:val="single" w:color="auto" w:sz="4" w:space="0"/>
              <w:right w:val="single" w:color="auto" w:sz="4" w:space="0"/>
            </w:tcBorders>
            <w:noWrap/>
          </w:tcPr>
          <w:p w14:paraId="7740A1E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年龄</w:t>
            </w:r>
          </w:p>
        </w:tc>
        <w:tc>
          <w:tcPr>
            <w:tcW w:w="1466" w:type="dxa"/>
            <w:gridSpan w:val="2"/>
            <w:tcBorders>
              <w:top w:val="single" w:color="auto" w:sz="4" w:space="0"/>
              <w:left w:val="nil"/>
              <w:bottom w:val="single" w:color="auto" w:sz="4" w:space="0"/>
              <w:right w:val="single" w:color="auto" w:sz="4" w:space="0"/>
            </w:tcBorders>
            <w:noWrap/>
          </w:tcPr>
          <w:p w14:paraId="6A48A493">
            <w:pPr>
              <w:spacing w:line="360" w:lineRule="auto"/>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noWrap/>
          </w:tcPr>
          <w:p w14:paraId="1E4388B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性别</w:t>
            </w:r>
          </w:p>
        </w:tc>
        <w:tc>
          <w:tcPr>
            <w:tcW w:w="1467" w:type="dxa"/>
            <w:tcBorders>
              <w:top w:val="single" w:color="auto" w:sz="4" w:space="0"/>
              <w:left w:val="nil"/>
              <w:bottom w:val="single" w:color="auto" w:sz="4" w:space="0"/>
              <w:right w:val="single" w:color="auto" w:sz="4" w:space="0"/>
            </w:tcBorders>
            <w:noWrap/>
          </w:tcPr>
          <w:p w14:paraId="67671702">
            <w:pPr>
              <w:spacing w:line="360" w:lineRule="auto"/>
              <w:jc w:val="center"/>
              <w:rPr>
                <w:rFonts w:ascii="宋体" w:hAnsi="宋体" w:cs="宋体"/>
                <w:color w:val="auto"/>
                <w:sz w:val="24"/>
                <w:highlight w:val="none"/>
              </w:rPr>
            </w:pPr>
          </w:p>
        </w:tc>
      </w:tr>
      <w:tr w14:paraId="45C00897">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5521B3F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职务职称</w:t>
            </w:r>
          </w:p>
        </w:tc>
        <w:tc>
          <w:tcPr>
            <w:tcW w:w="2976" w:type="dxa"/>
            <w:gridSpan w:val="4"/>
            <w:tcBorders>
              <w:top w:val="single" w:color="auto" w:sz="4" w:space="0"/>
              <w:left w:val="nil"/>
              <w:bottom w:val="single" w:color="auto" w:sz="4" w:space="0"/>
              <w:right w:val="single" w:color="auto" w:sz="4" w:space="0"/>
            </w:tcBorders>
            <w:noWrap/>
          </w:tcPr>
          <w:p w14:paraId="2218EE0D">
            <w:pPr>
              <w:spacing w:line="360" w:lineRule="auto"/>
              <w:rPr>
                <w:rFonts w:ascii="宋体" w:hAnsi="宋体" w:cs="宋体"/>
                <w:color w:val="auto"/>
                <w:sz w:val="24"/>
                <w:highlight w:val="none"/>
              </w:rPr>
            </w:pPr>
          </w:p>
        </w:tc>
        <w:tc>
          <w:tcPr>
            <w:tcW w:w="1466" w:type="dxa"/>
            <w:gridSpan w:val="2"/>
            <w:tcBorders>
              <w:top w:val="single" w:color="auto" w:sz="4" w:space="0"/>
              <w:left w:val="nil"/>
              <w:bottom w:val="single" w:color="auto" w:sz="4" w:space="0"/>
              <w:right w:val="single" w:color="auto" w:sz="4" w:space="0"/>
            </w:tcBorders>
            <w:noWrap/>
          </w:tcPr>
          <w:p w14:paraId="78F322B1">
            <w:pPr>
              <w:spacing w:line="360" w:lineRule="auto"/>
              <w:rPr>
                <w:rFonts w:ascii="宋体" w:hAnsi="宋体" w:cs="宋体"/>
                <w:color w:val="auto"/>
                <w:sz w:val="24"/>
                <w:highlight w:val="none"/>
              </w:rPr>
            </w:pPr>
            <w:r>
              <w:rPr>
                <w:rFonts w:hint="eastAsia" w:ascii="宋体" w:hAnsi="宋体" w:cs="宋体"/>
                <w:color w:val="auto"/>
                <w:sz w:val="24"/>
                <w:highlight w:val="none"/>
              </w:rPr>
              <w:t>执业资格</w:t>
            </w:r>
          </w:p>
        </w:tc>
        <w:tc>
          <w:tcPr>
            <w:tcW w:w="2787" w:type="dxa"/>
            <w:gridSpan w:val="2"/>
            <w:tcBorders>
              <w:top w:val="single" w:color="auto" w:sz="4" w:space="0"/>
              <w:left w:val="nil"/>
              <w:bottom w:val="single" w:color="auto" w:sz="4" w:space="0"/>
              <w:right w:val="single" w:color="auto" w:sz="4" w:space="0"/>
            </w:tcBorders>
            <w:noWrap/>
          </w:tcPr>
          <w:p w14:paraId="7AE2DA1E">
            <w:pPr>
              <w:spacing w:line="360" w:lineRule="auto"/>
              <w:rPr>
                <w:rFonts w:ascii="宋体" w:hAnsi="宋体" w:cs="宋体"/>
                <w:color w:val="auto"/>
                <w:sz w:val="24"/>
                <w:highlight w:val="none"/>
              </w:rPr>
            </w:pPr>
          </w:p>
        </w:tc>
      </w:tr>
      <w:tr w14:paraId="347B6643">
        <w:tblPrEx>
          <w:tblCellMar>
            <w:top w:w="0" w:type="dxa"/>
            <w:left w:w="108" w:type="dxa"/>
            <w:bottom w:w="0" w:type="dxa"/>
            <w:right w:w="108" w:type="dxa"/>
          </w:tblCellMar>
        </w:tblPrEx>
        <w:trPr>
          <w:cantSplit/>
          <w:trHeight w:val="2780"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5AB33E7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经营范围</w:t>
            </w:r>
          </w:p>
        </w:tc>
        <w:tc>
          <w:tcPr>
            <w:tcW w:w="7229" w:type="dxa"/>
            <w:gridSpan w:val="8"/>
            <w:tcBorders>
              <w:top w:val="single" w:color="auto" w:sz="4" w:space="0"/>
              <w:left w:val="nil"/>
              <w:bottom w:val="single" w:color="auto" w:sz="4" w:space="0"/>
              <w:right w:val="single" w:color="auto" w:sz="4" w:space="0"/>
            </w:tcBorders>
            <w:noWrap/>
          </w:tcPr>
          <w:p w14:paraId="1DC001FE">
            <w:pPr>
              <w:spacing w:line="360" w:lineRule="auto"/>
              <w:rPr>
                <w:rFonts w:ascii="宋体" w:hAnsi="宋体" w:cs="宋体"/>
                <w:color w:val="auto"/>
                <w:sz w:val="24"/>
                <w:highlight w:val="none"/>
              </w:rPr>
            </w:pPr>
            <w:r>
              <w:rPr>
                <w:rFonts w:hint="eastAsia" w:ascii="宋体" w:hAnsi="宋体" w:cs="宋体"/>
                <w:color w:val="auto"/>
                <w:sz w:val="24"/>
                <w:highlight w:val="none"/>
              </w:rPr>
              <w:t>营业执照载明：</w:t>
            </w:r>
          </w:p>
          <w:p w14:paraId="35D7717E">
            <w:pPr>
              <w:spacing w:line="360" w:lineRule="auto"/>
              <w:rPr>
                <w:rFonts w:ascii="宋体" w:hAnsi="宋体" w:cs="宋体"/>
                <w:color w:val="auto"/>
                <w:sz w:val="24"/>
                <w:highlight w:val="none"/>
                <w:u w:val="single"/>
              </w:rPr>
            </w:pPr>
            <w:r>
              <w:rPr>
                <w:rFonts w:hint="eastAsia" w:ascii="宋体" w:hAnsi="宋体" w:cs="宋体"/>
                <w:color w:val="auto"/>
                <w:sz w:val="24"/>
                <w:highlight w:val="none"/>
              </w:rPr>
              <w:t>1.</w:t>
            </w:r>
          </w:p>
          <w:p w14:paraId="7B5881E1">
            <w:pPr>
              <w:spacing w:line="360" w:lineRule="auto"/>
              <w:rPr>
                <w:rFonts w:ascii="宋体" w:hAnsi="宋体" w:cs="宋体"/>
                <w:color w:val="auto"/>
                <w:sz w:val="24"/>
                <w:highlight w:val="none"/>
                <w:u w:val="single"/>
              </w:rPr>
            </w:pPr>
            <w:r>
              <w:rPr>
                <w:rFonts w:hint="eastAsia" w:ascii="宋体" w:hAnsi="宋体" w:cs="宋体"/>
                <w:color w:val="auto"/>
                <w:sz w:val="24"/>
                <w:highlight w:val="none"/>
              </w:rPr>
              <w:t>2.</w:t>
            </w:r>
          </w:p>
          <w:p w14:paraId="3705E5AF">
            <w:pPr>
              <w:spacing w:line="360" w:lineRule="auto"/>
              <w:rPr>
                <w:rFonts w:ascii="宋体" w:hAnsi="宋体" w:cs="宋体"/>
                <w:color w:val="auto"/>
                <w:sz w:val="24"/>
                <w:highlight w:val="none"/>
                <w:u w:val="single"/>
              </w:rPr>
            </w:pPr>
            <w:r>
              <w:rPr>
                <w:rFonts w:hint="eastAsia" w:ascii="宋体" w:hAnsi="宋体" w:cs="宋体"/>
                <w:color w:val="auto"/>
                <w:sz w:val="24"/>
                <w:highlight w:val="none"/>
              </w:rPr>
              <w:t>3.</w:t>
            </w:r>
          </w:p>
          <w:p w14:paraId="507CAA85">
            <w:pPr>
              <w:spacing w:line="360" w:lineRule="auto"/>
              <w:rPr>
                <w:rFonts w:ascii="宋体" w:hAnsi="宋体" w:cs="宋体"/>
                <w:color w:val="auto"/>
                <w:sz w:val="24"/>
                <w:highlight w:val="none"/>
              </w:rPr>
            </w:pPr>
            <w:r>
              <w:rPr>
                <w:rFonts w:hint="eastAsia" w:ascii="宋体" w:hAnsi="宋体" w:cs="宋体"/>
                <w:color w:val="auto"/>
                <w:sz w:val="24"/>
                <w:highlight w:val="none"/>
              </w:rPr>
              <w:t>………………………</w:t>
            </w:r>
          </w:p>
        </w:tc>
      </w:tr>
      <w:tr w14:paraId="5B7B3F8E">
        <w:tblPrEx>
          <w:tblCellMar>
            <w:top w:w="0" w:type="dxa"/>
            <w:left w:w="108" w:type="dxa"/>
            <w:bottom w:w="0" w:type="dxa"/>
            <w:right w:w="108" w:type="dxa"/>
          </w:tblCellMar>
        </w:tblPrEx>
        <w:trPr>
          <w:trHeight w:val="471" w:hRule="atLeast"/>
          <w:jc w:val="center"/>
        </w:trPr>
        <w:tc>
          <w:tcPr>
            <w:tcW w:w="2943" w:type="dxa"/>
            <w:gridSpan w:val="2"/>
            <w:tcBorders>
              <w:top w:val="single" w:color="auto" w:sz="4" w:space="0"/>
              <w:left w:val="single" w:color="auto" w:sz="4" w:space="0"/>
              <w:bottom w:val="single" w:color="auto" w:sz="4" w:space="0"/>
              <w:right w:val="single" w:color="auto" w:sz="4" w:space="0"/>
            </w:tcBorders>
            <w:noWrap/>
            <w:vAlign w:val="center"/>
          </w:tcPr>
          <w:p w14:paraId="2BC9D3C7">
            <w:pPr>
              <w:spacing w:line="360" w:lineRule="auto"/>
              <w:rPr>
                <w:rFonts w:ascii="宋体" w:hAnsi="宋体" w:cs="宋体"/>
                <w:color w:val="auto"/>
                <w:sz w:val="24"/>
                <w:highlight w:val="none"/>
              </w:rPr>
            </w:pPr>
            <w:r>
              <w:rPr>
                <w:rFonts w:hint="eastAsia" w:ascii="宋体" w:hAnsi="宋体" w:cs="宋体"/>
                <w:color w:val="auto"/>
                <w:sz w:val="24"/>
                <w:highlight w:val="none"/>
              </w:rPr>
              <w:t>从事类似相关项目的经历及年数</w:t>
            </w:r>
          </w:p>
        </w:tc>
        <w:tc>
          <w:tcPr>
            <w:tcW w:w="6521" w:type="dxa"/>
            <w:gridSpan w:val="7"/>
            <w:tcBorders>
              <w:top w:val="single" w:color="auto" w:sz="4" w:space="0"/>
              <w:left w:val="nil"/>
              <w:bottom w:val="single" w:color="auto" w:sz="4" w:space="0"/>
              <w:right w:val="single" w:color="auto" w:sz="4" w:space="0"/>
            </w:tcBorders>
            <w:noWrap/>
          </w:tcPr>
          <w:p w14:paraId="268EE1CA">
            <w:pPr>
              <w:spacing w:line="360" w:lineRule="auto"/>
              <w:rPr>
                <w:rFonts w:ascii="宋体" w:hAnsi="宋体" w:cs="宋体"/>
                <w:color w:val="auto"/>
                <w:sz w:val="24"/>
                <w:highlight w:val="none"/>
              </w:rPr>
            </w:pPr>
          </w:p>
        </w:tc>
      </w:tr>
      <w:tr w14:paraId="351E06BF">
        <w:tblPrEx>
          <w:tblCellMar>
            <w:top w:w="0" w:type="dxa"/>
            <w:left w:w="108" w:type="dxa"/>
            <w:bottom w:w="0" w:type="dxa"/>
            <w:right w:w="108" w:type="dxa"/>
          </w:tblCellMar>
        </w:tblPrEx>
        <w:trPr>
          <w:trHeight w:val="471" w:hRule="atLeast"/>
          <w:jc w:val="center"/>
        </w:trPr>
        <w:tc>
          <w:tcPr>
            <w:tcW w:w="2943" w:type="dxa"/>
            <w:gridSpan w:val="2"/>
            <w:tcBorders>
              <w:top w:val="single" w:color="auto" w:sz="4" w:space="0"/>
              <w:left w:val="single" w:color="auto" w:sz="4" w:space="0"/>
              <w:bottom w:val="single" w:color="auto" w:sz="4" w:space="0"/>
              <w:right w:val="single" w:color="auto" w:sz="4" w:space="0"/>
            </w:tcBorders>
            <w:noWrap/>
            <w:vAlign w:val="center"/>
          </w:tcPr>
          <w:p w14:paraId="2BC7B55C">
            <w:pPr>
              <w:spacing w:line="360" w:lineRule="auto"/>
              <w:rPr>
                <w:rFonts w:ascii="宋体" w:hAnsi="宋体" w:cs="宋体"/>
                <w:color w:val="auto"/>
                <w:sz w:val="24"/>
                <w:highlight w:val="none"/>
              </w:rPr>
            </w:pPr>
            <w:r>
              <w:rPr>
                <w:rFonts w:hint="eastAsia" w:ascii="宋体" w:hAnsi="宋体" w:cs="宋体"/>
                <w:color w:val="auto"/>
                <w:sz w:val="24"/>
                <w:highlight w:val="none"/>
              </w:rPr>
              <w:t>其他认为有必要提供的内容，可自行添加</w:t>
            </w:r>
          </w:p>
        </w:tc>
        <w:tc>
          <w:tcPr>
            <w:tcW w:w="6521" w:type="dxa"/>
            <w:gridSpan w:val="7"/>
            <w:tcBorders>
              <w:top w:val="single" w:color="auto" w:sz="4" w:space="0"/>
              <w:left w:val="nil"/>
              <w:bottom w:val="single" w:color="auto" w:sz="4" w:space="0"/>
              <w:right w:val="single" w:color="auto" w:sz="4" w:space="0"/>
            </w:tcBorders>
            <w:noWrap/>
          </w:tcPr>
          <w:p w14:paraId="2C98ED07">
            <w:pPr>
              <w:spacing w:line="360" w:lineRule="auto"/>
              <w:rPr>
                <w:rFonts w:ascii="宋体" w:hAnsi="宋体" w:cs="宋体"/>
                <w:color w:val="auto"/>
                <w:sz w:val="24"/>
                <w:highlight w:val="none"/>
              </w:rPr>
            </w:pPr>
          </w:p>
        </w:tc>
      </w:tr>
    </w:tbl>
    <w:p w14:paraId="5D2CB25F">
      <w:pPr>
        <w:spacing w:line="360" w:lineRule="auto"/>
        <w:ind w:firstLine="480" w:firstLineChars="200"/>
        <w:jc w:val="right"/>
        <w:rPr>
          <w:rFonts w:hint="eastAsia" w:ascii="宋体" w:hAnsi="宋体" w:cs="宋体"/>
          <w:color w:val="auto"/>
          <w:sz w:val="24"/>
          <w:highlight w:val="none"/>
        </w:rPr>
      </w:pPr>
    </w:p>
    <w:p w14:paraId="572653FF">
      <w:pPr>
        <w:spacing w:line="360" w:lineRule="auto"/>
        <w:ind w:firstLine="480" w:firstLineChars="200"/>
        <w:jc w:val="right"/>
        <w:rPr>
          <w:rFonts w:ascii="宋体" w:hAnsi="宋体" w:cs="宋体"/>
          <w:color w:val="auto"/>
          <w:sz w:val="24"/>
          <w:highlight w:val="none"/>
        </w:rPr>
      </w:pPr>
      <w:r>
        <w:rPr>
          <w:rFonts w:hint="eastAsia" w:ascii="宋体" w:hAnsi="宋体" w:cs="宋体"/>
          <w:color w:val="auto"/>
          <w:sz w:val="24"/>
          <w:highlight w:val="none"/>
        </w:rPr>
        <w:t>供应商：（加盖公章）</w:t>
      </w:r>
    </w:p>
    <w:p w14:paraId="6AF7875F">
      <w:pPr>
        <w:spacing w:line="360" w:lineRule="auto"/>
        <w:ind w:firstLine="480" w:firstLineChars="200"/>
        <w:jc w:val="right"/>
        <w:rPr>
          <w:rFonts w:ascii="宋体" w:hAnsi="宋体" w:cs="宋体"/>
          <w:color w:val="auto"/>
          <w:sz w:val="24"/>
          <w:highlight w:val="none"/>
        </w:rPr>
      </w:pPr>
      <w:r>
        <w:rPr>
          <w:rFonts w:hint="eastAsia" w:ascii="宋体" w:hAnsi="宋体" w:cs="宋体"/>
          <w:color w:val="auto"/>
          <w:sz w:val="24"/>
          <w:highlight w:val="none"/>
        </w:rPr>
        <w:t>法定代表人或被授权人：（签字或盖章）</w:t>
      </w:r>
    </w:p>
    <w:p w14:paraId="20B89E8B">
      <w:pPr>
        <w:spacing w:line="360" w:lineRule="auto"/>
        <w:ind w:firstLine="1320" w:firstLineChars="550"/>
        <w:jc w:val="right"/>
        <w:rPr>
          <w:rFonts w:hint="eastAsia" w:ascii="宋体" w:hAnsi="宋体" w:cs="宋体"/>
          <w:color w:val="auto"/>
          <w:sz w:val="24"/>
          <w:highlight w:val="none"/>
        </w:rPr>
      </w:pPr>
      <w:r>
        <w:rPr>
          <w:rFonts w:hint="eastAsia" w:ascii="宋体" w:hAnsi="宋体" w:cs="宋体"/>
          <w:color w:val="auto"/>
          <w:sz w:val="24"/>
          <w:highlight w:val="none"/>
        </w:rPr>
        <w:t>年      月     日</w:t>
      </w:r>
    </w:p>
    <w:p w14:paraId="60F8D3A9">
      <w:pPr>
        <w:rPr>
          <w:rFonts w:hint="eastAsia" w:ascii="宋体" w:hAnsi="宋体" w:cs="宋体"/>
          <w:color w:val="auto"/>
          <w:sz w:val="24"/>
          <w:highlight w:val="none"/>
        </w:rPr>
      </w:pPr>
      <w:r>
        <w:rPr>
          <w:rFonts w:hint="eastAsia" w:ascii="宋体" w:hAnsi="宋体" w:cs="宋体"/>
          <w:color w:val="auto"/>
          <w:sz w:val="24"/>
          <w:highlight w:val="none"/>
        </w:rPr>
        <w:br w:type="page"/>
      </w:r>
    </w:p>
    <w:p w14:paraId="36782D2B">
      <w:pPr>
        <w:rPr>
          <w:rFonts w:ascii="宋体" w:hAnsi="宋体" w:cs="宋体"/>
          <w:b/>
          <w:color w:val="auto"/>
          <w:sz w:val="24"/>
          <w:highlight w:val="none"/>
        </w:rPr>
      </w:pPr>
      <w:r>
        <w:rPr>
          <w:rFonts w:hint="eastAsia" w:ascii="宋体" w:hAnsi="宋体" w:cs="宋体"/>
          <w:b/>
          <w:bCs/>
          <w:color w:val="auto"/>
          <w:sz w:val="24"/>
          <w:highlight w:val="none"/>
        </w:rPr>
        <w:t>三、</w:t>
      </w:r>
      <w:r>
        <w:rPr>
          <w:rFonts w:hint="eastAsia" w:ascii="宋体" w:hAnsi="宋体" w:cs="宋体"/>
          <w:b/>
          <w:color w:val="auto"/>
          <w:sz w:val="24"/>
          <w:highlight w:val="none"/>
          <w:lang w:val="en-US" w:eastAsia="zh-CN"/>
        </w:rPr>
        <w:t>报价</w:t>
      </w:r>
      <w:r>
        <w:rPr>
          <w:rFonts w:hint="eastAsia" w:ascii="宋体" w:hAnsi="宋体" w:cs="宋体"/>
          <w:b/>
          <w:color w:val="auto"/>
          <w:sz w:val="24"/>
          <w:highlight w:val="none"/>
        </w:rPr>
        <w:t>文件相关的格式文件及表格</w:t>
      </w:r>
    </w:p>
    <w:p w14:paraId="1B47B836">
      <w:pPr>
        <w:snapToGrid w:val="0"/>
        <w:spacing w:line="500" w:lineRule="exact"/>
        <w:jc w:val="center"/>
        <w:outlineLvl w:val="2"/>
        <w:rPr>
          <w:b/>
          <w:color w:val="auto"/>
          <w:sz w:val="28"/>
          <w:szCs w:val="28"/>
          <w:highlight w:val="none"/>
        </w:rPr>
      </w:pPr>
    </w:p>
    <w:p w14:paraId="06D2071D">
      <w:pPr>
        <w:snapToGrid w:val="0"/>
        <w:spacing w:line="500" w:lineRule="exact"/>
        <w:jc w:val="center"/>
        <w:outlineLvl w:val="2"/>
        <w:rPr>
          <w:b/>
          <w:color w:val="auto"/>
          <w:sz w:val="28"/>
          <w:szCs w:val="28"/>
          <w:highlight w:val="none"/>
        </w:rPr>
      </w:pPr>
      <w:r>
        <w:rPr>
          <w:rFonts w:hint="eastAsia"/>
          <w:b/>
          <w:color w:val="auto"/>
          <w:sz w:val="28"/>
          <w:szCs w:val="28"/>
          <w:highlight w:val="none"/>
        </w:rPr>
        <w:t>1、</w:t>
      </w:r>
      <w:r>
        <w:rPr>
          <w:b/>
          <w:color w:val="auto"/>
          <w:sz w:val="28"/>
          <w:szCs w:val="28"/>
          <w:highlight w:val="none"/>
        </w:rPr>
        <w:t>磋商报价总表</w:t>
      </w:r>
    </w:p>
    <w:tbl>
      <w:tblPr>
        <w:tblStyle w:val="16"/>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6"/>
        <w:gridCol w:w="6323"/>
      </w:tblGrid>
      <w:tr w14:paraId="0746E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2756" w:type="dxa"/>
            <w:noWrap/>
            <w:vAlign w:val="center"/>
          </w:tcPr>
          <w:p w14:paraId="7941E535">
            <w:pPr>
              <w:keepNext w:val="0"/>
              <w:keepLines w:val="0"/>
              <w:pageBreakBefore w:val="0"/>
              <w:widowControl w:val="0"/>
              <w:kinsoku w:val="0"/>
              <w:wordWrap/>
              <w:overflowPunct/>
              <w:topLinePunct/>
              <w:autoSpaceDE/>
              <w:autoSpaceDN/>
              <w:bidi w:val="0"/>
              <w:adjustRightInd/>
              <w:snapToGrid/>
              <w:spacing w:line="240" w:lineRule="auto"/>
              <w:jc w:val="center"/>
              <w:textAlignment w:val="auto"/>
              <w:rPr>
                <w:rFonts w:ascii="宋体" w:hAnsi="宋体"/>
                <w:color w:val="auto"/>
                <w:sz w:val="24"/>
                <w:highlight w:val="none"/>
              </w:rPr>
            </w:pPr>
            <w:r>
              <w:rPr>
                <w:rFonts w:hint="eastAsia" w:ascii="宋体" w:hAnsi="宋体" w:cs="宋体"/>
                <w:color w:val="auto"/>
                <w:sz w:val="24"/>
                <w:highlight w:val="none"/>
              </w:rPr>
              <w:t>项目名称</w:t>
            </w:r>
          </w:p>
        </w:tc>
        <w:tc>
          <w:tcPr>
            <w:tcW w:w="6323" w:type="dxa"/>
            <w:noWrap/>
            <w:vAlign w:val="center"/>
          </w:tcPr>
          <w:p w14:paraId="1881DC33">
            <w:pPr>
              <w:keepNext w:val="0"/>
              <w:keepLines w:val="0"/>
              <w:pageBreakBefore w:val="0"/>
              <w:widowControl w:val="0"/>
              <w:kinsoku w:val="0"/>
              <w:wordWrap/>
              <w:overflowPunct/>
              <w:topLinePunct/>
              <w:autoSpaceDE/>
              <w:autoSpaceDN/>
              <w:bidi w:val="0"/>
              <w:adjustRightInd/>
              <w:snapToGrid/>
              <w:spacing w:line="240" w:lineRule="auto"/>
              <w:textAlignment w:val="auto"/>
              <w:rPr>
                <w:rFonts w:ascii="宋体" w:hAnsi="宋体"/>
                <w:strike/>
                <w:color w:val="auto"/>
                <w:sz w:val="24"/>
                <w:highlight w:val="none"/>
              </w:rPr>
            </w:pPr>
          </w:p>
        </w:tc>
      </w:tr>
      <w:tr w14:paraId="0D4CE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2756" w:type="dxa"/>
            <w:noWrap/>
            <w:vAlign w:val="center"/>
          </w:tcPr>
          <w:p w14:paraId="1039F43F">
            <w:pPr>
              <w:keepNext w:val="0"/>
              <w:keepLines w:val="0"/>
              <w:pageBreakBefore w:val="0"/>
              <w:widowControl w:val="0"/>
              <w:kinsoku w:val="0"/>
              <w:wordWrap/>
              <w:overflowPunct/>
              <w:topLinePunct/>
              <w:autoSpaceDE/>
              <w:autoSpaceDN/>
              <w:bidi w:val="0"/>
              <w:adjustRightInd/>
              <w:snapToGrid/>
              <w:spacing w:line="240" w:lineRule="auto"/>
              <w:jc w:val="center"/>
              <w:textAlignment w:val="auto"/>
              <w:rPr>
                <w:rFonts w:ascii="宋体" w:hAnsi="宋体"/>
                <w:color w:val="auto"/>
                <w:sz w:val="24"/>
                <w:highlight w:val="none"/>
              </w:rPr>
            </w:pPr>
            <w:r>
              <w:rPr>
                <w:rFonts w:hint="eastAsia" w:ascii="宋体" w:hAnsi="宋体" w:cs="宋体"/>
                <w:color w:val="auto"/>
                <w:sz w:val="24"/>
                <w:highlight w:val="none"/>
              </w:rPr>
              <w:t>项目编号</w:t>
            </w:r>
          </w:p>
        </w:tc>
        <w:tc>
          <w:tcPr>
            <w:tcW w:w="6323" w:type="dxa"/>
            <w:noWrap/>
            <w:vAlign w:val="center"/>
          </w:tcPr>
          <w:p w14:paraId="605C5B01">
            <w:pPr>
              <w:keepNext w:val="0"/>
              <w:keepLines w:val="0"/>
              <w:pageBreakBefore w:val="0"/>
              <w:widowControl w:val="0"/>
              <w:kinsoku w:val="0"/>
              <w:wordWrap/>
              <w:overflowPunct/>
              <w:topLinePunct/>
              <w:autoSpaceDE/>
              <w:autoSpaceDN/>
              <w:bidi w:val="0"/>
              <w:adjustRightInd/>
              <w:snapToGrid/>
              <w:spacing w:line="240" w:lineRule="auto"/>
              <w:textAlignment w:val="auto"/>
              <w:rPr>
                <w:rFonts w:ascii="宋体" w:hAnsi="宋体"/>
                <w:color w:val="auto"/>
                <w:sz w:val="24"/>
                <w:highlight w:val="none"/>
              </w:rPr>
            </w:pPr>
          </w:p>
        </w:tc>
      </w:tr>
      <w:tr w14:paraId="1F9A1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2756" w:type="dxa"/>
            <w:vMerge w:val="restart"/>
            <w:noWrap/>
            <w:vAlign w:val="center"/>
          </w:tcPr>
          <w:p w14:paraId="40082ED4">
            <w:pPr>
              <w:keepNext w:val="0"/>
              <w:keepLines w:val="0"/>
              <w:pageBreakBefore w:val="0"/>
              <w:widowControl w:val="0"/>
              <w:kinsoku w:val="0"/>
              <w:wordWrap/>
              <w:overflowPunct/>
              <w:topLinePunct/>
              <w:autoSpaceDE/>
              <w:autoSpaceDN/>
              <w:bidi w:val="0"/>
              <w:adjustRightInd/>
              <w:snapToGrid/>
              <w:spacing w:line="240" w:lineRule="auto"/>
              <w:jc w:val="center"/>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首次报价</w:t>
            </w:r>
          </w:p>
          <w:p w14:paraId="250BB84C">
            <w:pPr>
              <w:keepNext w:val="0"/>
              <w:keepLines w:val="0"/>
              <w:pageBreakBefore w:val="0"/>
              <w:widowControl w:val="0"/>
              <w:kinsoku w:val="0"/>
              <w:wordWrap/>
              <w:overflowPunct/>
              <w:topLinePunct/>
              <w:autoSpaceDE/>
              <w:autoSpaceDN/>
              <w:bidi w:val="0"/>
              <w:adjustRightInd/>
              <w:snapToGrid/>
              <w:spacing w:line="240" w:lineRule="auto"/>
              <w:jc w:val="center"/>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（3年总报价）</w:t>
            </w:r>
          </w:p>
        </w:tc>
        <w:tc>
          <w:tcPr>
            <w:tcW w:w="6323" w:type="dxa"/>
            <w:noWrap/>
            <w:vAlign w:val="center"/>
          </w:tcPr>
          <w:p w14:paraId="007F0977">
            <w:pPr>
              <w:keepNext w:val="0"/>
              <w:keepLines w:val="0"/>
              <w:pageBreakBefore w:val="0"/>
              <w:widowControl w:val="0"/>
              <w:kinsoku w:val="0"/>
              <w:wordWrap/>
              <w:overflowPunct/>
              <w:topLinePunct/>
              <w:autoSpaceDE/>
              <w:autoSpaceDN/>
              <w:bidi w:val="0"/>
              <w:adjustRightInd/>
              <w:snapToGrid/>
              <w:spacing w:line="500" w:lineRule="exact"/>
              <w:textAlignment w:val="auto"/>
              <w:rPr>
                <w:rFonts w:hint="eastAsia" w:ascii="宋体" w:hAnsi="宋体" w:cs="宋体"/>
                <w:color w:val="auto"/>
                <w:sz w:val="24"/>
                <w:highlight w:val="none"/>
                <w:u w:val="single"/>
              </w:rPr>
            </w:pPr>
            <w:r>
              <w:rPr>
                <w:rFonts w:hint="eastAsia" w:ascii="宋体" w:hAnsi="宋体"/>
                <w:color w:val="auto"/>
                <w:sz w:val="24"/>
                <w:highlight w:val="none"/>
                <w:u w:val="none"/>
                <w:lang w:val="en-US" w:eastAsia="zh-CN"/>
              </w:rPr>
              <w:t>含税总价：</w:t>
            </w:r>
            <w:r>
              <w:rPr>
                <w:rFonts w:ascii="宋体" w:hAnsi="宋体"/>
                <w:color w:val="auto"/>
                <w:sz w:val="24"/>
                <w:highlight w:val="none"/>
                <w:u w:val="single"/>
              </w:rPr>
              <w:t>¥</w:t>
            </w:r>
            <w:r>
              <w:rPr>
                <w:rFonts w:hint="eastAsia" w:ascii="宋体" w:hAnsi="宋体"/>
                <w:color w:val="auto"/>
                <w:sz w:val="24"/>
                <w:highlight w:val="none"/>
                <w:u w:val="single"/>
                <w:lang w:val="en-US" w:eastAsia="zh-CN"/>
              </w:rPr>
              <w:t xml:space="preserve">       </w:t>
            </w:r>
            <w:r>
              <w:rPr>
                <w:rFonts w:hint="eastAsia" w:ascii="宋体" w:hAnsi="宋体" w:cs="宋体"/>
                <w:color w:val="auto"/>
                <w:sz w:val="24"/>
                <w:highlight w:val="none"/>
                <w:u w:val="single"/>
              </w:rPr>
              <w:t>元</w:t>
            </w:r>
          </w:p>
          <w:p w14:paraId="04F062BC">
            <w:pPr>
              <w:keepNext w:val="0"/>
              <w:keepLines w:val="0"/>
              <w:pageBreakBefore w:val="0"/>
              <w:widowControl w:val="0"/>
              <w:kinsoku w:val="0"/>
              <w:wordWrap/>
              <w:overflowPunct/>
              <w:topLinePunct/>
              <w:autoSpaceDE/>
              <w:autoSpaceDN/>
              <w:bidi w:val="0"/>
              <w:adjustRightInd/>
              <w:snapToGrid/>
              <w:spacing w:line="500" w:lineRule="exact"/>
              <w:textAlignment w:val="auto"/>
              <w:rPr>
                <w:rFonts w:ascii="宋体" w:hAnsi="宋体" w:cs="宋体"/>
                <w:color w:val="auto"/>
                <w:sz w:val="24"/>
                <w:highlight w:val="none"/>
              </w:rPr>
            </w:pPr>
            <w:r>
              <w:rPr>
                <w:rFonts w:hint="eastAsia" w:ascii="宋体" w:hAnsi="宋体" w:cs="宋体"/>
                <w:color w:val="auto"/>
                <w:sz w:val="24"/>
                <w:highlight w:val="none"/>
                <w:u w:val="none"/>
              </w:rPr>
              <w:t>人民币大写：</w:t>
            </w:r>
            <w:r>
              <w:rPr>
                <w:rFonts w:hint="eastAsia" w:ascii="宋体" w:hAnsi="宋体" w:cs="宋体"/>
                <w:color w:val="auto"/>
                <w:sz w:val="24"/>
                <w:highlight w:val="none"/>
                <w:u w:val="single"/>
                <w:lang w:val="en-US" w:eastAsia="zh-CN"/>
              </w:rPr>
              <w:t xml:space="preserve">        </w:t>
            </w:r>
          </w:p>
        </w:tc>
      </w:tr>
      <w:tr w14:paraId="21A02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2756" w:type="dxa"/>
            <w:vMerge w:val="continue"/>
            <w:noWrap/>
            <w:vAlign w:val="center"/>
          </w:tcPr>
          <w:p w14:paraId="7CB19C9B">
            <w:pPr>
              <w:keepNext w:val="0"/>
              <w:keepLines w:val="0"/>
              <w:pageBreakBefore w:val="0"/>
              <w:widowControl w:val="0"/>
              <w:kinsoku w:val="0"/>
              <w:wordWrap/>
              <w:overflowPunct/>
              <w:topLinePunct/>
              <w:autoSpaceDE/>
              <w:autoSpaceDN/>
              <w:bidi w:val="0"/>
              <w:adjustRightInd/>
              <w:snapToGrid/>
              <w:spacing w:line="240" w:lineRule="auto"/>
              <w:jc w:val="center"/>
              <w:textAlignment w:val="auto"/>
              <w:rPr>
                <w:rFonts w:hint="eastAsia" w:ascii="宋体" w:hAnsi="宋体" w:cs="宋体"/>
                <w:color w:val="auto"/>
                <w:sz w:val="24"/>
                <w:highlight w:val="none"/>
                <w:lang w:eastAsia="zh-CN"/>
              </w:rPr>
            </w:pPr>
          </w:p>
        </w:tc>
        <w:tc>
          <w:tcPr>
            <w:tcW w:w="6323" w:type="dxa"/>
            <w:noWrap/>
            <w:vAlign w:val="center"/>
          </w:tcPr>
          <w:p w14:paraId="271E474B">
            <w:pPr>
              <w:keepNext w:val="0"/>
              <w:keepLines w:val="0"/>
              <w:pageBreakBefore w:val="0"/>
              <w:widowControl w:val="0"/>
              <w:kinsoku w:val="0"/>
              <w:wordWrap/>
              <w:overflowPunct/>
              <w:topLinePunct/>
              <w:autoSpaceDE/>
              <w:autoSpaceDN/>
              <w:bidi w:val="0"/>
              <w:adjustRightInd/>
              <w:snapToGrid/>
              <w:spacing w:line="240" w:lineRule="auto"/>
              <w:textAlignment w:val="auto"/>
              <w:rPr>
                <w:rFonts w:ascii="宋体" w:hAnsi="宋体"/>
                <w:color w:val="auto"/>
                <w:sz w:val="24"/>
                <w:highlight w:val="none"/>
                <w:u w:val="single"/>
              </w:rPr>
            </w:pPr>
            <w:r>
              <w:rPr>
                <w:rFonts w:hint="eastAsia" w:ascii="宋体" w:hAnsi="宋体"/>
                <w:color w:val="auto"/>
                <w:sz w:val="24"/>
                <w:highlight w:val="none"/>
                <w:u w:val="none"/>
                <w:lang w:val="en-US" w:eastAsia="zh-CN"/>
              </w:rPr>
              <w:t>税率：</w:t>
            </w:r>
            <w:r>
              <w:rPr>
                <w:rFonts w:hint="eastAsia" w:ascii="宋体" w:hAnsi="宋体"/>
                <w:color w:val="auto"/>
                <w:sz w:val="24"/>
                <w:highlight w:val="none"/>
                <w:u w:val="single"/>
                <w:lang w:val="en-US" w:eastAsia="zh-CN"/>
              </w:rPr>
              <w:t xml:space="preserve">   %</w:t>
            </w:r>
          </w:p>
        </w:tc>
      </w:tr>
      <w:tr w14:paraId="1A84D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2756" w:type="dxa"/>
            <w:vMerge w:val="continue"/>
            <w:noWrap/>
            <w:vAlign w:val="center"/>
          </w:tcPr>
          <w:p w14:paraId="10613AAB">
            <w:pPr>
              <w:keepNext w:val="0"/>
              <w:keepLines w:val="0"/>
              <w:pageBreakBefore w:val="0"/>
              <w:widowControl w:val="0"/>
              <w:kinsoku w:val="0"/>
              <w:wordWrap/>
              <w:overflowPunct/>
              <w:topLinePunct/>
              <w:autoSpaceDE/>
              <w:autoSpaceDN/>
              <w:bidi w:val="0"/>
              <w:adjustRightInd/>
              <w:snapToGrid/>
              <w:spacing w:line="240" w:lineRule="auto"/>
              <w:jc w:val="center"/>
              <w:textAlignment w:val="auto"/>
              <w:rPr>
                <w:rFonts w:hint="eastAsia" w:ascii="宋体" w:hAnsi="宋体" w:cs="宋体"/>
                <w:color w:val="auto"/>
                <w:sz w:val="24"/>
                <w:highlight w:val="none"/>
                <w:lang w:eastAsia="zh-CN"/>
              </w:rPr>
            </w:pPr>
          </w:p>
        </w:tc>
        <w:tc>
          <w:tcPr>
            <w:tcW w:w="6323" w:type="dxa"/>
            <w:noWrap/>
            <w:vAlign w:val="center"/>
          </w:tcPr>
          <w:p w14:paraId="1609B59F">
            <w:pPr>
              <w:keepNext w:val="0"/>
              <w:keepLines w:val="0"/>
              <w:pageBreakBefore w:val="0"/>
              <w:widowControl w:val="0"/>
              <w:kinsoku w:val="0"/>
              <w:wordWrap/>
              <w:overflowPunct/>
              <w:topLinePunct/>
              <w:autoSpaceDE/>
              <w:autoSpaceDN/>
              <w:bidi w:val="0"/>
              <w:adjustRightInd/>
              <w:snapToGrid/>
              <w:spacing w:line="500" w:lineRule="exact"/>
              <w:textAlignment w:val="auto"/>
              <w:rPr>
                <w:rFonts w:hint="eastAsia" w:ascii="宋体" w:hAnsi="宋体" w:cs="宋体"/>
                <w:color w:val="auto"/>
                <w:sz w:val="24"/>
                <w:highlight w:val="none"/>
                <w:u w:val="single"/>
              </w:rPr>
            </w:pPr>
            <w:r>
              <w:rPr>
                <w:rFonts w:hint="eastAsia" w:ascii="宋体" w:hAnsi="宋体"/>
                <w:color w:val="auto"/>
                <w:sz w:val="24"/>
                <w:highlight w:val="none"/>
                <w:u w:val="none"/>
                <w:lang w:val="en-US" w:eastAsia="zh-CN"/>
              </w:rPr>
              <w:t>不含税总价：</w:t>
            </w:r>
            <w:r>
              <w:rPr>
                <w:rFonts w:ascii="宋体" w:hAnsi="宋体"/>
                <w:color w:val="auto"/>
                <w:sz w:val="24"/>
                <w:highlight w:val="none"/>
                <w:u w:val="single"/>
              </w:rPr>
              <w:t>¥</w:t>
            </w:r>
            <w:r>
              <w:rPr>
                <w:rFonts w:hint="eastAsia" w:ascii="宋体" w:hAnsi="宋体"/>
                <w:color w:val="auto"/>
                <w:sz w:val="24"/>
                <w:highlight w:val="none"/>
                <w:u w:val="single"/>
                <w:lang w:val="en-US" w:eastAsia="zh-CN"/>
              </w:rPr>
              <w:t xml:space="preserve">       </w:t>
            </w:r>
            <w:r>
              <w:rPr>
                <w:rFonts w:hint="eastAsia" w:ascii="宋体" w:hAnsi="宋体" w:cs="宋体"/>
                <w:color w:val="auto"/>
                <w:sz w:val="24"/>
                <w:highlight w:val="none"/>
                <w:u w:val="single"/>
              </w:rPr>
              <w:t>元</w:t>
            </w:r>
          </w:p>
          <w:p w14:paraId="6227B68A">
            <w:pPr>
              <w:keepNext w:val="0"/>
              <w:keepLines w:val="0"/>
              <w:pageBreakBefore w:val="0"/>
              <w:widowControl w:val="0"/>
              <w:kinsoku w:val="0"/>
              <w:wordWrap/>
              <w:overflowPunct/>
              <w:topLinePunct/>
              <w:autoSpaceDE/>
              <w:autoSpaceDN/>
              <w:bidi w:val="0"/>
              <w:adjustRightInd/>
              <w:snapToGrid/>
              <w:spacing w:line="500" w:lineRule="exact"/>
              <w:textAlignment w:val="auto"/>
              <w:rPr>
                <w:rFonts w:ascii="宋体" w:hAnsi="宋体"/>
                <w:color w:val="auto"/>
                <w:sz w:val="24"/>
                <w:highlight w:val="none"/>
                <w:u w:val="single"/>
              </w:rPr>
            </w:pPr>
            <w:r>
              <w:rPr>
                <w:rFonts w:hint="eastAsia" w:ascii="宋体" w:hAnsi="宋体" w:cs="宋体"/>
                <w:color w:val="auto"/>
                <w:sz w:val="24"/>
                <w:highlight w:val="none"/>
                <w:u w:val="none"/>
              </w:rPr>
              <w:t>人民币大写：</w:t>
            </w:r>
            <w:r>
              <w:rPr>
                <w:rFonts w:hint="eastAsia" w:ascii="宋体" w:hAnsi="宋体" w:cs="宋体"/>
                <w:color w:val="auto"/>
                <w:sz w:val="24"/>
                <w:highlight w:val="none"/>
                <w:u w:val="single"/>
                <w:lang w:val="en-US" w:eastAsia="zh-CN"/>
              </w:rPr>
              <w:t xml:space="preserve">          </w:t>
            </w:r>
          </w:p>
        </w:tc>
      </w:tr>
      <w:tr w14:paraId="7E964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2756" w:type="dxa"/>
            <w:vMerge w:val="restart"/>
            <w:noWrap/>
            <w:vAlign w:val="center"/>
          </w:tcPr>
          <w:p w14:paraId="55FC5FE5">
            <w:pPr>
              <w:keepNext w:val="0"/>
              <w:keepLines w:val="0"/>
              <w:pageBreakBefore w:val="0"/>
              <w:widowControl w:val="0"/>
              <w:kinsoku w:val="0"/>
              <w:wordWrap/>
              <w:overflowPunct/>
              <w:topLinePunct/>
              <w:autoSpaceDE/>
              <w:autoSpaceDN/>
              <w:bidi w:val="0"/>
              <w:adjustRightInd/>
              <w:snapToGrid/>
              <w:spacing w:line="240" w:lineRule="auto"/>
              <w:jc w:val="center"/>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最后报价</w:t>
            </w:r>
          </w:p>
          <w:p w14:paraId="2AA67558">
            <w:pPr>
              <w:keepNext w:val="0"/>
              <w:keepLines w:val="0"/>
              <w:pageBreakBefore w:val="0"/>
              <w:widowControl w:val="0"/>
              <w:kinsoku w:val="0"/>
              <w:wordWrap/>
              <w:overflowPunct/>
              <w:topLinePunct/>
              <w:autoSpaceDE/>
              <w:autoSpaceDN/>
              <w:bidi w:val="0"/>
              <w:adjustRightInd/>
              <w:snapToGrid/>
              <w:spacing w:line="240" w:lineRule="auto"/>
              <w:jc w:val="center"/>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（3年总报价）</w:t>
            </w:r>
          </w:p>
        </w:tc>
        <w:tc>
          <w:tcPr>
            <w:tcW w:w="6323" w:type="dxa"/>
            <w:noWrap/>
            <w:vAlign w:val="center"/>
          </w:tcPr>
          <w:p w14:paraId="2EAC48D2">
            <w:pPr>
              <w:keepNext w:val="0"/>
              <w:keepLines w:val="0"/>
              <w:pageBreakBefore w:val="0"/>
              <w:widowControl w:val="0"/>
              <w:kinsoku w:val="0"/>
              <w:wordWrap/>
              <w:overflowPunct/>
              <w:topLinePunct/>
              <w:autoSpaceDE/>
              <w:autoSpaceDN/>
              <w:bidi w:val="0"/>
              <w:adjustRightInd/>
              <w:snapToGrid/>
              <w:spacing w:line="500" w:lineRule="exact"/>
              <w:textAlignment w:val="auto"/>
              <w:rPr>
                <w:rFonts w:hint="eastAsia" w:ascii="宋体" w:hAnsi="宋体" w:cs="宋体"/>
                <w:color w:val="auto"/>
                <w:sz w:val="24"/>
                <w:highlight w:val="none"/>
                <w:u w:val="single"/>
              </w:rPr>
            </w:pPr>
            <w:r>
              <w:rPr>
                <w:rFonts w:hint="eastAsia" w:ascii="宋体" w:hAnsi="宋体"/>
                <w:color w:val="auto"/>
                <w:sz w:val="24"/>
                <w:highlight w:val="none"/>
                <w:u w:val="none"/>
                <w:lang w:val="en-US" w:eastAsia="zh-CN"/>
              </w:rPr>
              <w:t>含税总价：</w:t>
            </w:r>
            <w:r>
              <w:rPr>
                <w:rFonts w:ascii="宋体" w:hAnsi="宋体"/>
                <w:color w:val="auto"/>
                <w:sz w:val="24"/>
                <w:highlight w:val="none"/>
                <w:u w:val="single"/>
              </w:rPr>
              <w:t>¥</w:t>
            </w:r>
            <w:r>
              <w:rPr>
                <w:rFonts w:hint="eastAsia" w:ascii="宋体" w:hAnsi="宋体"/>
                <w:color w:val="auto"/>
                <w:sz w:val="24"/>
                <w:highlight w:val="none"/>
                <w:u w:val="single"/>
                <w:lang w:val="en-US" w:eastAsia="zh-CN"/>
              </w:rPr>
              <w:t xml:space="preserve">       </w:t>
            </w:r>
            <w:r>
              <w:rPr>
                <w:rFonts w:hint="eastAsia" w:ascii="宋体" w:hAnsi="宋体" w:cs="宋体"/>
                <w:color w:val="auto"/>
                <w:sz w:val="24"/>
                <w:highlight w:val="none"/>
                <w:u w:val="single"/>
              </w:rPr>
              <w:t>元</w:t>
            </w:r>
          </w:p>
          <w:p w14:paraId="0B0D53F5">
            <w:pPr>
              <w:keepNext w:val="0"/>
              <w:keepLines w:val="0"/>
              <w:pageBreakBefore w:val="0"/>
              <w:widowControl w:val="0"/>
              <w:kinsoku w:val="0"/>
              <w:wordWrap/>
              <w:overflowPunct/>
              <w:topLinePunct/>
              <w:autoSpaceDE/>
              <w:autoSpaceDN/>
              <w:bidi w:val="0"/>
              <w:adjustRightInd/>
              <w:snapToGrid/>
              <w:spacing w:line="500" w:lineRule="exact"/>
              <w:textAlignment w:val="auto"/>
              <w:rPr>
                <w:rFonts w:ascii="宋体" w:hAnsi="宋体"/>
                <w:color w:val="auto"/>
                <w:sz w:val="24"/>
                <w:highlight w:val="none"/>
                <w:u w:val="single"/>
              </w:rPr>
            </w:pPr>
            <w:r>
              <w:rPr>
                <w:rFonts w:hint="eastAsia" w:ascii="宋体" w:hAnsi="宋体" w:cs="宋体"/>
                <w:color w:val="auto"/>
                <w:sz w:val="24"/>
                <w:highlight w:val="none"/>
                <w:u w:val="none"/>
              </w:rPr>
              <w:t>人民币大写：</w:t>
            </w:r>
            <w:r>
              <w:rPr>
                <w:rFonts w:hint="eastAsia" w:ascii="宋体" w:hAnsi="宋体" w:cs="宋体"/>
                <w:color w:val="auto"/>
                <w:sz w:val="24"/>
                <w:highlight w:val="none"/>
                <w:u w:val="single"/>
                <w:lang w:val="en-US" w:eastAsia="zh-CN"/>
              </w:rPr>
              <w:t xml:space="preserve">        </w:t>
            </w:r>
          </w:p>
        </w:tc>
      </w:tr>
      <w:tr w14:paraId="70EC8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2756" w:type="dxa"/>
            <w:vMerge w:val="continue"/>
            <w:noWrap/>
            <w:vAlign w:val="center"/>
          </w:tcPr>
          <w:p w14:paraId="60568A3C">
            <w:pPr>
              <w:keepNext w:val="0"/>
              <w:keepLines w:val="0"/>
              <w:pageBreakBefore w:val="0"/>
              <w:widowControl w:val="0"/>
              <w:kinsoku w:val="0"/>
              <w:wordWrap/>
              <w:overflowPunct/>
              <w:topLinePunct/>
              <w:autoSpaceDE/>
              <w:autoSpaceDN/>
              <w:bidi w:val="0"/>
              <w:adjustRightInd/>
              <w:snapToGrid/>
              <w:spacing w:line="240" w:lineRule="auto"/>
              <w:jc w:val="center"/>
              <w:textAlignment w:val="auto"/>
              <w:rPr>
                <w:rFonts w:hint="eastAsia" w:ascii="宋体" w:hAnsi="宋体" w:cs="宋体"/>
                <w:color w:val="auto"/>
                <w:sz w:val="24"/>
                <w:highlight w:val="none"/>
                <w:lang w:eastAsia="zh-CN"/>
              </w:rPr>
            </w:pPr>
          </w:p>
        </w:tc>
        <w:tc>
          <w:tcPr>
            <w:tcW w:w="6323" w:type="dxa"/>
            <w:noWrap/>
            <w:vAlign w:val="center"/>
          </w:tcPr>
          <w:p w14:paraId="54174C2C">
            <w:pPr>
              <w:keepNext w:val="0"/>
              <w:keepLines w:val="0"/>
              <w:pageBreakBefore w:val="0"/>
              <w:widowControl w:val="0"/>
              <w:kinsoku w:val="0"/>
              <w:wordWrap/>
              <w:overflowPunct/>
              <w:topLinePunct/>
              <w:autoSpaceDE/>
              <w:autoSpaceDN/>
              <w:bidi w:val="0"/>
              <w:adjustRightInd/>
              <w:snapToGrid/>
              <w:spacing w:line="240" w:lineRule="auto"/>
              <w:textAlignment w:val="auto"/>
              <w:rPr>
                <w:rFonts w:ascii="宋体" w:hAnsi="宋体"/>
                <w:color w:val="auto"/>
                <w:sz w:val="24"/>
                <w:highlight w:val="none"/>
                <w:u w:val="single"/>
              </w:rPr>
            </w:pPr>
            <w:r>
              <w:rPr>
                <w:rFonts w:hint="eastAsia" w:ascii="宋体" w:hAnsi="宋体"/>
                <w:color w:val="auto"/>
                <w:sz w:val="24"/>
                <w:highlight w:val="none"/>
                <w:u w:val="none"/>
                <w:lang w:val="en-US" w:eastAsia="zh-CN"/>
              </w:rPr>
              <w:t>税率：</w:t>
            </w:r>
            <w:r>
              <w:rPr>
                <w:rFonts w:hint="eastAsia" w:ascii="宋体" w:hAnsi="宋体"/>
                <w:color w:val="auto"/>
                <w:sz w:val="24"/>
                <w:highlight w:val="none"/>
                <w:u w:val="single"/>
                <w:lang w:val="en-US" w:eastAsia="zh-CN"/>
              </w:rPr>
              <w:t xml:space="preserve">   %</w:t>
            </w:r>
          </w:p>
        </w:tc>
      </w:tr>
      <w:tr w14:paraId="48014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2756" w:type="dxa"/>
            <w:vMerge w:val="continue"/>
            <w:noWrap/>
            <w:vAlign w:val="center"/>
          </w:tcPr>
          <w:p w14:paraId="109AF1AD">
            <w:pPr>
              <w:keepNext w:val="0"/>
              <w:keepLines w:val="0"/>
              <w:pageBreakBefore w:val="0"/>
              <w:widowControl w:val="0"/>
              <w:kinsoku w:val="0"/>
              <w:wordWrap/>
              <w:overflowPunct/>
              <w:topLinePunct/>
              <w:autoSpaceDE/>
              <w:autoSpaceDN/>
              <w:bidi w:val="0"/>
              <w:adjustRightInd/>
              <w:snapToGrid/>
              <w:spacing w:line="240" w:lineRule="auto"/>
              <w:jc w:val="center"/>
              <w:textAlignment w:val="auto"/>
              <w:rPr>
                <w:rFonts w:hint="eastAsia" w:ascii="宋体" w:hAnsi="宋体" w:cs="宋体"/>
                <w:color w:val="auto"/>
                <w:sz w:val="24"/>
                <w:highlight w:val="none"/>
                <w:lang w:eastAsia="zh-CN"/>
              </w:rPr>
            </w:pPr>
          </w:p>
        </w:tc>
        <w:tc>
          <w:tcPr>
            <w:tcW w:w="6323" w:type="dxa"/>
            <w:noWrap/>
            <w:vAlign w:val="center"/>
          </w:tcPr>
          <w:p w14:paraId="69F72E1D">
            <w:pPr>
              <w:keepNext w:val="0"/>
              <w:keepLines w:val="0"/>
              <w:pageBreakBefore w:val="0"/>
              <w:widowControl w:val="0"/>
              <w:kinsoku w:val="0"/>
              <w:wordWrap/>
              <w:overflowPunct/>
              <w:topLinePunct/>
              <w:autoSpaceDE/>
              <w:autoSpaceDN/>
              <w:bidi w:val="0"/>
              <w:adjustRightInd/>
              <w:snapToGrid/>
              <w:spacing w:line="500" w:lineRule="exact"/>
              <w:textAlignment w:val="auto"/>
              <w:rPr>
                <w:rFonts w:hint="eastAsia" w:ascii="宋体" w:hAnsi="宋体" w:cs="宋体"/>
                <w:color w:val="auto"/>
                <w:sz w:val="24"/>
                <w:highlight w:val="none"/>
                <w:u w:val="single"/>
              </w:rPr>
            </w:pPr>
            <w:r>
              <w:rPr>
                <w:rFonts w:hint="eastAsia" w:ascii="宋体" w:hAnsi="宋体"/>
                <w:color w:val="auto"/>
                <w:sz w:val="24"/>
                <w:highlight w:val="none"/>
                <w:u w:val="none"/>
                <w:lang w:val="en-US" w:eastAsia="zh-CN"/>
              </w:rPr>
              <w:t>不含税总价：</w:t>
            </w:r>
            <w:r>
              <w:rPr>
                <w:rFonts w:ascii="宋体" w:hAnsi="宋体"/>
                <w:color w:val="auto"/>
                <w:sz w:val="24"/>
                <w:highlight w:val="none"/>
                <w:u w:val="single"/>
              </w:rPr>
              <w:t>¥</w:t>
            </w:r>
            <w:r>
              <w:rPr>
                <w:rFonts w:hint="eastAsia" w:ascii="宋体" w:hAnsi="宋体"/>
                <w:color w:val="auto"/>
                <w:sz w:val="24"/>
                <w:highlight w:val="none"/>
                <w:u w:val="single"/>
                <w:lang w:val="en-US" w:eastAsia="zh-CN"/>
              </w:rPr>
              <w:t xml:space="preserve">       </w:t>
            </w:r>
            <w:r>
              <w:rPr>
                <w:rFonts w:hint="eastAsia" w:ascii="宋体" w:hAnsi="宋体" w:cs="宋体"/>
                <w:color w:val="auto"/>
                <w:sz w:val="24"/>
                <w:highlight w:val="none"/>
                <w:u w:val="single"/>
              </w:rPr>
              <w:t>元</w:t>
            </w:r>
          </w:p>
          <w:p w14:paraId="35EA693D">
            <w:pPr>
              <w:keepNext w:val="0"/>
              <w:keepLines w:val="0"/>
              <w:pageBreakBefore w:val="0"/>
              <w:widowControl w:val="0"/>
              <w:kinsoku w:val="0"/>
              <w:wordWrap/>
              <w:overflowPunct/>
              <w:topLinePunct/>
              <w:autoSpaceDE/>
              <w:autoSpaceDN/>
              <w:bidi w:val="0"/>
              <w:adjustRightInd/>
              <w:snapToGrid/>
              <w:spacing w:line="500" w:lineRule="exact"/>
              <w:textAlignment w:val="auto"/>
              <w:rPr>
                <w:rFonts w:ascii="宋体" w:hAnsi="宋体"/>
                <w:color w:val="auto"/>
                <w:sz w:val="24"/>
                <w:highlight w:val="none"/>
                <w:u w:val="single"/>
              </w:rPr>
            </w:pPr>
            <w:r>
              <w:rPr>
                <w:rFonts w:hint="eastAsia" w:ascii="宋体" w:hAnsi="宋体" w:cs="宋体"/>
                <w:color w:val="auto"/>
                <w:sz w:val="24"/>
                <w:highlight w:val="none"/>
                <w:u w:val="none"/>
              </w:rPr>
              <w:t>人民币大写：</w:t>
            </w:r>
            <w:r>
              <w:rPr>
                <w:rFonts w:hint="eastAsia" w:ascii="宋体" w:hAnsi="宋体" w:cs="宋体"/>
                <w:color w:val="auto"/>
                <w:sz w:val="24"/>
                <w:highlight w:val="none"/>
                <w:u w:val="single"/>
                <w:lang w:val="en-US" w:eastAsia="zh-CN"/>
              </w:rPr>
              <w:t xml:space="preserve">          </w:t>
            </w:r>
          </w:p>
        </w:tc>
      </w:tr>
      <w:tr w14:paraId="59309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9079" w:type="dxa"/>
            <w:gridSpan w:val="2"/>
            <w:noWrap/>
            <w:vAlign w:val="center"/>
          </w:tcPr>
          <w:p w14:paraId="0EF73421">
            <w:pPr>
              <w:keepNext w:val="0"/>
              <w:keepLines w:val="0"/>
              <w:pageBreakBefore w:val="0"/>
              <w:widowControl w:val="0"/>
              <w:kinsoku/>
              <w:wordWrap/>
              <w:overflowPunct/>
              <w:topLinePunct/>
              <w:autoSpaceDE/>
              <w:autoSpaceDN/>
              <w:bidi w:val="0"/>
              <w:adjustRightInd/>
              <w:snapToGrid/>
              <w:spacing w:line="500" w:lineRule="exact"/>
              <w:ind w:firstLine="482" w:firstLineChars="200"/>
              <w:textAlignment w:val="auto"/>
              <w:rPr>
                <w:rFonts w:hint="default" w:ascii="宋体" w:hAnsi="宋体"/>
                <w:b/>
                <w:bCs/>
                <w:color w:val="auto"/>
                <w:sz w:val="24"/>
                <w:highlight w:val="none"/>
                <w:u w:val="none"/>
                <w:lang w:val="en-US" w:eastAsia="zh-CN"/>
              </w:rPr>
            </w:pPr>
            <w:r>
              <w:rPr>
                <w:rFonts w:hint="eastAsia" w:ascii="宋体" w:hAnsi="宋体" w:cs="宋体"/>
                <w:b/>
                <w:bCs/>
                <w:color w:val="auto"/>
                <w:sz w:val="24"/>
                <w:highlight w:val="none"/>
                <w:lang w:val="en-US" w:eastAsia="zh-CN"/>
              </w:rPr>
              <w:t>注：不含税总价=</w:t>
            </w:r>
            <w:r>
              <w:rPr>
                <w:rFonts w:hint="eastAsia" w:ascii="宋体" w:hAnsi="宋体"/>
                <w:b/>
                <w:bCs/>
                <w:color w:val="auto"/>
                <w:sz w:val="24"/>
                <w:highlight w:val="none"/>
                <w:u w:val="none"/>
                <w:lang w:val="en-US" w:eastAsia="zh-CN"/>
              </w:rPr>
              <w:t>含税总价/（1+税率），如不含税总价与此公式计算出来的结果不一致时，以含税总价修正不含税总价，如供应商拒绝修正的，作无效标处理。报价可以四舍五入到分。税率由供应商根据自身单位情况自行填报。</w:t>
            </w:r>
          </w:p>
        </w:tc>
      </w:tr>
    </w:tbl>
    <w:p w14:paraId="1BB6B2FC">
      <w:pPr>
        <w:kinsoku w:val="0"/>
        <w:topLinePunct/>
        <w:snapToGrid w:val="0"/>
        <w:spacing w:line="52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竞争性磋商响应单位：（盖章）</w:t>
      </w:r>
    </w:p>
    <w:p w14:paraId="677752F6">
      <w:pPr>
        <w:kinsoku w:val="0"/>
        <w:topLinePunct/>
        <w:snapToGrid w:val="0"/>
        <w:spacing w:line="52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法定代表人或被授权人（签字或盖章）：</w:t>
      </w:r>
    </w:p>
    <w:p w14:paraId="4E36F38D">
      <w:pPr>
        <w:kinsoku w:val="0"/>
        <w:topLinePunct/>
        <w:snapToGrid w:val="0"/>
        <w:spacing w:line="52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3EBE004F">
      <w:pPr>
        <w:snapToGrid w:val="0"/>
        <w:spacing w:line="480" w:lineRule="exact"/>
        <w:ind w:firstLine="482" w:firstLineChars="200"/>
        <w:jc w:val="left"/>
        <w:rPr>
          <w:rFonts w:hint="eastAsia" w:ascii="宋体" w:hAnsi="宋体" w:cs="宋体"/>
          <w:b/>
          <w:bCs/>
          <w:color w:val="auto"/>
          <w:sz w:val="24"/>
          <w:highlight w:val="none"/>
        </w:rPr>
      </w:pPr>
      <w:r>
        <w:rPr>
          <w:rFonts w:hint="eastAsia" w:ascii="宋体" w:hAnsi="宋体" w:cs="宋体"/>
          <w:b/>
          <w:bCs/>
          <w:color w:val="auto"/>
          <w:sz w:val="24"/>
          <w:highlight w:val="none"/>
        </w:rPr>
        <w:t>注：</w:t>
      </w:r>
    </w:p>
    <w:p w14:paraId="5BF24F83">
      <w:pPr>
        <w:snapToGrid w:val="0"/>
        <w:spacing w:line="480" w:lineRule="exact"/>
        <w:ind w:firstLine="482" w:firstLineChars="200"/>
        <w:jc w:val="left"/>
        <w:rPr>
          <w:rFonts w:ascii="宋体"/>
          <w:b/>
          <w:bCs/>
          <w:color w:val="auto"/>
          <w:sz w:val="24"/>
          <w:highlight w:val="none"/>
        </w:rPr>
      </w:pPr>
      <w:r>
        <w:rPr>
          <w:rFonts w:hint="eastAsia" w:ascii="宋体" w:hAnsi="宋体" w:cs="宋体"/>
          <w:b/>
          <w:bCs/>
          <w:color w:val="auto"/>
          <w:sz w:val="24"/>
          <w:highlight w:val="none"/>
        </w:rPr>
        <w:t>（</w:t>
      </w:r>
      <w:r>
        <w:rPr>
          <w:rFonts w:ascii="宋体" w:hAnsi="宋体" w:cs="宋体"/>
          <w:b/>
          <w:bCs/>
          <w:color w:val="auto"/>
          <w:sz w:val="24"/>
          <w:highlight w:val="none"/>
        </w:rPr>
        <w:t>1</w:t>
      </w:r>
      <w:r>
        <w:rPr>
          <w:rFonts w:hint="eastAsia" w:ascii="宋体" w:hAnsi="宋体" w:cs="宋体"/>
          <w:b/>
          <w:bCs/>
          <w:color w:val="auto"/>
          <w:sz w:val="24"/>
          <w:highlight w:val="none"/>
        </w:rPr>
        <w:t>）本表为格式表，不得自行改动，必须提供。</w:t>
      </w:r>
    </w:p>
    <w:p w14:paraId="22A7E829">
      <w:pPr>
        <w:snapToGrid w:val="0"/>
        <w:spacing w:line="480" w:lineRule="exact"/>
        <w:ind w:firstLine="472" w:firstLineChars="196"/>
        <w:jc w:val="left"/>
        <w:outlineLvl w:val="2"/>
        <w:rPr>
          <w:rFonts w:hint="eastAsia" w:ascii="宋体" w:hAnsi="宋体" w:eastAsia="宋体" w:cs="宋体"/>
          <w:b/>
          <w:bCs/>
          <w:color w:val="auto"/>
          <w:sz w:val="24"/>
          <w:highlight w:val="none"/>
        </w:rPr>
      </w:pPr>
      <w:r>
        <w:rPr>
          <w:rFonts w:hint="eastAsia" w:ascii="宋体" w:hAnsi="宋体" w:cs="宋体"/>
          <w:b/>
          <w:bCs/>
          <w:color w:val="auto"/>
          <w:sz w:val="24"/>
          <w:highlight w:val="none"/>
        </w:rPr>
        <w:t>（2）</w:t>
      </w:r>
      <w:r>
        <w:rPr>
          <w:rFonts w:hint="eastAsia" w:ascii="宋体" w:hAnsi="宋体" w:cs="宋体"/>
          <w:b/>
          <w:bCs/>
          <w:color w:val="auto"/>
          <w:sz w:val="24"/>
          <w:highlight w:val="none"/>
          <w:lang w:val="en-US" w:eastAsia="zh-CN"/>
        </w:rPr>
        <w:t>最后报价</w:t>
      </w:r>
      <w:r>
        <w:rPr>
          <w:rFonts w:hint="eastAsia" w:ascii="宋体" w:hAnsi="宋体" w:cs="宋体"/>
          <w:b/>
          <w:bCs/>
          <w:color w:val="auto"/>
          <w:sz w:val="24"/>
          <w:highlight w:val="none"/>
        </w:rPr>
        <w:t>将在开标现场填写，响应文件密封提交时只需填写</w:t>
      </w:r>
      <w:r>
        <w:rPr>
          <w:rFonts w:hint="eastAsia" w:ascii="宋体" w:hAnsi="宋体" w:eastAsia="宋体" w:cs="宋体"/>
          <w:b/>
          <w:bCs/>
          <w:color w:val="auto"/>
          <w:sz w:val="24"/>
          <w:highlight w:val="none"/>
        </w:rPr>
        <w:t>首次</w:t>
      </w:r>
      <w:r>
        <w:rPr>
          <w:rFonts w:hint="eastAsia" w:ascii="宋体" w:hAnsi="宋体" w:cs="宋体"/>
          <w:b/>
          <w:bCs/>
          <w:color w:val="auto"/>
          <w:sz w:val="24"/>
          <w:highlight w:val="none"/>
          <w:lang w:val="en-US" w:eastAsia="zh-CN"/>
        </w:rPr>
        <w:t>报价</w:t>
      </w:r>
      <w:r>
        <w:rPr>
          <w:rFonts w:hint="eastAsia" w:ascii="宋体" w:hAnsi="宋体" w:eastAsia="宋体" w:cs="宋体"/>
          <w:b/>
          <w:bCs/>
          <w:color w:val="auto"/>
          <w:sz w:val="24"/>
          <w:highlight w:val="none"/>
        </w:rPr>
        <w:t>。</w:t>
      </w:r>
    </w:p>
    <w:p w14:paraId="65B77351">
      <w:pPr>
        <w:snapToGrid w:val="0"/>
        <w:spacing w:line="480" w:lineRule="exact"/>
        <w:ind w:firstLine="472" w:firstLineChars="196"/>
        <w:jc w:val="left"/>
        <w:outlineLvl w:val="2"/>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（3）最后</w:t>
      </w:r>
      <w:r>
        <w:rPr>
          <w:rFonts w:hint="eastAsia" w:ascii="宋体" w:hAnsi="宋体" w:cs="宋体"/>
          <w:b/>
          <w:bCs/>
          <w:color w:val="auto"/>
          <w:sz w:val="24"/>
          <w:highlight w:val="none"/>
        </w:rPr>
        <w:t>报价</w:t>
      </w:r>
      <w:r>
        <w:rPr>
          <w:rFonts w:hint="eastAsia" w:ascii="宋体" w:hAnsi="宋体" w:cs="宋体"/>
          <w:b/>
          <w:bCs/>
          <w:color w:val="auto"/>
          <w:sz w:val="24"/>
          <w:highlight w:val="none"/>
          <w:lang w:val="en-US" w:eastAsia="zh-CN"/>
        </w:rPr>
        <w:t>中的税率必须与首次报价中的税率相同，否则作无效标处理。</w:t>
      </w:r>
    </w:p>
    <w:p w14:paraId="071485E4">
      <w:pPr>
        <w:snapToGrid w:val="0"/>
        <w:spacing w:line="480" w:lineRule="exact"/>
        <w:ind w:firstLine="472" w:firstLineChars="196"/>
        <w:jc w:val="left"/>
        <w:outlineLvl w:val="2"/>
        <w:rPr>
          <w:rFonts w:hint="default"/>
          <w:color w:val="auto"/>
          <w:highlight w:val="none"/>
          <w:lang w:val="en-US" w:eastAsia="zh-CN"/>
        </w:rPr>
      </w:pPr>
      <w:r>
        <w:rPr>
          <w:rFonts w:hint="eastAsia" w:ascii="宋体" w:hAnsi="宋体" w:cs="宋体"/>
          <w:b/>
          <w:bCs/>
          <w:color w:val="auto"/>
          <w:sz w:val="24"/>
          <w:highlight w:val="none"/>
          <w:lang w:val="en-US" w:eastAsia="zh-CN"/>
        </w:rPr>
        <w:t>（4）最后报价不得高于各自供应商首次报价，否则作无效标处理。</w:t>
      </w:r>
    </w:p>
    <w:sectPr>
      <w:footerReference r:id="rId3" w:type="default"/>
      <w:pgSz w:w="11907" w:h="16839"/>
      <w:pgMar w:top="1418" w:right="1588" w:bottom="1418" w:left="1588" w:header="851" w:footer="851" w:gutter="0"/>
      <w:pgBorders>
        <w:top w:val="none" w:sz="0" w:space="0"/>
        <w:left w:val="none" w:sz="0" w:space="0"/>
        <w:bottom w:val="none" w:sz="0" w:space="0"/>
        <w:right w:val="none" w:sz="0" w:space="0"/>
      </w:pgBorders>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2F33FBF-925D-4650-B036-2547A293C59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33A9D45-7A8C-4FAD-8B01-7BC71C126090}"/>
  </w:font>
  <w:font w:name="仿宋_GB2312">
    <w:panose1 w:val="02010609030101010101"/>
    <w:charset w:val="86"/>
    <w:family w:val="modern"/>
    <w:pitch w:val="default"/>
    <w:sig w:usb0="00000001" w:usb1="080E0000" w:usb2="00000000" w:usb3="00000000" w:csb0="00040000" w:csb1="00000000"/>
    <w:embedRegular r:id="rId3" w:fontKey="{2ECEC574-1DAA-4E04-A642-C3A0EFA77FFE}"/>
  </w:font>
  <w:font w:name="Arial Unicode MS">
    <w:panose1 w:val="020B0604020202020204"/>
    <w:charset w:val="86"/>
    <w:family w:val="roman"/>
    <w:pitch w:val="default"/>
    <w:sig w:usb0="FFFFFFFF" w:usb1="E9FFFFFF" w:usb2="0000003F" w:usb3="00000000" w:csb0="603F01FF" w:csb1="FFFF0000"/>
  </w:font>
  <w:font w:name="华文新魏">
    <w:panose1 w:val="02010800040101010101"/>
    <w:charset w:val="86"/>
    <w:family w:val="auto"/>
    <w:pitch w:val="default"/>
    <w:sig w:usb0="00000001" w:usb1="080F0000" w:usb2="00000000" w:usb3="00000000" w:csb0="00040000" w:csb1="00000000"/>
    <w:embedRegular r:id="rId4" w:fontKey="{4C74E8E0-4132-4E01-9738-B04C54CCC42C}"/>
  </w:font>
  <w:font w:name="Arial Narrow">
    <w:panose1 w:val="020B0606020202030204"/>
    <w:charset w:val="00"/>
    <w:family w:val="swiss"/>
    <w:pitch w:val="default"/>
    <w:sig w:usb0="00000287" w:usb1="00000800" w:usb2="00000000" w:usb3="00000000" w:csb0="2000009F" w:csb1="DFD70000"/>
    <w:embedRegular r:id="rId5" w:fontKey="{AEE7ACDE-104A-41AE-8E05-A31C59DCF91C}"/>
  </w:font>
  <w:font w:name="楷体_GB2312">
    <w:altName w:val="楷体"/>
    <w:panose1 w:val="00000000000000000000"/>
    <w:charset w:val="86"/>
    <w:family w:val="modern"/>
    <w:pitch w:val="default"/>
    <w:sig w:usb0="00000000" w:usb1="00000000" w:usb2="00000000" w:usb3="00000000" w:csb0="00040000" w:csb1="00000000"/>
    <w:embedRegular r:id="rId6" w:fontKey="{357CAED2-4953-43B6-862B-072244953F91}"/>
  </w:font>
  <w:font w:name="楷体">
    <w:panose1 w:val="02010609060101010101"/>
    <w:charset w:val="86"/>
    <w:family w:val="auto"/>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embedRegular r:id="rId7" w:fontKey="{67156335-4B26-4C6F-A8EA-C2D268EEF0DC}"/>
  </w:font>
  <w:font w:name="仿宋">
    <w:panose1 w:val="02010609060101010101"/>
    <w:charset w:val="86"/>
    <w:family w:val="auto"/>
    <w:pitch w:val="default"/>
    <w:sig w:usb0="800002BF" w:usb1="38CF7CFA" w:usb2="00000016" w:usb3="00000000" w:csb0="00040001" w:csb1="00000000"/>
    <w:embedRegular r:id="rId8" w:fontKey="{3335CC86-9E7E-45A0-A29D-D66F8BC71418}"/>
  </w:font>
  <w:font w:name="Tahoma">
    <w:panose1 w:val="020B0604030504040204"/>
    <w:charset w:val="00"/>
    <w:family w:val="swiss"/>
    <w:pitch w:val="default"/>
    <w:sig w:usb0="E1002EFF" w:usb1="C000605B" w:usb2="00000029" w:usb3="00000000" w:csb0="200101FF" w:csb1="20280000"/>
    <w:embedRegular r:id="rId9" w:fontKey="{D0E7A42D-9CD3-43B0-A45D-57E23B2FC57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42F37">
    <w:pPr>
      <w:pStyle w:val="12"/>
      <w:jc w:val="center"/>
    </w:pPr>
    <w:r>
      <w:fldChar w:fldCharType="begin"/>
    </w:r>
    <w:r>
      <w:instrText xml:space="preserve"> PAGE   \* MERGEFORMAT </w:instrText>
    </w:r>
    <w:r>
      <w:fldChar w:fldCharType="separate"/>
    </w:r>
    <w:r>
      <w:rPr>
        <w:lang w:val="zh-CN"/>
      </w:rPr>
      <w:t>1</w:t>
    </w:r>
    <w:r>
      <w:rPr>
        <w:lang w:val="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781F60"/>
    <w:multiLevelType w:val="singleLevel"/>
    <w:tmpl w:val="DC781F60"/>
    <w:lvl w:ilvl="0" w:tentative="0">
      <w:start w:val="1"/>
      <w:numFmt w:val="decimal"/>
      <w:suff w:val="nothing"/>
      <w:lvlText w:val="%1、"/>
      <w:lvlJc w:val="left"/>
    </w:lvl>
  </w:abstractNum>
  <w:abstractNum w:abstractNumId="1">
    <w:nsid w:val="E9CC0227"/>
    <w:multiLevelType w:val="singleLevel"/>
    <w:tmpl w:val="E9CC0227"/>
    <w:lvl w:ilvl="0" w:tentative="0">
      <w:start w:val="3"/>
      <w:numFmt w:val="chineseCounting"/>
      <w:suff w:val="nothing"/>
      <w:lvlText w:val="%1、"/>
      <w:lvlJc w:val="left"/>
      <w:rPr>
        <w:rFonts w:hint="eastAsia"/>
      </w:rPr>
    </w:lvl>
  </w:abstractNum>
  <w:abstractNum w:abstractNumId="2">
    <w:nsid w:val="5033530E"/>
    <w:multiLevelType w:val="singleLevel"/>
    <w:tmpl w:val="5033530E"/>
    <w:lvl w:ilvl="0" w:tentative="0">
      <w:start w:val="3"/>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mYTQxNWEwZjBkM2M0NjA4ZjUxMWE1OGJlOGU2NzYifQ=="/>
  </w:docVars>
  <w:rsids>
    <w:rsidRoot w:val="00000000"/>
    <w:rsid w:val="001113BD"/>
    <w:rsid w:val="004E616D"/>
    <w:rsid w:val="00627C89"/>
    <w:rsid w:val="0099232E"/>
    <w:rsid w:val="00A641FB"/>
    <w:rsid w:val="00AF1302"/>
    <w:rsid w:val="00B93F2F"/>
    <w:rsid w:val="00D403EB"/>
    <w:rsid w:val="00F9257D"/>
    <w:rsid w:val="010F3B4F"/>
    <w:rsid w:val="01600513"/>
    <w:rsid w:val="01791714"/>
    <w:rsid w:val="018B2121"/>
    <w:rsid w:val="01934780"/>
    <w:rsid w:val="01964270"/>
    <w:rsid w:val="019745DC"/>
    <w:rsid w:val="01A746B1"/>
    <w:rsid w:val="01AA5738"/>
    <w:rsid w:val="01B464A4"/>
    <w:rsid w:val="01D84888"/>
    <w:rsid w:val="01DA226F"/>
    <w:rsid w:val="01DB2C49"/>
    <w:rsid w:val="023A5D4F"/>
    <w:rsid w:val="024C7377"/>
    <w:rsid w:val="025D6B3C"/>
    <w:rsid w:val="027F4D04"/>
    <w:rsid w:val="02954528"/>
    <w:rsid w:val="02B50726"/>
    <w:rsid w:val="02E132C9"/>
    <w:rsid w:val="030516AD"/>
    <w:rsid w:val="035717DD"/>
    <w:rsid w:val="03687FE5"/>
    <w:rsid w:val="036A7762"/>
    <w:rsid w:val="03D42E2E"/>
    <w:rsid w:val="047C62A1"/>
    <w:rsid w:val="048D3E9E"/>
    <w:rsid w:val="049F343C"/>
    <w:rsid w:val="04A171B4"/>
    <w:rsid w:val="04BA371A"/>
    <w:rsid w:val="04DD3F64"/>
    <w:rsid w:val="04E83035"/>
    <w:rsid w:val="04FE4606"/>
    <w:rsid w:val="051B3A21"/>
    <w:rsid w:val="052F5A4A"/>
    <w:rsid w:val="05BB42A5"/>
    <w:rsid w:val="05CB200E"/>
    <w:rsid w:val="05D37841"/>
    <w:rsid w:val="0619721E"/>
    <w:rsid w:val="0639166E"/>
    <w:rsid w:val="06450013"/>
    <w:rsid w:val="069A65B0"/>
    <w:rsid w:val="06C453DB"/>
    <w:rsid w:val="06D849E3"/>
    <w:rsid w:val="07126147"/>
    <w:rsid w:val="071C6FC5"/>
    <w:rsid w:val="07510DD4"/>
    <w:rsid w:val="07996868"/>
    <w:rsid w:val="07BE1E2B"/>
    <w:rsid w:val="07C82CA9"/>
    <w:rsid w:val="07F92E63"/>
    <w:rsid w:val="080812F8"/>
    <w:rsid w:val="08760957"/>
    <w:rsid w:val="087B7D1C"/>
    <w:rsid w:val="088F5575"/>
    <w:rsid w:val="089112ED"/>
    <w:rsid w:val="089B4E78"/>
    <w:rsid w:val="08BB636A"/>
    <w:rsid w:val="091B5662"/>
    <w:rsid w:val="09434CDD"/>
    <w:rsid w:val="094C3466"/>
    <w:rsid w:val="09532A47"/>
    <w:rsid w:val="095A6680"/>
    <w:rsid w:val="09A514F4"/>
    <w:rsid w:val="09BA2AC6"/>
    <w:rsid w:val="09C851E3"/>
    <w:rsid w:val="0A1641A0"/>
    <w:rsid w:val="0A560292"/>
    <w:rsid w:val="0A766D81"/>
    <w:rsid w:val="0A7D421F"/>
    <w:rsid w:val="0A97787C"/>
    <w:rsid w:val="0AA96DC2"/>
    <w:rsid w:val="0AAF0151"/>
    <w:rsid w:val="0AC10F38"/>
    <w:rsid w:val="0AD33E3F"/>
    <w:rsid w:val="0ADD081A"/>
    <w:rsid w:val="0B0B35D9"/>
    <w:rsid w:val="0B3452BB"/>
    <w:rsid w:val="0B3F7726"/>
    <w:rsid w:val="0B416FFB"/>
    <w:rsid w:val="0B4623B2"/>
    <w:rsid w:val="0B80322F"/>
    <w:rsid w:val="0B927856"/>
    <w:rsid w:val="0BB4198C"/>
    <w:rsid w:val="0BBE4AEF"/>
    <w:rsid w:val="0BC9463C"/>
    <w:rsid w:val="0BE34F3A"/>
    <w:rsid w:val="0BE8433D"/>
    <w:rsid w:val="0BEB3A6B"/>
    <w:rsid w:val="0BFE313E"/>
    <w:rsid w:val="0C104C1F"/>
    <w:rsid w:val="0C8C24F7"/>
    <w:rsid w:val="0C917B0E"/>
    <w:rsid w:val="0C923886"/>
    <w:rsid w:val="0CA23AC9"/>
    <w:rsid w:val="0CCC4FEA"/>
    <w:rsid w:val="0CCE2B10"/>
    <w:rsid w:val="0CD30126"/>
    <w:rsid w:val="0CD65E68"/>
    <w:rsid w:val="0CD914B5"/>
    <w:rsid w:val="0D2210AE"/>
    <w:rsid w:val="0D4A5F0F"/>
    <w:rsid w:val="0D4B23B2"/>
    <w:rsid w:val="0D646FD0"/>
    <w:rsid w:val="0D690623"/>
    <w:rsid w:val="0D7D0092"/>
    <w:rsid w:val="0D847672"/>
    <w:rsid w:val="0D906017"/>
    <w:rsid w:val="0DA25D4B"/>
    <w:rsid w:val="0DC21F49"/>
    <w:rsid w:val="0DCF5F7A"/>
    <w:rsid w:val="0DD00B0A"/>
    <w:rsid w:val="0DD24882"/>
    <w:rsid w:val="0DFA5B87"/>
    <w:rsid w:val="0E1327A4"/>
    <w:rsid w:val="0E236E8B"/>
    <w:rsid w:val="0E5A4271"/>
    <w:rsid w:val="0EB164FB"/>
    <w:rsid w:val="0ED10695"/>
    <w:rsid w:val="0EDD528C"/>
    <w:rsid w:val="0EF97BEC"/>
    <w:rsid w:val="0EFB5BA4"/>
    <w:rsid w:val="0F072309"/>
    <w:rsid w:val="0F096081"/>
    <w:rsid w:val="0F280C41"/>
    <w:rsid w:val="0F2B249C"/>
    <w:rsid w:val="0F346E76"/>
    <w:rsid w:val="0F5247FE"/>
    <w:rsid w:val="0F5A4B2F"/>
    <w:rsid w:val="0F67724C"/>
    <w:rsid w:val="0F772B5B"/>
    <w:rsid w:val="0F8E6586"/>
    <w:rsid w:val="0F9A4F2B"/>
    <w:rsid w:val="0FA062BA"/>
    <w:rsid w:val="0FBB0301"/>
    <w:rsid w:val="0FCE66F3"/>
    <w:rsid w:val="0FCF68E2"/>
    <w:rsid w:val="1038517A"/>
    <w:rsid w:val="1077526D"/>
    <w:rsid w:val="107F4121"/>
    <w:rsid w:val="10DE79AF"/>
    <w:rsid w:val="10F62635"/>
    <w:rsid w:val="10FE598E"/>
    <w:rsid w:val="1111746F"/>
    <w:rsid w:val="116070E5"/>
    <w:rsid w:val="11A42091"/>
    <w:rsid w:val="11E64458"/>
    <w:rsid w:val="11FE3E97"/>
    <w:rsid w:val="1202500A"/>
    <w:rsid w:val="121511E1"/>
    <w:rsid w:val="12323B41"/>
    <w:rsid w:val="12505D75"/>
    <w:rsid w:val="12641821"/>
    <w:rsid w:val="126524F2"/>
    <w:rsid w:val="129640D0"/>
    <w:rsid w:val="129C0FBA"/>
    <w:rsid w:val="12C30F2B"/>
    <w:rsid w:val="12CB43DD"/>
    <w:rsid w:val="12D9220E"/>
    <w:rsid w:val="13174AE5"/>
    <w:rsid w:val="131E5E73"/>
    <w:rsid w:val="134C3DB0"/>
    <w:rsid w:val="13541895"/>
    <w:rsid w:val="135F6376"/>
    <w:rsid w:val="13620456"/>
    <w:rsid w:val="13645F7C"/>
    <w:rsid w:val="136C56C5"/>
    <w:rsid w:val="138A3509"/>
    <w:rsid w:val="13A75E69"/>
    <w:rsid w:val="140C03C2"/>
    <w:rsid w:val="144933C4"/>
    <w:rsid w:val="144E09DA"/>
    <w:rsid w:val="145F4995"/>
    <w:rsid w:val="14BE16BC"/>
    <w:rsid w:val="14C04A41"/>
    <w:rsid w:val="14D64C58"/>
    <w:rsid w:val="14E82BDD"/>
    <w:rsid w:val="150572EB"/>
    <w:rsid w:val="15311E8E"/>
    <w:rsid w:val="15485429"/>
    <w:rsid w:val="15634011"/>
    <w:rsid w:val="159367EC"/>
    <w:rsid w:val="159F14ED"/>
    <w:rsid w:val="15A8795A"/>
    <w:rsid w:val="15DD5B72"/>
    <w:rsid w:val="15DF5D8E"/>
    <w:rsid w:val="15E36499"/>
    <w:rsid w:val="15EE7D7F"/>
    <w:rsid w:val="15FB249C"/>
    <w:rsid w:val="161A0B74"/>
    <w:rsid w:val="168129A1"/>
    <w:rsid w:val="16921052"/>
    <w:rsid w:val="16A47BA7"/>
    <w:rsid w:val="16A62408"/>
    <w:rsid w:val="16B85124"/>
    <w:rsid w:val="16C16B51"/>
    <w:rsid w:val="16CA07EC"/>
    <w:rsid w:val="170F4451"/>
    <w:rsid w:val="17171557"/>
    <w:rsid w:val="171952CF"/>
    <w:rsid w:val="174556F0"/>
    <w:rsid w:val="178D45D6"/>
    <w:rsid w:val="179A1DB9"/>
    <w:rsid w:val="17BD20FF"/>
    <w:rsid w:val="17BD3EAD"/>
    <w:rsid w:val="17C84600"/>
    <w:rsid w:val="17E53404"/>
    <w:rsid w:val="17F35B20"/>
    <w:rsid w:val="17FF00DB"/>
    <w:rsid w:val="186D58D3"/>
    <w:rsid w:val="187D363C"/>
    <w:rsid w:val="187F73B4"/>
    <w:rsid w:val="18814B4E"/>
    <w:rsid w:val="188D1AD1"/>
    <w:rsid w:val="18AE7C99"/>
    <w:rsid w:val="18D55226"/>
    <w:rsid w:val="18E611E1"/>
    <w:rsid w:val="18EE2D0E"/>
    <w:rsid w:val="190653E0"/>
    <w:rsid w:val="190D3E0E"/>
    <w:rsid w:val="19153875"/>
    <w:rsid w:val="194B4765"/>
    <w:rsid w:val="19662322"/>
    <w:rsid w:val="198B7312"/>
    <w:rsid w:val="199E71B9"/>
    <w:rsid w:val="19BB441C"/>
    <w:rsid w:val="19D618FD"/>
    <w:rsid w:val="19FD4A34"/>
    <w:rsid w:val="1A0F6516"/>
    <w:rsid w:val="1A246465"/>
    <w:rsid w:val="1A2521DD"/>
    <w:rsid w:val="1A424B3D"/>
    <w:rsid w:val="1A8962C8"/>
    <w:rsid w:val="1A907657"/>
    <w:rsid w:val="1AA17B3F"/>
    <w:rsid w:val="1AD96823"/>
    <w:rsid w:val="1B3721C8"/>
    <w:rsid w:val="1B375D24"/>
    <w:rsid w:val="1BD23C9F"/>
    <w:rsid w:val="1BFD51C0"/>
    <w:rsid w:val="1C183DA8"/>
    <w:rsid w:val="1C2A7637"/>
    <w:rsid w:val="1C33298F"/>
    <w:rsid w:val="1C3404B6"/>
    <w:rsid w:val="1C56667E"/>
    <w:rsid w:val="1C5D5C5E"/>
    <w:rsid w:val="1C80194D"/>
    <w:rsid w:val="1C896A53"/>
    <w:rsid w:val="1C9F0025"/>
    <w:rsid w:val="1CCA3C1D"/>
    <w:rsid w:val="1CD941C7"/>
    <w:rsid w:val="1D1A254A"/>
    <w:rsid w:val="1D210A3A"/>
    <w:rsid w:val="1D392227"/>
    <w:rsid w:val="1D644DCB"/>
    <w:rsid w:val="1D6D1ED1"/>
    <w:rsid w:val="1D9C00B8"/>
    <w:rsid w:val="1DAC0C4B"/>
    <w:rsid w:val="1DC53ABB"/>
    <w:rsid w:val="1DE63A32"/>
    <w:rsid w:val="1DF5454F"/>
    <w:rsid w:val="1E1C7453"/>
    <w:rsid w:val="1E231C8B"/>
    <w:rsid w:val="1E48649A"/>
    <w:rsid w:val="1E4A684B"/>
    <w:rsid w:val="1E967206"/>
    <w:rsid w:val="1EAC4C7B"/>
    <w:rsid w:val="1EB37DB8"/>
    <w:rsid w:val="1ED24AB7"/>
    <w:rsid w:val="1EFF4DAB"/>
    <w:rsid w:val="1F2B3DF2"/>
    <w:rsid w:val="1F417171"/>
    <w:rsid w:val="1F617814"/>
    <w:rsid w:val="1F8F3A4E"/>
    <w:rsid w:val="1FAF67D1"/>
    <w:rsid w:val="1FB43DE7"/>
    <w:rsid w:val="1FBF1E16"/>
    <w:rsid w:val="1FD06747"/>
    <w:rsid w:val="201725C8"/>
    <w:rsid w:val="20210D51"/>
    <w:rsid w:val="202A22FB"/>
    <w:rsid w:val="20337402"/>
    <w:rsid w:val="20384A18"/>
    <w:rsid w:val="204C59E3"/>
    <w:rsid w:val="20672C08"/>
    <w:rsid w:val="20743577"/>
    <w:rsid w:val="20784E15"/>
    <w:rsid w:val="20A91472"/>
    <w:rsid w:val="20B10327"/>
    <w:rsid w:val="20B91875"/>
    <w:rsid w:val="20C067BC"/>
    <w:rsid w:val="20C52024"/>
    <w:rsid w:val="20E56222"/>
    <w:rsid w:val="20F748D2"/>
    <w:rsid w:val="20FB3057"/>
    <w:rsid w:val="211B195F"/>
    <w:rsid w:val="213351E0"/>
    <w:rsid w:val="21366C9C"/>
    <w:rsid w:val="213F3B84"/>
    <w:rsid w:val="214109C5"/>
    <w:rsid w:val="215533A8"/>
    <w:rsid w:val="21690C01"/>
    <w:rsid w:val="216C24A0"/>
    <w:rsid w:val="21863561"/>
    <w:rsid w:val="21871088"/>
    <w:rsid w:val="218C669E"/>
    <w:rsid w:val="21933ED0"/>
    <w:rsid w:val="21C4408A"/>
    <w:rsid w:val="21CB366A"/>
    <w:rsid w:val="21D97B35"/>
    <w:rsid w:val="2217065D"/>
    <w:rsid w:val="22184373"/>
    <w:rsid w:val="22325497"/>
    <w:rsid w:val="224E73C0"/>
    <w:rsid w:val="224F6049"/>
    <w:rsid w:val="22602004"/>
    <w:rsid w:val="22720BE8"/>
    <w:rsid w:val="228F28EA"/>
    <w:rsid w:val="229252F4"/>
    <w:rsid w:val="229F005C"/>
    <w:rsid w:val="22B248D1"/>
    <w:rsid w:val="22B42C72"/>
    <w:rsid w:val="22D760C5"/>
    <w:rsid w:val="23005595"/>
    <w:rsid w:val="231B5F2B"/>
    <w:rsid w:val="233C31BC"/>
    <w:rsid w:val="23447230"/>
    <w:rsid w:val="2356298F"/>
    <w:rsid w:val="23563407"/>
    <w:rsid w:val="236D2C2B"/>
    <w:rsid w:val="23744B28"/>
    <w:rsid w:val="237D0994"/>
    <w:rsid w:val="23922691"/>
    <w:rsid w:val="23D06D16"/>
    <w:rsid w:val="23D74548"/>
    <w:rsid w:val="23DF164F"/>
    <w:rsid w:val="23E17175"/>
    <w:rsid w:val="23FD052A"/>
    <w:rsid w:val="240B5FA0"/>
    <w:rsid w:val="2443573A"/>
    <w:rsid w:val="2454306B"/>
    <w:rsid w:val="24653902"/>
    <w:rsid w:val="2479676D"/>
    <w:rsid w:val="24A0493A"/>
    <w:rsid w:val="24A361D8"/>
    <w:rsid w:val="24B71A7D"/>
    <w:rsid w:val="24CF6FCD"/>
    <w:rsid w:val="24D46CDA"/>
    <w:rsid w:val="24D9609E"/>
    <w:rsid w:val="250273A3"/>
    <w:rsid w:val="250C1FD0"/>
    <w:rsid w:val="250F1CF5"/>
    <w:rsid w:val="251F61A7"/>
    <w:rsid w:val="25835C06"/>
    <w:rsid w:val="25916979"/>
    <w:rsid w:val="25951FC5"/>
    <w:rsid w:val="25A81454"/>
    <w:rsid w:val="25CD79B1"/>
    <w:rsid w:val="25CE197B"/>
    <w:rsid w:val="260B04D9"/>
    <w:rsid w:val="26242CCB"/>
    <w:rsid w:val="262670C1"/>
    <w:rsid w:val="26413EFB"/>
    <w:rsid w:val="265E4AAD"/>
    <w:rsid w:val="26601321"/>
    <w:rsid w:val="26630315"/>
    <w:rsid w:val="267918E7"/>
    <w:rsid w:val="2681079B"/>
    <w:rsid w:val="268A58A2"/>
    <w:rsid w:val="269C7383"/>
    <w:rsid w:val="26B4291F"/>
    <w:rsid w:val="26BE554B"/>
    <w:rsid w:val="26CD39E1"/>
    <w:rsid w:val="26F0165E"/>
    <w:rsid w:val="26FD2518"/>
    <w:rsid w:val="270B1B53"/>
    <w:rsid w:val="271635D9"/>
    <w:rsid w:val="271F3928"/>
    <w:rsid w:val="273870AC"/>
    <w:rsid w:val="274F43F6"/>
    <w:rsid w:val="27547C5E"/>
    <w:rsid w:val="277716AD"/>
    <w:rsid w:val="27A97FAA"/>
    <w:rsid w:val="27CD64A0"/>
    <w:rsid w:val="27D8088F"/>
    <w:rsid w:val="28164F13"/>
    <w:rsid w:val="281A628C"/>
    <w:rsid w:val="285E0D94"/>
    <w:rsid w:val="28FB3ED4"/>
    <w:rsid w:val="2916109D"/>
    <w:rsid w:val="29226266"/>
    <w:rsid w:val="297E7214"/>
    <w:rsid w:val="29A22F02"/>
    <w:rsid w:val="29C3613A"/>
    <w:rsid w:val="2A1C68C8"/>
    <w:rsid w:val="2A4A0E27"/>
    <w:rsid w:val="2A50295E"/>
    <w:rsid w:val="2A64465C"/>
    <w:rsid w:val="2A685EFA"/>
    <w:rsid w:val="2A742AF1"/>
    <w:rsid w:val="2AA131BA"/>
    <w:rsid w:val="2AE94929"/>
    <w:rsid w:val="2AEB08D9"/>
    <w:rsid w:val="2AFC4894"/>
    <w:rsid w:val="2B110340"/>
    <w:rsid w:val="2B5B780D"/>
    <w:rsid w:val="2B7A2497"/>
    <w:rsid w:val="2BCF1FA9"/>
    <w:rsid w:val="2BEC66B7"/>
    <w:rsid w:val="2BFB6AA7"/>
    <w:rsid w:val="2C1005F7"/>
    <w:rsid w:val="2C2008AB"/>
    <w:rsid w:val="2C251BC9"/>
    <w:rsid w:val="2C2E0A7D"/>
    <w:rsid w:val="2C2E4F21"/>
    <w:rsid w:val="2C3B13EC"/>
    <w:rsid w:val="2C462EC9"/>
    <w:rsid w:val="2C6E3570"/>
    <w:rsid w:val="2C9362E8"/>
    <w:rsid w:val="2C9C1FAD"/>
    <w:rsid w:val="2CAE1BBE"/>
    <w:rsid w:val="2CDA29B3"/>
    <w:rsid w:val="2CDD4252"/>
    <w:rsid w:val="2CFA4E04"/>
    <w:rsid w:val="2D0B5263"/>
    <w:rsid w:val="2D1302BF"/>
    <w:rsid w:val="2D2118F8"/>
    <w:rsid w:val="2D315997"/>
    <w:rsid w:val="2D4C20AC"/>
    <w:rsid w:val="2D5C5ABE"/>
    <w:rsid w:val="2D945258"/>
    <w:rsid w:val="2D9D410D"/>
    <w:rsid w:val="2DCC67A0"/>
    <w:rsid w:val="2E045F3A"/>
    <w:rsid w:val="2E32053F"/>
    <w:rsid w:val="2E586286"/>
    <w:rsid w:val="2E6102A1"/>
    <w:rsid w:val="2E7A444E"/>
    <w:rsid w:val="2E7F1A64"/>
    <w:rsid w:val="2E870919"/>
    <w:rsid w:val="2E980D78"/>
    <w:rsid w:val="2E9B6172"/>
    <w:rsid w:val="2ECC611B"/>
    <w:rsid w:val="2F156382"/>
    <w:rsid w:val="2F193C67"/>
    <w:rsid w:val="2F523ABD"/>
    <w:rsid w:val="2F5B427F"/>
    <w:rsid w:val="2F603644"/>
    <w:rsid w:val="2F6D7B0F"/>
    <w:rsid w:val="2FEA106D"/>
    <w:rsid w:val="2FFB336C"/>
    <w:rsid w:val="30087837"/>
    <w:rsid w:val="300D4E4E"/>
    <w:rsid w:val="301306B6"/>
    <w:rsid w:val="301D7787"/>
    <w:rsid w:val="3025488D"/>
    <w:rsid w:val="30302A3D"/>
    <w:rsid w:val="30841B72"/>
    <w:rsid w:val="308570DA"/>
    <w:rsid w:val="30A33C04"/>
    <w:rsid w:val="30B7350A"/>
    <w:rsid w:val="30FA29B1"/>
    <w:rsid w:val="30FE1366"/>
    <w:rsid w:val="31413001"/>
    <w:rsid w:val="314D5E4A"/>
    <w:rsid w:val="31597568"/>
    <w:rsid w:val="317A3D89"/>
    <w:rsid w:val="318D4498"/>
    <w:rsid w:val="31921AAF"/>
    <w:rsid w:val="31AD215A"/>
    <w:rsid w:val="31E00A6C"/>
    <w:rsid w:val="32250B75"/>
    <w:rsid w:val="3231094A"/>
    <w:rsid w:val="323963CE"/>
    <w:rsid w:val="3240775C"/>
    <w:rsid w:val="324C6101"/>
    <w:rsid w:val="3262420D"/>
    <w:rsid w:val="326E42CA"/>
    <w:rsid w:val="328C29A2"/>
    <w:rsid w:val="32901FDB"/>
    <w:rsid w:val="32C43EEA"/>
    <w:rsid w:val="32C71C2C"/>
    <w:rsid w:val="32ED5B1B"/>
    <w:rsid w:val="32F30122"/>
    <w:rsid w:val="33244988"/>
    <w:rsid w:val="332D5F33"/>
    <w:rsid w:val="335B0226"/>
    <w:rsid w:val="33A31D51"/>
    <w:rsid w:val="33B10912"/>
    <w:rsid w:val="33C9028D"/>
    <w:rsid w:val="33CB12A8"/>
    <w:rsid w:val="33D20A5F"/>
    <w:rsid w:val="33DB598F"/>
    <w:rsid w:val="33E660E2"/>
    <w:rsid w:val="33EF188B"/>
    <w:rsid w:val="33FB4AD5"/>
    <w:rsid w:val="340A6274"/>
    <w:rsid w:val="342033A2"/>
    <w:rsid w:val="342D3D10"/>
    <w:rsid w:val="348D5BC3"/>
    <w:rsid w:val="348F0527"/>
    <w:rsid w:val="34B34216"/>
    <w:rsid w:val="34D01B4D"/>
    <w:rsid w:val="34E268A9"/>
    <w:rsid w:val="34E66706"/>
    <w:rsid w:val="35070D08"/>
    <w:rsid w:val="35432D5D"/>
    <w:rsid w:val="355F439E"/>
    <w:rsid w:val="3578720D"/>
    <w:rsid w:val="35B93AAE"/>
    <w:rsid w:val="35F00617"/>
    <w:rsid w:val="35F61E0D"/>
    <w:rsid w:val="36064819"/>
    <w:rsid w:val="36140CE4"/>
    <w:rsid w:val="362D1DA6"/>
    <w:rsid w:val="36415851"/>
    <w:rsid w:val="3660217B"/>
    <w:rsid w:val="367E6AA5"/>
    <w:rsid w:val="36AC716F"/>
    <w:rsid w:val="36B204FD"/>
    <w:rsid w:val="36B83D65"/>
    <w:rsid w:val="36E44B5A"/>
    <w:rsid w:val="37052D23"/>
    <w:rsid w:val="37621F23"/>
    <w:rsid w:val="37963BF0"/>
    <w:rsid w:val="37A036E8"/>
    <w:rsid w:val="37AC319E"/>
    <w:rsid w:val="37B00EE0"/>
    <w:rsid w:val="37CD1A92"/>
    <w:rsid w:val="37E82428"/>
    <w:rsid w:val="37EB4955"/>
    <w:rsid w:val="37F25055"/>
    <w:rsid w:val="37FA215C"/>
    <w:rsid w:val="38082ACA"/>
    <w:rsid w:val="38211DDE"/>
    <w:rsid w:val="382F0057"/>
    <w:rsid w:val="3836588A"/>
    <w:rsid w:val="38367638"/>
    <w:rsid w:val="384D672F"/>
    <w:rsid w:val="387737AC"/>
    <w:rsid w:val="38E452E6"/>
    <w:rsid w:val="38EC7CF6"/>
    <w:rsid w:val="38F35529"/>
    <w:rsid w:val="38F92413"/>
    <w:rsid w:val="391B4A7F"/>
    <w:rsid w:val="39475874"/>
    <w:rsid w:val="394915ED"/>
    <w:rsid w:val="395927C3"/>
    <w:rsid w:val="39657AA9"/>
    <w:rsid w:val="39B34CB8"/>
    <w:rsid w:val="39C858E0"/>
    <w:rsid w:val="39D13637"/>
    <w:rsid w:val="3A1439A9"/>
    <w:rsid w:val="3A7E4FB6"/>
    <w:rsid w:val="3A830B2E"/>
    <w:rsid w:val="3AE157E3"/>
    <w:rsid w:val="3B0752BB"/>
    <w:rsid w:val="3B4D7B05"/>
    <w:rsid w:val="3B583D69"/>
    <w:rsid w:val="3B5A363D"/>
    <w:rsid w:val="3B5F6EA5"/>
    <w:rsid w:val="3B7B3CDC"/>
    <w:rsid w:val="3B8C57C0"/>
    <w:rsid w:val="3BA61D83"/>
    <w:rsid w:val="3BAC5E63"/>
    <w:rsid w:val="3C0161AE"/>
    <w:rsid w:val="3C5F4C83"/>
    <w:rsid w:val="3C7E5408"/>
    <w:rsid w:val="3C884C00"/>
    <w:rsid w:val="3C964B49"/>
    <w:rsid w:val="3CBC3E83"/>
    <w:rsid w:val="3CC2593E"/>
    <w:rsid w:val="3CC33464"/>
    <w:rsid w:val="3CCA034E"/>
    <w:rsid w:val="3CD25455"/>
    <w:rsid w:val="3CDE3DFA"/>
    <w:rsid w:val="3CED228F"/>
    <w:rsid w:val="3D0F66A9"/>
    <w:rsid w:val="3D2832C7"/>
    <w:rsid w:val="3D2D11DD"/>
    <w:rsid w:val="3D2F5878"/>
    <w:rsid w:val="3D3305EA"/>
    <w:rsid w:val="3D343881"/>
    <w:rsid w:val="3D5642D8"/>
    <w:rsid w:val="3D6672D4"/>
    <w:rsid w:val="3D6A7D83"/>
    <w:rsid w:val="3D8B50A2"/>
    <w:rsid w:val="3DBD7EB3"/>
    <w:rsid w:val="3DBE75AD"/>
    <w:rsid w:val="3DDF7E2A"/>
    <w:rsid w:val="3DE25B6C"/>
    <w:rsid w:val="3DFC4E7F"/>
    <w:rsid w:val="3E0930F8"/>
    <w:rsid w:val="3E2E5CB9"/>
    <w:rsid w:val="3E375EB7"/>
    <w:rsid w:val="3E524A9F"/>
    <w:rsid w:val="3E5D261D"/>
    <w:rsid w:val="3E5F0F6A"/>
    <w:rsid w:val="3E824583"/>
    <w:rsid w:val="3E8D5AD7"/>
    <w:rsid w:val="3EA177D5"/>
    <w:rsid w:val="3ED5122D"/>
    <w:rsid w:val="3ED94E35"/>
    <w:rsid w:val="3EE200BE"/>
    <w:rsid w:val="3EEF22EE"/>
    <w:rsid w:val="3EF5367D"/>
    <w:rsid w:val="3EF53E39"/>
    <w:rsid w:val="3F2521B4"/>
    <w:rsid w:val="3F3E3276"/>
    <w:rsid w:val="3F695C08"/>
    <w:rsid w:val="3F6A5E19"/>
    <w:rsid w:val="3F6D76B7"/>
    <w:rsid w:val="3F724CCD"/>
    <w:rsid w:val="3F8769CB"/>
    <w:rsid w:val="3F8773B7"/>
    <w:rsid w:val="3FBD419A"/>
    <w:rsid w:val="3FE200A5"/>
    <w:rsid w:val="3FF12096"/>
    <w:rsid w:val="3FFD6C8D"/>
    <w:rsid w:val="402B52E9"/>
    <w:rsid w:val="40692574"/>
    <w:rsid w:val="408E5B37"/>
    <w:rsid w:val="40C47178"/>
    <w:rsid w:val="40FE4A6B"/>
    <w:rsid w:val="41026119"/>
    <w:rsid w:val="411249BA"/>
    <w:rsid w:val="412F7A54"/>
    <w:rsid w:val="4142704D"/>
    <w:rsid w:val="41573DA0"/>
    <w:rsid w:val="416D399E"/>
    <w:rsid w:val="41790595"/>
    <w:rsid w:val="41962EF5"/>
    <w:rsid w:val="41990C37"/>
    <w:rsid w:val="423D15C3"/>
    <w:rsid w:val="42470693"/>
    <w:rsid w:val="425012F6"/>
    <w:rsid w:val="426948D9"/>
    <w:rsid w:val="42813BA5"/>
    <w:rsid w:val="428D254A"/>
    <w:rsid w:val="429513FF"/>
    <w:rsid w:val="42A6360C"/>
    <w:rsid w:val="4303280C"/>
    <w:rsid w:val="43160791"/>
    <w:rsid w:val="43291B47"/>
    <w:rsid w:val="435B2648"/>
    <w:rsid w:val="43664B49"/>
    <w:rsid w:val="437E1E93"/>
    <w:rsid w:val="43A062AD"/>
    <w:rsid w:val="43C24475"/>
    <w:rsid w:val="43C869B8"/>
    <w:rsid w:val="43CC52F4"/>
    <w:rsid w:val="43FA3C0F"/>
    <w:rsid w:val="440C3942"/>
    <w:rsid w:val="4413082D"/>
    <w:rsid w:val="441445A5"/>
    <w:rsid w:val="445917CF"/>
    <w:rsid w:val="445D419E"/>
    <w:rsid w:val="446A68AD"/>
    <w:rsid w:val="448D4A83"/>
    <w:rsid w:val="44A27E03"/>
    <w:rsid w:val="44A8366B"/>
    <w:rsid w:val="44BA339E"/>
    <w:rsid w:val="44CF5E26"/>
    <w:rsid w:val="44E977E0"/>
    <w:rsid w:val="450665E4"/>
    <w:rsid w:val="45126D36"/>
    <w:rsid w:val="454605D5"/>
    <w:rsid w:val="45502478"/>
    <w:rsid w:val="458319E2"/>
    <w:rsid w:val="45982A11"/>
    <w:rsid w:val="45A32CAB"/>
    <w:rsid w:val="45A51959"/>
    <w:rsid w:val="45A65CF1"/>
    <w:rsid w:val="45AA0453"/>
    <w:rsid w:val="45C85647"/>
    <w:rsid w:val="45FB77CB"/>
    <w:rsid w:val="462D194E"/>
    <w:rsid w:val="465D66D7"/>
    <w:rsid w:val="4665733A"/>
    <w:rsid w:val="466C2476"/>
    <w:rsid w:val="469D0882"/>
    <w:rsid w:val="46A14816"/>
    <w:rsid w:val="46C93D6D"/>
    <w:rsid w:val="47690E1A"/>
    <w:rsid w:val="476C0FD7"/>
    <w:rsid w:val="47941618"/>
    <w:rsid w:val="47A619B8"/>
    <w:rsid w:val="47DB5B06"/>
    <w:rsid w:val="47EA7AF7"/>
    <w:rsid w:val="47F46BC7"/>
    <w:rsid w:val="48192906"/>
    <w:rsid w:val="48223734"/>
    <w:rsid w:val="4823009D"/>
    <w:rsid w:val="483F6AC4"/>
    <w:rsid w:val="4875042C"/>
    <w:rsid w:val="48822425"/>
    <w:rsid w:val="48B451E2"/>
    <w:rsid w:val="48B502BD"/>
    <w:rsid w:val="48B620CF"/>
    <w:rsid w:val="48BB76E5"/>
    <w:rsid w:val="48CB5B7A"/>
    <w:rsid w:val="491750B6"/>
    <w:rsid w:val="49265371"/>
    <w:rsid w:val="49347AA6"/>
    <w:rsid w:val="4955797C"/>
    <w:rsid w:val="496E6505"/>
    <w:rsid w:val="498126DD"/>
    <w:rsid w:val="49A735B5"/>
    <w:rsid w:val="49D547D7"/>
    <w:rsid w:val="49DC3DB7"/>
    <w:rsid w:val="4A05330E"/>
    <w:rsid w:val="4A057ACA"/>
    <w:rsid w:val="4A38723F"/>
    <w:rsid w:val="4A443E36"/>
    <w:rsid w:val="4A4C7561"/>
    <w:rsid w:val="4A5676C5"/>
    <w:rsid w:val="4A8F2BD7"/>
    <w:rsid w:val="4A9D70A2"/>
    <w:rsid w:val="4AA541A9"/>
    <w:rsid w:val="4ADB406F"/>
    <w:rsid w:val="4ADD3943"/>
    <w:rsid w:val="4AEC627C"/>
    <w:rsid w:val="4B321EE0"/>
    <w:rsid w:val="4B413ED2"/>
    <w:rsid w:val="4B49722A"/>
    <w:rsid w:val="4B5F07FC"/>
    <w:rsid w:val="4B7324F9"/>
    <w:rsid w:val="4B956E05"/>
    <w:rsid w:val="4BC1126B"/>
    <w:rsid w:val="4BEE392E"/>
    <w:rsid w:val="4C0A4C0B"/>
    <w:rsid w:val="4C40062D"/>
    <w:rsid w:val="4C4E76E5"/>
    <w:rsid w:val="4C771B75"/>
    <w:rsid w:val="4CA74208"/>
    <w:rsid w:val="4CFF4044"/>
    <w:rsid w:val="4D027691"/>
    <w:rsid w:val="4D3B464D"/>
    <w:rsid w:val="4D514D29"/>
    <w:rsid w:val="4D695962"/>
    <w:rsid w:val="4D6D36A4"/>
    <w:rsid w:val="4D706CF0"/>
    <w:rsid w:val="4DF72D5E"/>
    <w:rsid w:val="4DFB4A2F"/>
    <w:rsid w:val="4E031912"/>
    <w:rsid w:val="4E0C12A2"/>
    <w:rsid w:val="4E4E6108"/>
    <w:rsid w:val="4E4F6905"/>
    <w:rsid w:val="4E690D0A"/>
    <w:rsid w:val="4E6C5709"/>
    <w:rsid w:val="4EB175C0"/>
    <w:rsid w:val="4EDF4D7F"/>
    <w:rsid w:val="4EEE4370"/>
    <w:rsid w:val="4EF22A01"/>
    <w:rsid w:val="4EF86F9D"/>
    <w:rsid w:val="4F0F2539"/>
    <w:rsid w:val="4F200FDA"/>
    <w:rsid w:val="4F22401A"/>
    <w:rsid w:val="4F2364EA"/>
    <w:rsid w:val="4F271630"/>
    <w:rsid w:val="4F336227"/>
    <w:rsid w:val="4F495A4B"/>
    <w:rsid w:val="4F4A531F"/>
    <w:rsid w:val="4F94767E"/>
    <w:rsid w:val="4F960564"/>
    <w:rsid w:val="4FA47125"/>
    <w:rsid w:val="4FD32ABF"/>
    <w:rsid w:val="4FE87012"/>
    <w:rsid w:val="502A3A06"/>
    <w:rsid w:val="503A5393"/>
    <w:rsid w:val="50435686"/>
    <w:rsid w:val="50493828"/>
    <w:rsid w:val="506B379F"/>
    <w:rsid w:val="507A1C34"/>
    <w:rsid w:val="508E4295"/>
    <w:rsid w:val="50DC11A8"/>
    <w:rsid w:val="51070508"/>
    <w:rsid w:val="513149E8"/>
    <w:rsid w:val="51850890"/>
    <w:rsid w:val="51962A9D"/>
    <w:rsid w:val="5199563C"/>
    <w:rsid w:val="51A90A23"/>
    <w:rsid w:val="51CB0999"/>
    <w:rsid w:val="51D830B6"/>
    <w:rsid w:val="51DE0059"/>
    <w:rsid w:val="51F85506"/>
    <w:rsid w:val="520B348B"/>
    <w:rsid w:val="521F2FAF"/>
    <w:rsid w:val="529A036B"/>
    <w:rsid w:val="529B3723"/>
    <w:rsid w:val="52C27FEE"/>
    <w:rsid w:val="52F57686"/>
    <w:rsid w:val="52F65EE9"/>
    <w:rsid w:val="530F48B5"/>
    <w:rsid w:val="531225F7"/>
    <w:rsid w:val="536C1D08"/>
    <w:rsid w:val="53AF2BB4"/>
    <w:rsid w:val="53FD5056"/>
    <w:rsid w:val="53FF492A"/>
    <w:rsid w:val="54694499"/>
    <w:rsid w:val="546E3E71"/>
    <w:rsid w:val="54756891"/>
    <w:rsid w:val="547A66A6"/>
    <w:rsid w:val="548968E9"/>
    <w:rsid w:val="549534E0"/>
    <w:rsid w:val="54A159E1"/>
    <w:rsid w:val="54A51975"/>
    <w:rsid w:val="54BF01BD"/>
    <w:rsid w:val="550146D2"/>
    <w:rsid w:val="55191A1B"/>
    <w:rsid w:val="557F3BF8"/>
    <w:rsid w:val="55845CA7"/>
    <w:rsid w:val="558C6691"/>
    <w:rsid w:val="55F14746"/>
    <w:rsid w:val="55F3226C"/>
    <w:rsid w:val="56004989"/>
    <w:rsid w:val="560426CB"/>
    <w:rsid w:val="56431446"/>
    <w:rsid w:val="565076BF"/>
    <w:rsid w:val="565F3DA6"/>
    <w:rsid w:val="56E322E1"/>
    <w:rsid w:val="576B22D6"/>
    <w:rsid w:val="579E445A"/>
    <w:rsid w:val="57A35F14"/>
    <w:rsid w:val="57B27F05"/>
    <w:rsid w:val="57B43C7D"/>
    <w:rsid w:val="57BB325E"/>
    <w:rsid w:val="57C739B1"/>
    <w:rsid w:val="57CA524F"/>
    <w:rsid w:val="57EF2F07"/>
    <w:rsid w:val="57F64296"/>
    <w:rsid w:val="57FD73D2"/>
    <w:rsid w:val="5805272B"/>
    <w:rsid w:val="5818420C"/>
    <w:rsid w:val="583152CE"/>
    <w:rsid w:val="58346B6C"/>
    <w:rsid w:val="585F037B"/>
    <w:rsid w:val="587A4EC7"/>
    <w:rsid w:val="589D0BB5"/>
    <w:rsid w:val="58E44CE6"/>
    <w:rsid w:val="59254E33"/>
    <w:rsid w:val="596A6CE9"/>
    <w:rsid w:val="596D67DA"/>
    <w:rsid w:val="597E2795"/>
    <w:rsid w:val="598D4786"/>
    <w:rsid w:val="599B50F5"/>
    <w:rsid w:val="59B35334"/>
    <w:rsid w:val="5A0031AA"/>
    <w:rsid w:val="5A0B6BA5"/>
    <w:rsid w:val="5A0E58C7"/>
    <w:rsid w:val="5A753B98"/>
    <w:rsid w:val="5A7F0572"/>
    <w:rsid w:val="5AA149DD"/>
    <w:rsid w:val="5ADD34EB"/>
    <w:rsid w:val="5B332483"/>
    <w:rsid w:val="5B484E08"/>
    <w:rsid w:val="5B57329D"/>
    <w:rsid w:val="5B595267"/>
    <w:rsid w:val="5B667984"/>
    <w:rsid w:val="5B8147BE"/>
    <w:rsid w:val="5BD41FD1"/>
    <w:rsid w:val="5BDD3BC6"/>
    <w:rsid w:val="5C1271C4"/>
    <w:rsid w:val="5C342C52"/>
    <w:rsid w:val="5C8B76A2"/>
    <w:rsid w:val="5C8D4CC0"/>
    <w:rsid w:val="5CBA1D36"/>
    <w:rsid w:val="5CBF10FA"/>
    <w:rsid w:val="5CCD7CBB"/>
    <w:rsid w:val="5CE2128D"/>
    <w:rsid w:val="5CFC40FC"/>
    <w:rsid w:val="5D041203"/>
    <w:rsid w:val="5D094A6B"/>
    <w:rsid w:val="5D153410"/>
    <w:rsid w:val="5D170F36"/>
    <w:rsid w:val="5D3A4C25"/>
    <w:rsid w:val="5D5757D7"/>
    <w:rsid w:val="5D861C18"/>
    <w:rsid w:val="5D8F4F70"/>
    <w:rsid w:val="5DD010E5"/>
    <w:rsid w:val="5DE548F0"/>
    <w:rsid w:val="5DFD7092"/>
    <w:rsid w:val="5E053485"/>
    <w:rsid w:val="5E442CB7"/>
    <w:rsid w:val="5E4D0988"/>
    <w:rsid w:val="5E581806"/>
    <w:rsid w:val="5E710B1A"/>
    <w:rsid w:val="5E8A0AC4"/>
    <w:rsid w:val="5E954808"/>
    <w:rsid w:val="5EDC24BE"/>
    <w:rsid w:val="5EEC01A1"/>
    <w:rsid w:val="5EEC63F2"/>
    <w:rsid w:val="5F2E6A0B"/>
    <w:rsid w:val="5F441D8B"/>
    <w:rsid w:val="5F4D54F9"/>
    <w:rsid w:val="5F6366B5"/>
    <w:rsid w:val="5F914E71"/>
    <w:rsid w:val="5FA62A45"/>
    <w:rsid w:val="5FCA04E2"/>
    <w:rsid w:val="5FDC0AAF"/>
    <w:rsid w:val="5FF11F12"/>
    <w:rsid w:val="5FF13CC0"/>
    <w:rsid w:val="5FF90DC7"/>
    <w:rsid w:val="604E7E90"/>
    <w:rsid w:val="605162C2"/>
    <w:rsid w:val="60567FC7"/>
    <w:rsid w:val="606E3563"/>
    <w:rsid w:val="60A2793F"/>
    <w:rsid w:val="60A30D33"/>
    <w:rsid w:val="60A41B45"/>
    <w:rsid w:val="60AF1486"/>
    <w:rsid w:val="60DA0BF8"/>
    <w:rsid w:val="60EB0CCD"/>
    <w:rsid w:val="61120392"/>
    <w:rsid w:val="61131A15"/>
    <w:rsid w:val="612105D5"/>
    <w:rsid w:val="612C0D28"/>
    <w:rsid w:val="61355E2F"/>
    <w:rsid w:val="61730705"/>
    <w:rsid w:val="617F70AA"/>
    <w:rsid w:val="618B1EF3"/>
    <w:rsid w:val="61A435BB"/>
    <w:rsid w:val="61C62F2B"/>
    <w:rsid w:val="61CE1DDF"/>
    <w:rsid w:val="620677CB"/>
    <w:rsid w:val="620B4DE2"/>
    <w:rsid w:val="621C0D9D"/>
    <w:rsid w:val="622540F5"/>
    <w:rsid w:val="622814F0"/>
    <w:rsid w:val="623B7475"/>
    <w:rsid w:val="624D0F56"/>
    <w:rsid w:val="625471C8"/>
    <w:rsid w:val="626D33A6"/>
    <w:rsid w:val="627806C9"/>
    <w:rsid w:val="627E7362"/>
    <w:rsid w:val="62830E1C"/>
    <w:rsid w:val="628E1C9B"/>
    <w:rsid w:val="62A200D7"/>
    <w:rsid w:val="62D02037"/>
    <w:rsid w:val="62E23D94"/>
    <w:rsid w:val="62E418BB"/>
    <w:rsid w:val="630930CF"/>
    <w:rsid w:val="63206930"/>
    <w:rsid w:val="63212B0F"/>
    <w:rsid w:val="63707F69"/>
    <w:rsid w:val="63732C3E"/>
    <w:rsid w:val="639B64F3"/>
    <w:rsid w:val="63B864AB"/>
    <w:rsid w:val="63BF40D6"/>
    <w:rsid w:val="63D23E09"/>
    <w:rsid w:val="63D556A7"/>
    <w:rsid w:val="63DA4A6C"/>
    <w:rsid w:val="63E61662"/>
    <w:rsid w:val="63F7561D"/>
    <w:rsid w:val="63FF2724"/>
    <w:rsid w:val="643E149E"/>
    <w:rsid w:val="64BD6867"/>
    <w:rsid w:val="651D7306"/>
    <w:rsid w:val="65314B5F"/>
    <w:rsid w:val="653B59DE"/>
    <w:rsid w:val="653F727C"/>
    <w:rsid w:val="6545060B"/>
    <w:rsid w:val="65613696"/>
    <w:rsid w:val="65744AB4"/>
    <w:rsid w:val="65C84FAE"/>
    <w:rsid w:val="66042274"/>
    <w:rsid w:val="664F5513"/>
    <w:rsid w:val="66507267"/>
    <w:rsid w:val="669929BC"/>
    <w:rsid w:val="66AD46B9"/>
    <w:rsid w:val="66D9725C"/>
    <w:rsid w:val="66DB2FD4"/>
    <w:rsid w:val="66ED4AB6"/>
    <w:rsid w:val="670818F0"/>
    <w:rsid w:val="67492634"/>
    <w:rsid w:val="674B5EB3"/>
    <w:rsid w:val="67530DBD"/>
    <w:rsid w:val="6765227E"/>
    <w:rsid w:val="677D0530"/>
    <w:rsid w:val="6795334E"/>
    <w:rsid w:val="67E15882"/>
    <w:rsid w:val="67F0485E"/>
    <w:rsid w:val="68014CBD"/>
    <w:rsid w:val="68033E59"/>
    <w:rsid w:val="68241A54"/>
    <w:rsid w:val="682664D1"/>
    <w:rsid w:val="68580655"/>
    <w:rsid w:val="687731D1"/>
    <w:rsid w:val="68C42F08"/>
    <w:rsid w:val="68D93544"/>
    <w:rsid w:val="68E00D76"/>
    <w:rsid w:val="68F14A85"/>
    <w:rsid w:val="691518D8"/>
    <w:rsid w:val="6931512E"/>
    <w:rsid w:val="695944A6"/>
    <w:rsid w:val="69631B29"/>
    <w:rsid w:val="696372B1"/>
    <w:rsid w:val="69653029"/>
    <w:rsid w:val="69667A12"/>
    <w:rsid w:val="69782D5D"/>
    <w:rsid w:val="69790883"/>
    <w:rsid w:val="6981699D"/>
    <w:rsid w:val="69821E2D"/>
    <w:rsid w:val="69847953"/>
    <w:rsid w:val="698711F2"/>
    <w:rsid w:val="69886D18"/>
    <w:rsid w:val="699851AD"/>
    <w:rsid w:val="69A753F0"/>
    <w:rsid w:val="69B83AA1"/>
    <w:rsid w:val="69FA19C4"/>
    <w:rsid w:val="6A2922A9"/>
    <w:rsid w:val="6A425119"/>
    <w:rsid w:val="6A4C5F97"/>
    <w:rsid w:val="6A513898"/>
    <w:rsid w:val="6A554E4C"/>
    <w:rsid w:val="6A92322D"/>
    <w:rsid w:val="6A9E4A45"/>
    <w:rsid w:val="6AF723A7"/>
    <w:rsid w:val="6B511AB7"/>
    <w:rsid w:val="6B543355"/>
    <w:rsid w:val="6B701F5B"/>
    <w:rsid w:val="6B9419A4"/>
    <w:rsid w:val="6BC56001"/>
    <w:rsid w:val="6BCC55E2"/>
    <w:rsid w:val="6BD0416B"/>
    <w:rsid w:val="6BD34A06"/>
    <w:rsid w:val="6BDA7CFF"/>
    <w:rsid w:val="6BEB6332"/>
    <w:rsid w:val="6BEC7A32"/>
    <w:rsid w:val="6C1E7E9E"/>
    <w:rsid w:val="6C1F5711"/>
    <w:rsid w:val="6C353089"/>
    <w:rsid w:val="6C4E5FF7"/>
    <w:rsid w:val="6C8934D3"/>
    <w:rsid w:val="6C8B724B"/>
    <w:rsid w:val="6C945932"/>
    <w:rsid w:val="6C975BF0"/>
    <w:rsid w:val="6C9A123C"/>
    <w:rsid w:val="6CF63ADC"/>
    <w:rsid w:val="6D082649"/>
    <w:rsid w:val="6D096C0B"/>
    <w:rsid w:val="6D1C7EA3"/>
    <w:rsid w:val="6D6C2BD8"/>
    <w:rsid w:val="6DD864C0"/>
    <w:rsid w:val="6E0A6EA2"/>
    <w:rsid w:val="6E2A0E46"/>
    <w:rsid w:val="6E731D44"/>
    <w:rsid w:val="6E737F96"/>
    <w:rsid w:val="6E9A19C7"/>
    <w:rsid w:val="6ECE5F81"/>
    <w:rsid w:val="6EDD3662"/>
    <w:rsid w:val="6EF70BC7"/>
    <w:rsid w:val="6F046E40"/>
    <w:rsid w:val="6F42021D"/>
    <w:rsid w:val="6F751AEC"/>
    <w:rsid w:val="6F795A80"/>
    <w:rsid w:val="6F820674"/>
    <w:rsid w:val="6F8D32DA"/>
    <w:rsid w:val="6FE74798"/>
    <w:rsid w:val="6FF670D1"/>
    <w:rsid w:val="701932CF"/>
    <w:rsid w:val="701B00A9"/>
    <w:rsid w:val="70485E9C"/>
    <w:rsid w:val="70495453"/>
    <w:rsid w:val="707C234E"/>
    <w:rsid w:val="708C39AE"/>
    <w:rsid w:val="70911320"/>
    <w:rsid w:val="709F0A13"/>
    <w:rsid w:val="70B52AE8"/>
    <w:rsid w:val="70DC62C7"/>
    <w:rsid w:val="71155335"/>
    <w:rsid w:val="71202A4F"/>
    <w:rsid w:val="7141437C"/>
    <w:rsid w:val="714D4ACF"/>
    <w:rsid w:val="71526589"/>
    <w:rsid w:val="716B764B"/>
    <w:rsid w:val="718304F0"/>
    <w:rsid w:val="7189187F"/>
    <w:rsid w:val="71A1274A"/>
    <w:rsid w:val="71B44B4E"/>
    <w:rsid w:val="71D90A58"/>
    <w:rsid w:val="71E76CD1"/>
    <w:rsid w:val="72007D93"/>
    <w:rsid w:val="72023B0B"/>
    <w:rsid w:val="72231CD3"/>
    <w:rsid w:val="72255A4C"/>
    <w:rsid w:val="724C4D86"/>
    <w:rsid w:val="724F4877"/>
    <w:rsid w:val="72516841"/>
    <w:rsid w:val="727A495D"/>
    <w:rsid w:val="72892BC7"/>
    <w:rsid w:val="72D66F5A"/>
    <w:rsid w:val="72DD6326"/>
    <w:rsid w:val="731358A4"/>
    <w:rsid w:val="73361949"/>
    <w:rsid w:val="7346211D"/>
    <w:rsid w:val="73467A28"/>
    <w:rsid w:val="73661E78"/>
    <w:rsid w:val="73832A2A"/>
    <w:rsid w:val="73A0182E"/>
    <w:rsid w:val="73B513F3"/>
    <w:rsid w:val="73BC5F3C"/>
    <w:rsid w:val="74416441"/>
    <w:rsid w:val="74432492"/>
    <w:rsid w:val="746C6120"/>
    <w:rsid w:val="747B5DF7"/>
    <w:rsid w:val="74BD1F6B"/>
    <w:rsid w:val="74CA4688"/>
    <w:rsid w:val="74E514C2"/>
    <w:rsid w:val="74F33BDF"/>
    <w:rsid w:val="7521074C"/>
    <w:rsid w:val="75526B58"/>
    <w:rsid w:val="75614FED"/>
    <w:rsid w:val="759E1D9D"/>
    <w:rsid w:val="75FE6CDF"/>
    <w:rsid w:val="765D6045"/>
    <w:rsid w:val="76676633"/>
    <w:rsid w:val="77000835"/>
    <w:rsid w:val="77742528"/>
    <w:rsid w:val="77792DBE"/>
    <w:rsid w:val="7782124A"/>
    <w:rsid w:val="778E7BEF"/>
    <w:rsid w:val="77C67389"/>
    <w:rsid w:val="77D777E8"/>
    <w:rsid w:val="77F250B7"/>
    <w:rsid w:val="78536F8A"/>
    <w:rsid w:val="788F3C1F"/>
    <w:rsid w:val="78994A9D"/>
    <w:rsid w:val="78B06B26"/>
    <w:rsid w:val="78B11DE7"/>
    <w:rsid w:val="78B75AF8"/>
    <w:rsid w:val="78BE4504"/>
    <w:rsid w:val="78C37D6C"/>
    <w:rsid w:val="78CF226D"/>
    <w:rsid w:val="78EA70A7"/>
    <w:rsid w:val="79052133"/>
    <w:rsid w:val="792425B9"/>
    <w:rsid w:val="79621333"/>
    <w:rsid w:val="79654980"/>
    <w:rsid w:val="797F3C93"/>
    <w:rsid w:val="798309DD"/>
    <w:rsid w:val="79AE27CB"/>
    <w:rsid w:val="79E32D74"/>
    <w:rsid w:val="79E838CA"/>
    <w:rsid w:val="79E90C8B"/>
    <w:rsid w:val="7A0F14BB"/>
    <w:rsid w:val="7A111CF9"/>
    <w:rsid w:val="7A320D06"/>
    <w:rsid w:val="7A3410D9"/>
    <w:rsid w:val="7A3A405E"/>
    <w:rsid w:val="7A410F49"/>
    <w:rsid w:val="7A844288"/>
    <w:rsid w:val="7A8772A3"/>
    <w:rsid w:val="7A9F562E"/>
    <w:rsid w:val="7AC43368"/>
    <w:rsid w:val="7AEA7832"/>
    <w:rsid w:val="7AF67F85"/>
    <w:rsid w:val="7B0109A2"/>
    <w:rsid w:val="7B2E5971"/>
    <w:rsid w:val="7B615D46"/>
    <w:rsid w:val="7B892BA7"/>
    <w:rsid w:val="7B963516"/>
    <w:rsid w:val="7BA907E2"/>
    <w:rsid w:val="7BB51BEE"/>
    <w:rsid w:val="7BB87930"/>
    <w:rsid w:val="7BC63DFB"/>
    <w:rsid w:val="7C095DC0"/>
    <w:rsid w:val="7C1508DF"/>
    <w:rsid w:val="7C491437"/>
    <w:rsid w:val="7C6333F8"/>
    <w:rsid w:val="7C63789C"/>
    <w:rsid w:val="7C6A026F"/>
    <w:rsid w:val="7C8B0BA1"/>
    <w:rsid w:val="7CB974BC"/>
    <w:rsid w:val="7CE107C1"/>
    <w:rsid w:val="7D04291E"/>
    <w:rsid w:val="7D0A5F6A"/>
    <w:rsid w:val="7D1A5069"/>
    <w:rsid w:val="7D1B3750"/>
    <w:rsid w:val="7D1F7C67"/>
    <w:rsid w:val="7D496A92"/>
    <w:rsid w:val="7D4A280A"/>
    <w:rsid w:val="7D690EE2"/>
    <w:rsid w:val="7D7163F8"/>
    <w:rsid w:val="7D8C2E23"/>
    <w:rsid w:val="7DB14637"/>
    <w:rsid w:val="7DB639FC"/>
    <w:rsid w:val="7DB77972"/>
    <w:rsid w:val="7DBD4D8A"/>
    <w:rsid w:val="7DEC566F"/>
    <w:rsid w:val="7DED716A"/>
    <w:rsid w:val="7E1A0CE1"/>
    <w:rsid w:val="7E351EDD"/>
    <w:rsid w:val="7ED95BF4"/>
    <w:rsid w:val="7EEF5417"/>
    <w:rsid w:val="7EF24F07"/>
    <w:rsid w:val="7F030EC3"/>
    <w:rsid w:val="7F573231"/>
    <w:rsid w:val="7F842003"/>
    <w:rsid w:val="7F8E512A"/>
    <w:rsid w:val="7F945FBF"/>
    <w:rsid w:val="7F9E1A24"/>
    <w:rsid w:val="7FCA19E0"/>
    <w:rsid w:val="7FF56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annotation text"/>
    <w:basedOn w:val="1"/>
    <w:qFormat/>
    <w:uiPriority w:val="0"/>
    <w:pPr>
      <w:jc w:val="left"/>
    </w:pPr>
  </w:style>
  <w:style w:type="paragraph" w:styleId="7">
    <w:name w:val="Body Text"/>
    <w:basedOn w:val="1"/>
    <w:qFormat/>
    <w:uiPriority w:val="0"/>
    <w:rPr>
      <w:rFonts w:ascii="仿宋_GB2312" w:eastAsia="仿宋_GB2312"/>
      <w:kern w:val="0"/>
      <w:sz w:val="24"/>
      <w:szCs w:val="20"/>
    </w:rPr>
  </w:style>
  <w:style w:type="paragraph" w:styleId="8">
    <w:name w:val="Body Text Indent"/>
    <w:basedOn w:val="1"/>
    <w:next w:val="9"/>
    <w:qFormat/>
    <w:uiPriority w:val="0"/>
    <w:pPr>
      <w:spacing w:after="120"/>
      <w:ind w:left="420" w:leftChars="200"/>
    </w:pPr>
  </w:style>
  <w:style w:type="paragraph" w:styleId="9">
    <w:name w:val="envelope return"/>
    <w:basedOn w:val="1"/>
    <w:unhideWhenUsed/>
    <w:qFormat/>
    <w:uiPriority w:val="99"/>
    <w:pPr>
      <w:snapToGrid w:val="0"/>
    </w:pPr>
    <w:rPr>
      <w:rFonts w:ascii="Arial" w:hAnsi="Arial"/>
    </w:rPr>
  </w:style>
  <w:style w:type="paragraph" w:styleId="10">
    <w:name w:val="Block Text"/>
    <w:basedOn w:val="1"/>
    <w:qFormat/>
    <w:uiPriority w:val="0"/>
    <w:pPr>
      <w:spacing w:line="360" w:lineRule="auto"/>
      <w:ind w:right="210" w:firstLine="560"/>
    </w:pPr>
    <w:rPr>
      <w:rFonts w:ascii="宋体" w:hAnsi="宋体" w:cs="宋体"/>
      <w:color w:val="000000"/>
      <w:kern w:val="0"/>
      <w:sz w:val="24"/>
      <w:szCs w:val="20"/>
    </w:rPr>
  </w:style>
  <w:style w:type="paragraph" w:styleId="11">
    <w:name w:val="Plain Text"/>
    <w:basedOn w:val="1"/>
    <w:qFormat/>
    <w:uiPriority w:val="0"/>
    <w:rPr>
      <w:rFonts w:ascii="宋体" w:hAnsi="Courier New"/>
      <w:kern w:val="0"/>
      <w:sz w:val="20"/>
      <w:szCs w:val="21"/>
    </w:r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4">
    <w:name w:val="Body Text First Indent"/>
    <w:basedOn w:val="7"/>
    <w:qFormat/>
    <w:uiPriority w:val="99"/>
    <w:pPr>
      <w:spacing w:line="360" w:lineRule="auto"/>
      <w:ind w:firstLine="200" w:firstLineChars="200"/>
    </w:pPr>
    <w:rPr>
      <w:rFonts w:ascii="仿宋_GB2312" w:eastAsia="仿宋_GB2312"/>
      <w:kern w:val="0"/>
      <w:sz w:val="30"/>
      <w:szCs w:val="30"/>
    </w:rPr>
  </w:style>
  <w:style w:type="paragraph" w:styleId="15">
    <w:name w:val="Body Text First Indent 2"/>
    <w:basedOn w:val="8"/>
    <w:next w:val="10"/>
    <w:unhideWhenUsed/>
    <w:qFormat/>
    <w:uiPriority w:val="99"/>
    <w:pPr>
      <w:ind w:firstLine="420" w:firstLineChars="2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style4"/>
    <w:basedOn w:val="1"/>
    <w:next w:val="20"/>
    <w:qFormat/>
    <w:uiPriority w:val="0"/>
    <w:pPr>
      <w:widowControl/>
      <w:spacing w:before="100" w:beforeAutospacing="1" w:after="100" w:afterAutospacing="1"/>
      <w:jc w:val="left"/>
    </w:pPr>
    <w:rPr>
      <w:rFonts w:ascii="Arial Unicode MS" w:hAnsi="Arial Unicode MS" w:eastAsia="Arial Unicode MS" w:cs="Arial Unicode MS"/>
      <w:color w:val="0000FF"/>
      <w:kern w:val="0"/>
      <w:sz w:val="20"/>
      <w:szCs w:val="20"/>
    </w:rPr>
  </w:style>
  <w:style w:type="paragraph" w:customStyle="1" w:styleId="20">
    <w:name w:val="2"/>
    <w:next w:val="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1">
    <w:name w:val="正文缩进2格"/>
    <w:basedOn w:val="1"/>
    <w:autoRedefine/>
    <w:qFormat/>
    <w:uiPriority w:val="0"/>
    <w:pPr>
      <w:spacing w:line="600" w:lineRule="exact"/>
      <w:ind w:firstLine="639" w:firstLineChars="206"/>
    </w:pPr>
    <w:rPr>
      <w:rFonts w:ascii="仿宋_GB2312" w:hAnsi="宋体" w:eastAsia="仿宋_GB2312"/>
      <w:sz w:val="31"/>
      <w:szCs w:val="28"/>
    </w:rPr>
  </w:style>
  <w:style w:type="paragraph" w:customStyle="1" w:styleId="22">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Plain Text"/>
    <w:basedOn w:val="1"/>
    <w:qFormat/>
    <w:uiPriority w:val="0"/>
    <w:rPr>
      <w:rFonts w:ascii="宋体" w:hAnsi="Courier New"/>
      <w:sz w:val="28"/>
      <w:szCs w:val="24"/>
    </w:rPr>
  </w:style>
  <w:style w:type="paragraph" w:customStyle="1" w:styleId="24">
    <w:name w:val="纯文本3"/>
    <w:basedOn w:val="1"/>
    <w:qFormat/>
    <w:uiPriority w:val="0"/>
    <w:rPr>
      <w:rFonts w:ascii="宋体" w:hAnsi="Courier New" w:eastAsia="宋体"/>
      <w:sz w:val="28"/>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43</Pages>
  <Words>4199</Words>
  <Characters>4387</Characters>
  <Lines>0</Lines>
  <Paragraphs>0</Paragraphs>
  <TotalTime>3</TotalTime>
  <ScaleCrop>false</ScaleCrop>
  <LinksUpToDate>false</LinksUpToDate>
  <CharactersWithSpaces>4433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2024-09-23T15:06:00Z</dcterms:created>
  <dc:creator>Administrator</dc:creator>
  <cp:lastModifiedBy>wyk</cp:lastModifiedBy>
  <dcterms:modified xsi:type="dcterms:W3CDTF">2024-12-16T01:35:35Z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34A3D1389C9A4489A7042F1FD8A938D7_12</vt:lpwstr>
  </property>
</Properties>
</file>