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D63301">
      <w:pPr>
        <w:tabs>
          <w:tab w:val="left" w:pos="6300"/>
        </w:tabs>
        <w:snapToGrid w:val="0"/>
        <w:spacing w:line="300" w:lineRule="auto"/>
        <w:jc w:val="center"/>
        <w:rPr>
          <w:rFonts w:hint="eastAsia" w:ascii="宋体" w:hAnsi="宋体" w:cs="宋体"/>
          <w:b/>
          <w:sz w:val="44"/>
          <w:szCs w:val="44"/>
          <w:highlight w:val="none"/>
        </w:rPr>
      </w:pPr>
      <w:bookmarkStart w:id="77" w:name="_GoBack"/>
      <w:bookmarkEnd w:id="77"/>
    </w:p>
    <w:p w14:paraId="1207F7B1">
      <w:pPr>
        <w:rPr>
          <w:rFonts w:hint="eastAsia" w:ascii="宋体" w:hAnsi="宋体" w:cs="宋体"/>
          <w:b/>
          <w:sz w:val="44"/>
          <w:szCs w:val="44"/>
          <w:highlight w:val="none"/>
        </w:rPr>
      </w:pPr>
    </w:p>
    <w:p w14:paraId="55A63252">
      <w:pPr>
        <w:pStyle w:val="2"/>
        <w:rPr>
          <w:highlight w:val="none"/>
        </w:rPr>
      </w:pPr>
    </w:p>
    <w:p w14:paraId="40279BE0">
      <w:pPr>
        <w:pStyle w:val="2"/>
        <w:rPr>
          <w:highlight w:val="none"/>
        </w:rPr>
      </w:pPr>
    </w:p>
    <w:p w14:paraId="04CDF1EB">
      <w:pPr>
        <w:tabs>
          <w:tab w:val="left" w:pos="6300"/>
        </w:tabs>
        <w:snapToGrid w:val="0"/>
        <w:spacing w:line="300" w:lineRule="auto"/>
        <w:jc w:val="center"/>
        <w:rPr>
          <w:rFonts w:hint="eastAsia" w:ascii="宋体" w:hAnsi="宋体" w:eastAsia="宋体" w:cs="宋体"/>
          <w:b/>
          <w:w w:val="80"/>
          <w:sz w:val="36"/>
          <w:szCs w:val="36"/>
          <w:highlight w:val="none"/>
          <w:lang w:eastAsia="zh-CN"/>
        </w:rPr>
      </w:pPr>
      <w:r>
        <w:rPr>
          <w:rFonts w:hint="eastAsia" w:ascii="宋体" w:hAnsi="宋体" w:cs="宋体"/>
          <w:b/>
          <w:sz w:val="36"/>
          <w:szCs w:val="36"/>
          <w:highlight w:val="none"/>
          <w:lang w:eastAsia="zh-CN"/>
        </w:rPr>
        <w:t>南通报</w:t>
      </w:r>
      <w:r>
        <w:rPr>
          <w:rFonts w:hint="eastAsia" w:ascii="宋体" w:hAnsi="宋体" w:cs="宋体"/>
          <w:b/>
          <w:sz w:val="36"/>
          <w:szCs w:val="36"/>
          <w:highlight w:val="none"/>
          <w:lang w:val="en-US" w:eastAsia="zh-CN"/>
        </w:rPr>
        <w:t>业大厦</w:t>
      </w:r>
      <w:r>
        <w:rPr>
          <w:rFonts w:hint="eastAsia" w:ascii="宋体" w:hAnsi="宋体" w:cs="宋体"/>
          <w:b/>
          <w:sz w:val="36"/>
          <w:szCs w:val="36"/>
          <w:highlight w:val="none"/>
          <w:lang w:eastAsia="zh-CN"/>
        </w:rPr>
        <w:t>发光</w:t>
      </w:r>
      <w:r>
        <w:rPr>
          <w:rFonts w:hint="eastAsia" w:ascii="宋体" w:hAnsi="宋体" w:cs="宋体"/>
          <w:b/>
          <w:sz w:val="36"/>
          <w:szCs w:val="36"/>
          <w:highlight w:val="none"/>
          <w:lang w:val="en-US" w:eastAsia="zh-CN"/>
        </w:rPr>
        <w:t>字更新安装</w:t>
      </w:r>
      <w:r>
        <w:rPr>
          <w:rFonts w:hint="eastAsia" w:ascii="宋体" w:hAnsi="宋体" w:cs="宋体"/>
          <w:b/>
          <w:sz w:val="36"/>
          <w:szCs w:val="36"/>
          <w:highlight w:val="none"/>
          <w:lang w:eastAsia="zh-CN"/>
        </w:rPr>
        <w:t>项目</w:t>
      </w:r>
    </w:p>
    <w:p w14:paraId="37AF2D96">
      <w:pPr>
        <w:pStyle w:val="2"/>
        <w:rPr>
          <w:rFonts w:hint="eastAsia"/>
          <w:highlight w:val="none"/>
        </w:rPr>
      </w:pPr>
    </w:p>
    <w:p w14:paraId="701136FF">
      <w:pPr>
        <w:rPr>
          <w:rFonts w:hint="eastAsia"/>
          <w:highlight w:val="none"/>
        </w:rPr>
      </w:pPr>
    </w:p>
    <w:p w14:paraId="1253D5BB">
      <w:pPr>
        <w:tabs>
          <w:tab w:val="left" w:pos="6300"/>
        </w:tabs>
        <w:snapToGrid w:val="0"/>
        <w:spacing w:line="300" w:lineRule="auto"/>
        <w:jc w:val="center"/>
        <w:rPr>
          <w:rFonts w:hint="eastAsia" w:ascii="宋体" w:hAnsi="宋体" w:cs="宋体"/>
          <w:b/>
          <w:w w:val="80"/>
          <w:sz w:val="96"/>
          <w:szCs w:val="96"/>
          <w:highlight w:val="none"/>
        </w:rPr>
      </w:pPr>
    </w:p>
    <w:p w14:paraId="52FDDA0E">
      <w:pPr>
        <w:tabs>
          <w:tab w:val="left" w:pos="6300"/>
        </w:tabs>
        <w:snapToGrid w:val="0"/>
        <w:spacing w:line="300" w:lineRule="auto"/>
        <w:jc w:val="center"/>
        <w:rPr>
          <w:rFonts w:hint="eastAsia" w:ascii="宋体" w:hAnsi="宋体" w:cs="宋体"/>
          <w:b/>
          <w:w w:val="80"/>
          <w:sz w:val="96"/>
          <w:szCs w:val="96"/>
          <w:highlight w:val="none"/>
        </w:rPr>
      </w:pPr>
    </w:p>
    <w:p w14:paraId="66A0C898">
      <w:pPr>
        <w:tabs>
          <w:tab w:val="left" w:pos="6300"/>
        </w:tabs>
        <w:snapToGrid w:val="0"/>
        <w:spacing w:line="300" w:lineRule="auto"/>
        <w:jc w:val="center"/>
        <w:rPr>
          <w:rFonts w:hint="eastAsia" w:ascii="宋体" w:hAnsi="宋体" w:cs="宋体"/>
          <w:b/>
          <w:w w:val="80"/>
          <w:sz w:val="96"/>
          <w:szCs w:val="96"/>
          <w:highlight w:val="none"/>
        </w:rPr>
      </w:pPr>
      <w:r>
        <w:rPr>
          <w:rFonts w:hint="eastAsia" w:ascii="宋体" w:hAnsi="宋体" w:cs="宋体"/>
          <w:b/>
          <w:w w:val="80"/>
          <w:sz w:val="96"/>
          <w:szCs w:val="96"/>
          <w:highlight w:val="none"/>
        </w:rPr>
        <w:t>竞争性磋商文件</w:t>
      </w:r>
    </w:p>
    <w:p w14:paraId="1172641E">
      <w:pPr>
        <w:spacing w:line="360" w:lineRule="auto"/>
        <w:rPr>
          <w:rFonts w:hint="eastAsia" w:ascii="宋体" w:hAnsi="宋体" w:cs="宋体"/>
          <w:b/>
          <w:sz w:val="44"/>
          <w:szCs w:val="44"/>
          <w:highlight w:val="none"/>
        </w:rPr>
      </w:pPr>
    </w:p>
    <w:p w14:paraId="7C24AAAC">
      <w:pPr>
        <w:snapToGrid w:val="0"/>
        <w:spacing w:line="360" w:lineRule="auto"/>
        <w:rPr>
          <w:rFonts w:hint="eastAsia" w:ascii="宋体" w:hAnsi="宋体" w:cs="宋体"/>
          <w:b/>
          <w:sz w:val="36"/>
          <w:highlight w:val="none"/>
        </w:rPr>
      </w:pPr>
    </w:p>
    <w:p w14:paraId="6DEE967F">
      <w:pPr>
        <w:pStyle w:val="2"/>
        <w:rPr>
          <w:rFonts w:hint="eastAsia"/>
          <w:highlight w:val="none"/>
        </w:rPr>
      </w:pPr>
    </w:p>
    <w:p w14:paraId="368D227C">
      <w:pPr>
        <w:rPr>
          <w:rFonts w:hint="eastAsia"/>
          <w:highlight w:val="none"/>
        </w:rPr>
      </w:pPr>
    </w:p>
    <w:p w14:paraId="7A193F86">
      <w:pPr>
        <w:pStyle w:val="2"/>
        <w:rPr>
          <w:rFonts w:hint="eastAsia"/>
          <w:highlight w:val="none"/>
        </w:rPr>
      </w:pPr>
    </w:p>
    <w:p w14:paraId="1B3F41C3">
      <w:pPr>
        <w:snapToGrid w:val="0"/>
        <w:spacing w:line="360" w:lineRule="auto"/>
        <w:rPr>
          <w:rFonts w:hint="eastAsia" w:ascii="宋体" w:hAnsi="宋体" w:cs="宋体"/>
          <w:b/>
          <w:sz w:val="36"/>
          <w:highlight w:val="none"/>
        </w:rPr>
      </w:pPr>
    </w:p>
    <w:p w14:paraId="4D108DEF">
      <w:pPr>
        <w:snapToGrid w:val="0"/>
        <w:spacing w:line="360" w:lineRule="auto"/>
        <w:rPr>
          <w:rFonts w:hint="eastAsia" w:ascii="宋体" w:hAnsi="宋体" w:cs="宋体"/>
          <w:b/>
          <w:sz w:val="36"/>
          <w:highlight w:val="none"/>
        </w:rPr>
      </w:pPr>
    </w:p>
    <w:p w14:paraId="08ABACD8">
      <w:pPr>
        <w:adjustRightInd w:val="0"/>
        <w:snapToGrid w:val="0"/>
        <w:spacing w:line="360" w:lineRule="auto"/>
        <w:ind w:firstLine="1807" w:firstLineChars="600"/>
        <w:jc w:val="both"/>
        <w:rPr>
          <w:rFonts w:hint="eastAsia" w:ascii="宋体" w:hAnsi="宋体" w:eastAsia="宋体" w:cs="宋体"/>
          <w:b/>
          <w:bCs/>
          <w:sz w:val="30"/>
          <w:szCs w:val="30"/>
          <w:highlight w:val="none"/>
          <w:lang w:val="en-US" w:eastAsia="zh-CN"/>
        </w:rPr>
      </w:pPr>
      <w:bookmarkStart w:id="0" w:name="_Toc521201596"/>
      <w:bookmarkStart w:id="1" w:name="_Toc94544827"/>
      <w:bookmarkStart w:id="2" w:name="_Toc12670502"/>
      <w:bookmarkStart w:id="3" w:name="_Toc11499583"/>
      <w:bookmarkStart w:id="4" w:name="_Toc11500279"/>
      <w:bookmarkStart w:id="5" w:name="_Toc521203417"/>
      <w:bookmarkStart w:id="6" w:name="_Toc8895738"/>
      <w:bookmarkStart w:id="7" w:name="_Toc94544743"/>
      <w:bookmarkStart w:id="8" w:name="_Toc94585339"/>
      <w:bookmarkStart w:id="9" w:name="_Toc11554638"/>
      <w:r>
        <w:rPr>
          <w:rFonts w:hint="eastAsia" w:ascii="宋体" w:hAnsi="宋体" w:cs="宋体"/>
          <w:b/>
          <w:sz w:val="30"/>
          <w:szCs w:val="30"/>
          <w:highlight w:val="none"/>
        </w:rPr>
        <w:t>采购单位：南通日报社</w:t>
      </w:r>
      <w:r>
        <w:rPr>
          <w:rFonts w:hint="eastAsia" w:ascii="宋体" w:hAnsi="宋体" w:cs="宋体"/>
          <w:b/>
          <w:sz w:val="30"/>
          <w:szCs w:val="30"/>
          <w:highlight w:val="none"/>
          <w:lang w:val="en-US" w:eastAsia="zh-CN"/>
        </w:rPr>
        <w:t xml:space="preserve"> </w:t>
      </w:r>
    </w:p>
    <w:p w14:paraId="2D9319C7">
      <w:pPr>
        <w:adjustRightInd w:val="0"/>
        <w:snapToGrid w:val="0"/>
        <w:spacing w:line="360" w:lineRule="auto"/>
        <w:jc w:val="center"/>
        <w:rPr>
          <w:rFonts w:hint="eastAsia" w:ascii="宋体" w:hAnsi="宋体" w:cs="宋体"/>
          <w:b/>
          <w:sz w:val="30"/>
          <w:szCs w:val="30"/>
          <w:highlight w:val="none"/>
        </w:rPr>
      </w:pPr>
      <w:r>
        <w:rPr>
          <w:rFonts w:hint="eastAsia" w:ascii="宋体" w:hAnsi="宋体" w:cs="宋体"/>
          <w:b/>
          <w:sz w:val="30"/>
          <w:szCs w:val="30"/>
          <w:highlight w:val="none"/>
        </w:rPr>
        <w:t xml:space="preserve">代理机构：江苏建达全过程工程咨询有限公司　                    </w:t>
      </w:r>
    </w:p>
    <w:p w14:paraId="7665A35D">
      <w:pPr>
        <w:adjustRightInd w:val="0"/>
        <w:snapToGrid w:val="0"/>
        <w:spacing w:line="360" w:lineRule="auto"/>
        <w:jc w:val="center"/>
        <w:rPr>
          <w:rFonts w:hint="eastAsia" w:ascii="宋体" w:hAnsi="宋体" w:cs="宋体"/>
          <w:b/>
          <w:sz w:val="30"/>
          <w:szCs w:val="30"/>
          <w:highlight w:val="none"/>
        </w:rPr>
      </w:pPr>
      <w:r>
        <w:rPr>
          <w:rFonts w:hint="eastAsia" w:ascii="宋体" w:hAnsi="宋体" w:cs="宋体"/>
          <w:b/>
          <w:sz w:val="30"/>
          <w:szCs w:val="30"/>
          <w:highlight w:val="none"/>
        </w:rPr>
        <w:t xml:space="preserve">   二〇二</w:t>
      </w:r>
      <w:r>
        <w:rPr>
          <w:rFonts w:hint="eastAsia" w:ascii="宋体" w:hAnsi="宋体" w:cs="宋体"/>
          <w:b/>
          <w:sz w:val="30"/>
          <w:szCs w:val="30"/>
          <w:highlight w:val="none"/>
          <w:lang w:val="en-US" w:eastAsia="zh-CN"/>
        </w:rPr>
        <w:t>五</w:t>
      </w:r>
      <w:r>
        <w:rPr>
          <w:rFonts w:hint="eastAsia" w:ascii="宋体" w:hAnsi="宋体" w:cs="宋体"/>
          <w:b/>
          <w:sz w:val="30"/>
          <w:szCs w:val="30"/>
          <w:highlight w:val="none"/>
        </w:rPr>
        <w:t>年</w:t>
      </w:r>
      <w:r>
        <w:rPr>
          <w:rFonts w:hint="eastAsia" w:ascii="宋体" w:hAnsi="宋体" w:cs="宋体"/>
          <w:b/>
          <w:sz w:val="30"/>
          <w:szCs w:val="30"/>
          <w:highlight w:val="none"/>
          <w:lang w:val="en-US" w:eastAsia="zh-CN"/>
        </w:rPr>
        <w:t>四</w:t>
      </w:r>
      <w:r>
        <w:rPr>
          <w:rFonts w:hint="eastAsia" w:ascii="宋体" w:hAnsi="宋体" w:cs="宋体"/>
          <w:b/>
          <w:sz w:val="30"/>
          <w:szCs w:val="30"/>
          <w:highlight w:val="none"/>
        </w:rPr>
        <w:t>月</w:t>
      </w:r>
      <w:r>
        <w:rPr>
          <w:rFonts w:hint="eastAsia" w:ascii="宋体" w:hAnsi="宋体" w:cs="宋体"/>
          <w:b/>
          <w:sz w:val="30"/>
          <w:szCs w:val="30"/>
          <w:highlight w:val="none"/>
          <w:lang w:val="en-US" w:eastAsia="zh-CN"/>
        </w:rPr>
        <w:t>二</w:t>
      </w:r>
      <w:r>
        <w:rPr>
          <w:rFonts w:hint="eastAsia" w:ascii="宋体" w:hAnsi="宋体" w:cs="宋体"/>
          <w:b/>
          <w:sz w:val="30"/>
          <w:szCs w:val="30"/>
          <w:highlight w:val="none"/>
        </w:rPr>
        <w:t>日</w:t>
      </w:r>
    </w:p>
    <w:p w14:paraId="612AFFCD">
      <w:pPr>
        <w:overflowPunct w:val="0"/>
        <w:rPr>
          <w:rFonts w:hint="eastAsia" w:ascii="宋体" w:hAnsi="宋体" w:cs="宋体"/>
          <w:b/>
          <w:sz w:val="32"/>
          <w:highlight w:val="none"/>
        </w:rPr>
        <w:sectPr>
          <w:footerReference r:id="rId6" w:type="first"/>
          <w:headerReference r:id="rId3" w:type="default"/>
          <w:footerReference r:id="rId4" w:type="default"/>
          <w:footerReference r:id="rId5" w:type="even"/>
          <w:type w:val="continuous"/>
          <w:pgSz w:w="11906" w:h="16838"/>
          <w:pgMar w:top="1134" w:right="1113" w:bottom="1134" w:left="1255" w:header="851" w:footer="992" w:gutter="0"/>
          <w:pgNumType w:fmt="numberInDash" w:start="1"/>
          <w:cols w:space="720" w:num="1"/>
          <w:titlePg/>
          <w:docGrid w:linePitch="380" w:charSpace="-5735"/>
        </w:sectPr>
      </w:pPr>
    </w:p>
    <w:p w14:paraId="6E216FCA">
      <w:pPr>
        <w:jc w:val="center"/>
        <w:rPr>
          <w:rFonts w:ascii="宋体" w:hAnsi="宋体" w:cs="宋体"/>
          <w:b/>
          <w:sz w:val="44"/>
          <w:szCs w:val="44"/>
          <w:highlight w:val="none"/>
        </w:rPr>
        <w:sectPr>
          <w:type w:val="continuous"/>
          <w:pgSz w:w="11906" w:h="16838"/>
          <w:pgMar w:top="1134" w:right="1134" w:bottom="1134" w:left="1622" w:header="851" w:footer="992" w:gutter="0"/>
          <w:pgNumType w:fmt="numberInDash"/>
          <w:cols w:space="720" w:num="1"/>
          <w:docGrid w:linePitch="312" w:charSpace="0"/>
        </w:sectPr>
      </w:pPr>
    </w:p>
    <w:p w14:paraId="56984E48">
      <w:pPr>
        <w:pStyle w:val="24"/>
        <w:tabs>
          <w:tab w:val="left" w:pos="1050"/>
          <w:tab w:val="right" w:leader="dot" w:pos="9402"/>
        </w:tabs>
        <w:spacing w:line="960" w:lineRule="exact"/>
        <w:ind w:left="0"/>
        <w:jc w:val="center"/>
        <w:outlineLvl w:val="0"/>
        <w:rPr>
          <w:rFonts w:hint="eastAsia" w:ascii="宋体" w:hAnsi="宋体" w:cs="宋体"/>
          <w:b/>
          <w:i w:val="0"/>
          <w:w w:val="80"/>
          <w:sz w:val="52"/>
          <w:szCs w:val="52"/>
          <w:highlight w:val="none"/>
        </w:rPr>
      </w:pPr>
      <w:r>
        <w:rPr>
          <w:rFonts w:hint="eastAsia" w:ascii="宋体" w:hAnsi="宋体" w:cs="宋体"/>
          <w:b/>
          <w:i w:val="0"/>
          <w:w w:val="80"/>
          <w:sz w:val="52"/>
          <w:szCs w:val="52"/>
          <w:highlight w:val="none"/>
        </w:rPr>
        <w:t>目   录</w:t>
      </w:r>
    </w:p>
    <w:p w14:paraId="3C2AFA73">
      <w:pPr>
        <w:spacing w:line="800" w:lineRule="exact"/>
        <w:jc w:val="center"/>
        <w:rPr>
          <w:rFonts w:hint="eastAsia" w:ascii="宋体" w:hAnsi="宋体" w:cs="宋体"/>
          <w:b/>
          <w:sz w:val="52"/>
          <w:szCs w:val="52"/>
          <w:highlight w:val="none"/>
        </w:rPr>
      </w:pPr>
    </w:p>
    <w:p w14:paraId="42AAF5B8">
      <w:pPr>
        <w:pStyle w:val="24"/>
        <w:tabs>
          <w:tab w:val="left" w:pos="1050"/>
          <w:tab w:val="right" w:leader="dot" w:pos="9402"/>
        </w:tabs>
        <w:spacing w:line="520" w:lineRule="exact"/>
        <w:ind w:left="0"/>
        <w:rPr>
          <w:rFonts w:hint="eastAsia" w:ascii="宋体" w:hAnsi="宋体" w:cs="宋体"/>
          <w:i w:val="0"/>
          <w:w w:val="80"/>
          <w:sz w:val="36"/>
          <w:szCs w:val="36"/>
          <w:highlight w:val="none"/>
        </w:rPr>
      </w:pPr>
      <w:r>
        <w:rPr>
          <w:rFonts w:hint="eastAsia" w:ascii="宋体" w:hAnsi="宋体" w:cs="宋体"/>
          <w:i w:val="0"/>
          <w:w w:val="80"/>
          <w:sz w:val="36"/>
          <w:szCs w:val="36"/>
          <w:highlight w:val="none"/>
        </w:rPr>
        <w:t>第一章       竞争性磋商公告</w:t>
      </w:r>
    </w:p>
    <w:p w14:paraId="4E9A2220">
      <w:pPr>
        <w:rPr>
          <w:rFonts w:hint="eastAsia" w:ascii="宋体" w:hAnsi="宋体" w:cs="宋体"/>
          <w:sz w:val="36"/>
          <w:szCs w:val="36"/>
          <w:highlight w:val="none"/>
        </w:rPr>
      </w:pPr>
    </w:p>
    <w:p w14:paraId="12EBC59E">
      <w:pPr>
        <w:pStyle w:val="24"/>
        <w:tabs>
          <w:tab w:val="left" w:pos="1050"/>
          <w:tab w:val="right" w:leader="dot" w:pos="9402"/>
        </w:tabs>
        <w:spacing w:line="520" w:lineRule="exact"/>
        <w:ind w:left="0"/>
        <w:rPr>
          <w:rFonts w:hint="eastAsia" w:ascii="宋体" w:hAnsi="宋体" w:cs="宋体"/>
          <w:i w:val="0"/>
          <w:w w:val="80"/>
          <w:sz w:val="36"/>
          <w:szCs w:val="36"/>
          <w:highlight w:val="none"/>
        </w:rPr>
      </w:pPr>
      <w:r>
        <w:rPr>
          <w:rFonts w:hint="eastAsia" w:ascii="宋体" w:hAnsi="宋体" w:cs="宋体"/>
          <w:i w:val="0"/>
          <w:w w:val="80"/>
          <w:sz w:val="36"/>
          <w:szCs w:val="36"/>
          <w:highlight w:val="none"/>
        </w:rPr>
        <w:t>第二章       磋商供应商须知</w:t>
      </w:r>
    </w:p>
    <w:p w14:paraId="1C1C2C79">
      <w:pPr>
        <w:rPr>
          <w:rFonts w:hint="eastAsia" w:ascii="宋体" w:hAnsi="宋体" w:cs="宋体"/>
          <w:sz w:val="36"/>
          <w:szCs w:val="36"/>
          <w:highlight w:val="none"/>
        </w:rPr>
      </w:pPr>
    </w:p>
    <w:p w14:paraId="0684E048">
      <w:pPr>
        <w:pStyle w:val="24"/>
        <w:tabs>
          <w:tab w:val="left" w:pos="1050"/>
          <w:tab w:val="right" w:leader="dot" w:pos="9402"/>
        </w:tabs>
        <w:spacing w:line="520" w:lineRule="exact"/>
        <w:ind w:left="1"/>
        <w:rPr>
          <w:rFonts w:hint="eastAsia" w:ascii="宋体" w:hAnsi="宋体" w:cs="宋体"/>
          <w:i w:val="0"/>
          <w:w w:val="80"/>
          <w:sz w:val="36"/>
          <w:szCs w:val="36"/>
          <w:highlight w:val="none"/>
        </w:rPr>
      </w:pPr>
      <w:r>
        <w:rPr>
          <w:rFonts w:hint="eastAsia" w:ascii="宋体" w:hAnsi="宋体" w:cs="宋体"/>
          <w:i w:val="0"/>
          <w:w w:val="80"/>
          <w:sz w:val="36"/>
          <w:szCs w:val="36"/>
          <w:highlight w:val="none"/>
        </w:rPr>
        <w:t>第三章       项目需求</w:t>
      </w:r>
    </w:p>
    <w:p w14:paraId="5F2E50C3">
      <w:pPr>
        <w:rPr>
          <w:rFonts w:hint="eastAsia" w:ascii="宋体" w:hAnsi="宋体" w:cs="宋体"/>
          <w:sz w:val="36"/>
          <w:szCs w:val="36"/>
          <w:highlight w:val="none"/>
        </w:rPr>
      </w:pPr>
    </w:p>
    <w:p w14:paraId="6175ED5C">
      <w:pPr>
        <w:pStyle w:val="24"/>
        <w:tabs>
          <w:tab w:val="left" w:pos="1050"/>
          <w:tab w:val="right" w:leader="dot" w:pos="9402"/>
        </w:tabs>
        <w:spacing w:line="520" w:lineRule="exact"/>
        <w:ind w:left="0"/>
        <w:rPr>
          <w:rFonts w:hint="eastAsia" w:ascii="宋体" w:hAnsi="宋体" w:cs="宋体"/>
          <w:i w:val="0"/>
          <w:w w:val="80"/>
          <w:sz w:val="36"/>
          <w:szCs w:val="36"/>
          <w:highlight w:val="none"/>
        </w:rPr>
      </w:pPr>
      <w:r>
        <w:rPr>
          <w:rFonts w:hint="eastAsia" w:ascii="宋体" w:hAnsi="宋体" w:cs="宋体"/>
          <w:i w:val="0"/>
          <w:w w:val="80"/>
          <w:sz w:val="36"/>
          <w:szCs w:val="36"/>
          <w:highlight w:val="none"/>
        </w:rPr>
        <w:t>第四章       评审方法和程序</w:t>
      </w:r>
    </w:p>
    <w:p w14:paraId="2A63360E">
      <w:pPr>
        <w:rPr>
          <w:rFonts w:hint="eastAsia" w:ascii="宋体" w:hAnsi="宋体" w:cs="宋体"/>
          <w:i/>
          <w:w w:val="80"/>
          <w:sz w:val="36"/>
          <w:szCs w:val="36"/>
          <w:highlight w:val="none"/>
        </w:rPr>
      </w:pPr>
    </w:p>
    <w:p w14:paraId="18C7B659">
      <w:pPr>
        <w:pStyle w:val="24"/>
        <w:numPr>
          <w:ilvl w:val="0"/>
          <w:numId w:val="2"/>
        </w:numPr>
        <w:tabs>
          <w:tab w:val="left" w:pos="1050"/>
          <w:tab w:val="right" w:leader="dot" w:pos="9402"/>
        </w:tabs>
        <w:spacing w:line="520" w:lineRule="exact"/>
        <w:ind w:left="0"/>
        <w:rPr>
          <w:rFonts w:hint="eastAsia" w:ascii="宋体" w:hAnsi="宋体" w:cs="宋体"/>
          <w:i w:val="0"/>
          <w:iCs/>
          <w:w w:val="80"/>
          <w:sz w:val="36"/>
          <w:szCs w:val="36"/>
          <w:highlight w:val="none"/>
        </w:rPr>
      </w:pPr>
      <w:r>
        <w:rPr>
          <w:rFonts w:hint="eastAsia" w:ascii="宋体" w:hAnsi="宋体" w:cs="宋体"/>
          <w:i w:val="0"/>
          <w:iCs/>
          <w:w w:val="80"/>
          <w:sz w:val="36"/>
          <w:szCs w:val="36"/>
          <w:highlight w:val="none"/>
        </w:rPr>
        <w:t xml:space="preserve">      合同授予</w:t>
      </w:r>
    </w:p>
    <w:p w14:paraId="02DF7D9D">
      <w:pPr>
        <w:rPr>
          <w:rFonts w:hint="eastAsia" w:ascii="宋体" w:hAnsi="宋体" w:cs="宋体"/>
          <w:sz w:val="36"/>
          <w:szCs w:val="36"/>
          <w:highlight w:val="none"/>
        </w:rPr>
      </w:pPr>
    </w:p>
    <w:p w14:paraId="3E75A67C">
      <w:pPr>
        <w:pStyle w:val="24"/>
        <w:tabs>
          <w:tab w:val="left" w:pos="1050"/>
          <w:tab w:val="right" w:leader="dot" w:pos="9402"/>
        </w:tabs>
        <w:spacing w:line="520" w:lineRule="exact"/>
        <w:ind w:left="0"/>
        <w:rPr>
          <w:rFonts w:hint="eastAsia" w:ascii="宋体" w:hAnsi="宋体" w:cs="宋体"/>
          <w:i w:val="0"/>
          <w:w w:val="80"/>
          <w:sz w:val="36"/>
          <w:szCs w:val="36"/>
          <w:highlight w:val="none"/>
        </w:rPr>
      </w:pPr>
      <w:r>
        <w:rPr>
          <w:rFonts w:hint="eastAsia" w:ascii="宋体" w:hAnsi="宋体" w:cs="宋体"/>
          <w:i w:val="0"/>
          <w:w w:val="80"/>
          <w:sz w:val="36"/>
          <w:szCs w:val="36"/>
          <w:highlight w:val="none"/>
        </w:rPr>
        <w:t>第六章       质疑提出和处理</w:t>
      </w:r>
    </w:p>
    <w:p w14:paraId="47B20DC7">
      <w:pPr>
        <w:rPr>
          <w:rFonts w:hint="eastAsia" w:ascii="宋体" w:hAnsi="宋体" w:cs="宋体"/>
          <w:sz w:val="36"/>
          <w:szCs w:val="36"/>
          <w:highlight w:val="none"/>
        </w:rPr>
      </w:pPr>
    </w:p>
    <w:p w14:paraId="7787B427">
      <w:pPr>
        <w:pStyle w:val="24"/>
        <w:tabs>
          <w:tab w:val="left" w:pos="1050"/>
          <w:tab w:val="right" w:leader="dot" w:pos="9402"/>
        </w:tabs>
        <w:spacing w:line="520" w:lineRule="exact"/>
        <w:ind w:left="0"/>
        <w:rPr>
          <w:rFonts w:hint="eastAsia" w:ascii="宋体" w:hAnsi="宋体" w:cs="宋体"/>
          <w:i w:val="0"/>
          <w:w w:val="80"/>
          <w:sz w:val="36"/>
          <w:szCs w:val="36"/>
          <w:highlight w:val="none"/>
        </w:rPr>
      </w:pPr>
      <w:r>
        <w:rPr>
          <w:rFonts w:hint="eastAsia" w:ascii="宋体" w:hAnsi="宋体" w:cs="宋体"/>
          <w:i w:val="0"/>
          <w:w w:val="80"/>
          <w:sz w:val="36"/>
          <w:szCs w:val="36"/>
          <w:highlight w:val="none"/>
        </w:rPr>
        <w:t>第七章       响应文件组成及格式</w:t>
      </w:r>
    </w:p>
    <w:p w14:paraId="18285A6C">
      <w:pPr>
        <w:rPr>
          <w:rFonts w:hint="eastAsia" w:ascii="宋体" w:hAnsi="宋体" w:cs="宋体"/>
          <w:sz w:val="36"/>
          <w:szCs w:val="36"/>
          <w:highlight w:val="none"/>
        </w:rPr>
      </w:pPr>
    </w:p>
    <w:p w14:paraId="77ADF4CB">
      <w:pPr>
        <w:rPr>
          <w:rFonts w:hint="eastAsia" w:ascii="宋体" w:hAnsi="宋体" w:cs="宋体"/>
          <w:sz w:val="36"/>
          <w:szCs w:val="36"/>
          <w:highlight w:val="none"/>
        </w:rPr>
      </w:pPr>
    </w:p>
    <w:p w14:paraId="449EE297">
      <w:pPr>
        <w:snapToGrid w:val="0"/>
        <w:spacing w:line="360" w:lineRule="auto"/>
        <w:rPr>
          <w:rFonts w:hint="eastAsia" w:ascii="宋体" w:hAnsi="宋体" w:cs="宋体"/>
          <w:b/>
          <w:szCs w:val="21"/>
          <w:highlight w:val="none"/>
        </w:rPr>
      </w:pPr>
      <w:r>
        <w:rPr>
          <w:rFonts w:hint="eastAsia" w:ascii="宋体" w:hAnsi="宋体" w:cs="宋体"/>
          <w:b/>
          <w:szCs w:val="21"/>
          <w:highlight w:val="none"/>
        </w:rPr>
        <w:br w:type="page"/>
      </w:r>
      <w:r>
        <w:rPr>
          <w:rFonts w:hint="eastAsia" w:ascii="宋体" w:hAnsi="宋体" w:cs="宋体"/>
          <w:b/>
          <w:szCs w:val="21"/>
          <w:highlight w:val="none"/>
        </w:rPr>
        <w:t>尊敬的投标供应商：</w:t>
      </w:r>
    </w:p>
    <w:p w14:paraId="07A19323">
      <w:pPr>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欢迎参加本采购项目的竞争性磋商。为了保证本次磋商项目顺利进行，请在制作响应文件之前，仔细阅读本竞争性磋商文件的各项条款，并按要求制作和递交响应文件。谢谢合作！</w:t>
      </w:r>
    </w:p>
    <w:p w14:paraId="7EBBB597">
      <w:pPr>
        <w:snapToGrid w:val="0"/>
        <w:spacing w:line="360" w:lineRule="auto"/>
        <w:ind w:firstLine="422" w:firstLineChars="200"/>
        <w:rPr>
          <w:rFonts w:hint="eastAsia" w:ascii="宋体" w:hAnsi="宋体" w:cs="宋体"/>
          <w:b/>
          <w:szCs w:val="21"/>
          <w:highlight w:val="none"/>
        </w:rPr>
      </w:pPr>
    </w:p>
    <w:p w14:paraId="6EA88777">
      <w:pPr>
        <w:pStyle w:val="24"/>
        <w:tabs>
          <w:tab w:val="left" w:pos="1050"/>
          <w:tab w:val="right" w:leader="dot" w:pos="9402"/>
        </w:tabs>
        <w:spacing w:line="360" w:lineRule="auto"/>
        <w:ind w:left="0"/>
        <w:jc w:val="center"/>
        <w:outlineLvl w:val="0"/>
        <w:rPr>
          <w:rFonts w:hint="eastAsia" w:ascii="宋体" w:hAnsi="宋体" w:cs="宋体"/>
          <w:b/>
          <w:i w:val="0"/>
          <w:w w:val="80"/>
          <w:sz w:val="44"/>
          <w:szCs w:val="44"/>
          <w:highlight w:val="none"/>
        </w:rPr>
      </w:pPr>
      <w:bookmarkStart w:id="10" w:name="_Toc363573853"/>
      <w:r>
        <w:rPr>
          <w:rFonts w:hint="eastAsia" w:ascii="宋体" w:hAnsi="宋体" w:cs="宋体"/>
          <w:b/>
          <w:i w:val="0"/>
          <w:w w:val="80"/>
          <w:sz w:val="44"/>
          <w:szCs w:val="44"/>
          <w:highlight w:val="none"/>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i w:val="0"/>
          <w:w w:val="80"/>
          <w:sz w:val="44"/>
          <w:szCs w:val="44"/>
          <w:highlight w:val="none"/>
        </w:rPr>
        <w:t>告</w:t>
      </w:r>
      <w:bookmarkEnd w:id="10"/>
    </w:p>
    <w:p w14:paraId="3B999C82">
      <w:pPr>
        <w:rPr>
          <w:rFonts w:hint="eastAsia"/>
          <w:highlight w:val="none"/>
        </w:rPr>
      </w:pPr>
    </w:p>
    <w:tbl>
      <w:tblPr>
        <w:tblStyle w:val="52"/>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14:paraId="21C4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856" w:type="dxa"/>
            <w:noWrap w:val="0"/>
            <w:vAlign w:val="top"/>
          </w:tcPr>
          <w:p w14:paraId="185A9E42">
            <w:pPr>
              <w:shd w:val="clear" w:color="auto" w:fill="FFFFFF"/>
              <w:spacing w:before="120" w:beforeLines="50" w:line="360" w:lineRule="auto"/>
              <w:rPr>
                <w:rFonts w:ascii="宋体" w:hAnsi="宋体"/>
                <w:sz w:val="24"/>
                <w:szCs w:val="24"/>
                <w:highlight w:val="none"/>
              </w:rPr>
            </w:pPr>
            <w:r>
              <w:rPr>
                <w:rFonts w:hint="eastAsia" w:ascii="宋体" w:hAnsi="宋体"/>
                <w:b/>
                <w:bCs/>
                <w:sz w:val="24"/>
                <w:szCs w:val="24"/>
                <w:highlight w:val="none"/>
              </w:rPr>
              <w:t>项目概况</w:t>
            </w:r>
          </w:p>
          <w:p w14:paraId="66584893">
            <w:pPr>
              <w:ind w:firstLine="480" w:firstLineChars="200"/>
              <w:rPr>
                <w:rFonts w:ascii="宋体" w:hAnsi="宋体"/>
                <w:sz w:val="24"/>
                <w:szCs w:val="24"/>
                <w:highlight w:val="none"/>
              </w:rPr>
            </w:pPr>
            <w:r>
              <w:rPr>
                <w:rFonts w:hint="eastAsia" w:ascii="宋体" w:hAnsi="宋体"/>
                <w:sz w:val="24"/>
                <w:szCs w:val="24"/>
                <w:highlight w:val="none"/>
                <w:u w:val="single"/>
                <w:lang w:eastAsia="zh-CN"/>
              </w:rPr>
              <w:t>南通</w:t>
            </w:r>
            <w:r>
              <w:rPr>
                <w:rFonts w:hint="eastAsia" w:ascii="宋体" w:hAnsi="宋体"/>
                <w:sz w:val="24"/>
                <w:szCs w:val="24"/>
                <w:highlight w:val="none"/>
                <w:u w:val="single"/>
                <w:lang w:val="en-US" w:eastAsia="zh-CN"/>
              </w:rPr>
              <w:t>报业大厦</w:t>
            </w:r>
            <w:r>
              <w:rPr>
                <w:rFonts w:hint="eastAsia" w:ascii="宋体" w:hAnsi="宋体"/>
                <w:sz w:val="24"/>
                <w:szCs w:val="24"/>
                <w:highlight w:val="none"/>
                <w:u w:val="single"/>
                <w:lang w:eastAsia="zh-CN"/>
              </w:rPr>
              <w:t>发光</w:t>
            </w:r>
            <w:r>
              <w:rPr>
                <w:rFonts w:hint="eastAsia" w:ascii="宋体" w:hAnsi="宋体"/>
                <w:sz w:val="24"/>
                <w:szCs w:val="24"/>
                <w:highlight w:val="none"/>
                <w:u w:val="single"/>
                <w:lang w:val="en-US" w:eastAsia="zh-CN"/>
              </w:rPr>
              <w:t>字更新</w:t>
            </w:r>
            <w:r>
              <w:rPr>
                <w:rFonts w:hint="eastAsia" w:ascii="宋体" w:hAnsi="宋体"/>
                <w:sz w:val="24"/>
                <w:szCs w:val="24"/>
                <w:highlight w:val="none"/>
                <w:u w:val="single"/>
                <w:lang w:eastAsia="zh-CN"/>
              </w:rPr>
              <w:t>安装项目</w:t>
            </w:r>
            <w:r>
              <w:rPr>
                <w:rFonts w:hint="eastAsia" w:ascii="宋体" w:hAnsi="宋体"/>
                <w:sz w:val="24"/>
                <w:szCs w:val="24"/>
                <w:highlight w:val="none"/>
              </w:rPr>
              <w:t>的潜在供应商应</w:t>
            </w:r>
            <w:r>
              <w:rPr>
                <w:rFonts w:hint="eastAsia" w:ascii="宋体" w:hAnsi="宋体"/>
                <w:b/>
                <w:bCs/>
                <w:sz w:val="24"/>
                <w:szCs w:val="24"/>
                <w:highlight w:val="none"/>
                <w:u w:val="single"/>
              </w:rPr>
              <w:t>“南通网→通知公告”</w:t>
            </w:r>
            <w:r>
              <w:rPr>
                <w:rFonts w:hint="eastAsia" w:ascii="宋体" w:hAnsi="宋体"/>
                <w:sz w:val="24"/>
                <w:szCs w:val="24"/>
                <w:highlight w:val="none"/>
              </w:rPr>
              <w:t>内获取采购文件，并于</w:t>
            </w:r>
            <w:r>
              <w:rPr>
                <w:rFonts w:hint="eastAsia" w:ascii="宋体" w:hAnsi="宋体"/>
                <w:sz w:val="24"/>
                <w:szCs w:val="24"/>
                <w:highlight w:val="none"/>
                <w:u w:val="single"/>
              </w:rPr>
              <w:t>2</w:t>
            </w:r>
            <w:r>
              <w:rPr>
                <w:rFonts w:ascii="宋体" w:hAnsi="宋体"/>
                <w:sz w:val="24"/>
                <w:szCs w:val="24"/>
                <w:highlight w:val="none"/>
                <w:u w:val="single"/>
              </w:rPr>
              <w:t>02</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月</w:t>
            </w:r>
            <w:r>
              <w:rPr>
                <w:rStyle w:val="56"/>
                <w:rFonts w:hint="eastAsia" w:ascii="宋体" w:hAnsi="宋体"/>
                <w:color w:val="auto"/>
                <w:sz w:val="24"/>
                <w:szCs w:val="24"/>
                <w:highlight w:val="none"/>
                <w:lang w:val="en-US" w:eastAsia="zh-CN"/>
              </w:rPr>
              <w:t>14</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 xml:space="preserve">14 </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w:t>
            </w:r>
            <w:r>
              <w:rPr>
                <w:rFonts w:hint="eastAsia" w:ascii="宋体" w:hAnsi="宋体"/>
                <w:sz w:val="24"/>
                <w:szCs w:val="24"/>
                <w:highlight w:val="none"/>
              </w:rPr>
              <w:t>（北京时间）前提交响应文件。</w:t>
            </w:r>
          </w:p>
        </w:tc>
      </w:tr>
    </w:tbl>
    <w:p w14:paraId="500F1578">
      <w:pPr>
        <w:widowControl/>
        <w:snapToGrid w:val="0"/>
        <w:spacing w:line="360" w:lineRule="auto"/>
        <w:ind w:firstLine="600" w:firstLineChars="250"/>
        <w:jc w:val="left"/>
        <w:rPr>
          <w:rFonts w:hint="eastAsia" w:ascii="宋体" w:hAnsi="宋体" w:cs="宋体"/>
          <w:sz w:val="24"/>
          <w:szCs w:val="24"/>
          <w:highlight w:val="none"/>
        </w:rPr>
      </w:pPr>
      <w:r>
        <w:rPr>
          <w:rFonts w:hint="eastAsia" w:ascii="宋体" w:hAnsi="宋体" w:cs="宋体"/>
          <w:sz w:val="24"/>
          <w:szCs w:val="24"/>
          <w:highlight w:val="none"/>
        </w:rPr>
        <w:t>江苏建达全过程工程咨询有限公司（以下称代理机构）受南通日报社（以下称采购单位）的委托，就其举办</w:t>
      </w:r>
      <w:r>
        <w:rPr>
          <w:rFonts w:hint="eastAsia" w:ascii="宋体" w:hAnsi="宋体" w:cs="宋体"/>
          <w:sz w:val="24"/>
          <w:szCs w:val="24"/>
          <w:highlight w:val="none"/>
          <w:lang w:eastAsia="zh-CN"/>
        </w:rPr>
        <w:t>南通报业大厦发光字更新安装项目</w:t>
      </w:r>
      <w:r>
        <w:rPr>
          <w:rFonts w:hint="eastAsia" w:ascii="宋体" w:hAnsi="宋体" w:cs="宋体"/>
          <w:sz w:val="24"/>
          <w:szCs w:val="24"/>
          <w:highlight w:val="none"/>
        </w:rPr>
        <w:t>组织争性磋商采购，诚邀符合条件的潜在供应商参加该项目的竞争性磋商。</w:t>
      </w:r>
    </w:p>
    <w:p w14:paraId="7AF8EF80">
      <w:pPr>
        <w:widowControl/>
        <w:snapToGrid w:val="0"/>
        <w:spacing w:line="360" w:lineRule="auto"/>
        <w:ind w:firstLine="470" w:firstLineChars="196"/>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一、项目名称：</w:t>
      </w:r>
      <w:r>
        <w:rPr>
          <w:rFonts w:hint="eastAsia" w:ascii="宋体" w:hAnsi="宋体"/>
          <w:sz w:val="24"/>
          <w:szCs w:val="24"/>
          <w:highlight w:val="none"/>
          <w:u w:val="none"/>
          <w:lang w:eastAsia="zh-CN"/>
        </w:rPr>
        <w:t>南通</w:t>
      </w:r>
      <w:r>
        <w:rPr>
          <w:rFonts w:hint="eastAsia" w:ascii="宋体" w:hAnsi="宋体"/>
          <w:sz w:val="24"/>
          <w:szCs w:val="24"/>
          <w:highlight w:val="none"/>
          <w:u w:val="none"/>
          <w:lang w:val="en-US" w:eastAsia="zh-CN"/>
        </w:rPr>
        <w:t>报业大厦</w:t>
      </w:r>
      <w:r>
        <w:rPr>
          <w:rFonts w:hint="eastAsia" w:ascii="宋体" w:hAnsi="宋体"/>
          <w:sz w:val="24"/>
          <w:szCs w:val="24"/>
          <w:highlight w:val="none"/>
          <w:u w:val="none"/>
          <w:lang w:eastAsia="zh-CN"/>
        </w:rPr>
        <w:t>发光</w:t>
      </w:r>
      <w:r>
        <w:rPr>
          <w:rFonts w:hint="eastAsia" w:ascii="宋体" w:hAnsi="宋体"/>
          <w:sz w:val="24"/>
          <w:szCs w:val="24"/>
          <w:highlight w:val="none"/>
          <w:u w:val="none"/>
          <w:lang w:val="en-US" w:eastAsia="zh-CN"/>
        </w:rPr>
        <w:t>字更新</w:t>
      </w:r>
      <w:r>
        <w:rPr>
          <w:rFonts w:hint="eastAsia" w:ascii="宋体" w:hAnsi="宋体"/>
          <w:sz w:val="24"/>
          <w:szCs w:val="24"/>
          <w:highlight w:val="none"/>
          <w:u w:val="none"/>
          <w:lang w:eastAsia="zh-CN"/>
        </w:rPr>
        <w:t>安装项目</w:t>
      </w:r>
    </w:p>
    <w:p w14:paraId="3447FA79">
      <w:pPr>
        <w:widowControl/>
        <w:snapToGrid w:val="0"/>
        <w:spacing w:line="360" w:lineRule="auto"/>
        <w:ind w:firstLine="470" w:firstLineChars="196"/>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二、项目预算：</w:t>
      </w:r>
      <w:r>
        <w:rPr>
          <w:rFonts w:hint="eastAsia" w:ascii="宋体" w:hAnsi="宋体" w:cs="宋体"/>
          <w:sz w:val="24"/>
          <w:szCs w:val="24"/>
          <w:highlight w:val="none"/>
          <w:lang w:val="en-US" w:eastAsia="zh-CN"/>
        </w:rPr>
        <w:t>18</w:t>
      </w:r>
      <w:r>
        <w:rPr>
          <w:rFonts w:hint="eastAsia" w:ascii="宋体" w:hAnsi="宋体" w:cs="宋体"/>
          <w:sz w:val="24"/>
          <w:szCs w:val="24"/>
          <w:highlight w:val="none"/>
        </w:rPr>
        <w:t>万元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p>
    <w:p w14:paraId="5EF6812F">
      <w:pPr>
        <w:widowControl/>
        <w:snapToGrid w:val="0"/>
        <w:spacing w:line="360" w:lineRule="auto"/>
        <w:ind w:firstLine="470" w:firstLineChars="196"/>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三、服务期限：合同签订生效后15日历天完成设备安装调试</w:t>
      </w:r>
      <w:r>
        <w:rPr>
          <w:rFonts w:hint="eastAsia" w:ascii="宋体" w:hAnsi="宋体" w:cs="宋体"/>
          <w:sz w:val="24"/>
          <w:szCs w:val="24"/>
          <w:highlight w:val="none"/>
          <w:lang w:val="en-US" w:eastAsia="zh-CN"/>
        </w:rPr>
        <w:t>，并通过采购人验收</w:t>
      </w:r>
      <w:r>
        <w:rPr>
          <w:rFonts w:hint="eastAsia" w:ascii="宋体" w:hAnsi="宋体" w:cs="宋体"/>
          <w:sz w:val="24"/>
          <w:szCs w:val="24"/>
          <w:highlight w:val="none"/>
          <w:lang w:eastAsia="zh-CN"/>
        </w:rPr>
        <w:t>。</w:t>
      </w:r>
    </w:p>
    <w:p w14:paraId="75E0D644">
      <w:pPr>
        <w:widowControl/>
        <w:snapToGrid w:val="0"/>
        <w:spacing w:line="360" w:lineRule="auto"/>
        <w:ind w:firstLine="470" w:firstLineChars="196"/>
        <w:jc w:val="left"/>
        <w:rPr>
          <w:rFonts w:hint="eastAsia" w:ascii="宋体" w:hAnsi="宋体" w:cs="宋体"/>
          <w:sz w:val="24"/>
          <w:szCs w:val="24"/>
          <w:highlight w:val="none"/>
        </w:rPr>
      </w:pPr>
      <w:r>
        <w:rPr>
          <w:rFonts w:hint="eastAsia" w:ascii="宋体" w:hAnsi="宋体" w:cs="宋体"/>
          <w:sz w:val="24"/>
          <w:szCs w:val="24"/>
          <w:highlight w:val="none"/>
        </w:rPr>
        <w:t>四、项目需求：详见第三部分</w:t>
      </w:r>
    </w:p>
    <w:p w14:paraId="66E49051">
      <w:pPr>
        <w:widowControl/>
        <w:snapToGrid w:val="0"/>
        <w:spacing w:line="360" w:lineRule="auto"/>
        <w:ind w:firstLine="470" w:firstLineChars="196"/>
        <w:jc w:val="left"/>
        <w:rPr>
          <w:rFonts w:hint="eastAsia" w:ascii="宋体" w:hAnsi="宋体" w:cs="宋体"/>
          <w:sz w:val="24"/>
          <w:szCs w:val="24"/>
          <w:highlight w:val="none"/>
        </w:rPr>
      </w:pPr>
      <w:r>
        <w:rPr>
          <w:rFonts w:hint="eastAsia" w:ascii="宋体" w:hAnsi="宋体" w:cs="宋体"/>
          <w:sz w:val="24"/>
          <w:szCs w:val="24"/>
          <w:highlight w:val="none"/>
        </w:rPr>
        <w:t>五、潜在的供应商资格要求：</w:t>
      </w:r>
    </w:p>
    <w:p w14:paraId="1BF1297E">
      <w:pPr>
        <w:widowControl/>
        <w:snapToGrid w:val="0"/>
        <w:spacing w:line="360" w:lineRule="auto"/>
        <w:ind w:firstLine="470" w:firstLineChars="196"/>
        <w:jc w:val="left"/>
        <w:rPr>
          <w:rFonts w:hint="eastAsia" w:ascii="宋体" w:hAnsi="宋体" w:cs="宋体"/>
          <w:sz w:val="24"/>
          <w:szCs w:val="24"/>
          <w:highlight w:val="none"/>
        </w:rPr>
      </w:pPr>
      <w:r>
        <w:rPr>
          <w:rFonts w:hint="eastAsia" w:ascii="宋体" w:hAnsi="宋体" w:cs="宋体"/>
          <w:sz w:val="24"/>
          <w:szCs w:val="24"/>
          <w:highlight w:val="none"/>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0FC1149">
      <w:pPr>
        <w:widowControl/>
        <w:snapToGrid w:val="0"/>
        <w:spacing w:line="360" w:lineRule="auto"/>
        <w:ind w:firstLine="470" w:firstLineChars="196"/>
        <w:jc w:val="left"/>
        <w:rPr>
          <w:rFonts w:hint="eastAsia" w:ascii="宋体" w:hAnsi="宋体" w:cs="宋体"/>
          <w:sz w:val="24"/>
          <w:szCs w:val="24"/>
          <w:highlight w:val="none"/>
        </w:rPr>
      </w:pPr>
      <w:r>
        <w:rPr>
          <w:rFonts w:hint="eastAsia" w:ascii="宋体" w:hAnsi="宋体" w:cs="宋体"/>
          <w:sz w:val="24"/>
          <w:szCs w:val="24"/>
          <w:highlight w:val="none"/>
        </w:rPr>
        <w:t>2、法定代表人为同一个人的两个及两个以上法人，母公司、全资子公司及其控股公司，都不得在同一采购项目或同一标段中同时参加磋商，一经发现，将视同围标处理；</w:t>
      </w:r>
    </w:p>
    <w:p w14:paraId="46C23891">
      <w:pPr>
        <w:widowControl/>
        <w:snapToGrid w:val="0"/>
        <w:spacing w:line="360" w:lineRule="auto"/>
        <w:ind w:firstLine="470" w:firstLineChars="196"/>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ascii="宋体" w:hAnsi="宋体" w:eastAsia="宋体"/>
          <w:sz w:val="24"/>
          <w:szCs w:val="24"/>
          <w:highlight w:val="none"/>
        </w:rPr>
        <w:t>未被“信用中国”网站（www.creditchina.gov.cn）列入失信被执行人、重大税收违法案件当事人名单、政府采购严重失信行为记录名单；</w:t>
      </w:r>
    </w:p>
    <w:p w14:paraId="0A016134">
      <w:pPr>
        <w:widowControl/>
        <w:snapToGrid w:val="0"/>
        <w:spacing w:line="360" w:lineRule="auto"/>
        <w:ind w:firstLine="472" w:firstLineChars="196"/>
        <w:jc w:val="left"/>
        <w:rPr>
          <w:rFonts w:hint="eastAsia" w:ascii="宋体" w:hAnsi="宋体" w:cs="宋体"/>
          <w:b/>
          <w:bCs/>
          <w:sz w:val="24"/>
          <w:szCs w:val="24"/>
          <w:highlight w:val="none"/>
        </w:rPr>
      </w:pPr>
      <w:r>
        <w:rPr>
          <w:rFonts w:hint="eastAsia" w:ascii="宋体" w:hAnsi="宋体" w:cs="宋体"/>
          <w:b/>
          <w:bCs/>
          <w:sz w:val="24"/>
          <w:szCs w:val="24"/>
          <w:highlight w:val="none"/>
        </w:rPr>
        <w:t>供应商其它资格要求：</w:t>
      </w:r>
    </w:p>
    <w:p w14:paraId="3AAA2F49">
      <w:pPr>
        <w:widowControl/>
        <w:snapToGrid w:val="0"/>
        <w:spacing w:line="360" w:lineRule="auto"/>
        <w:ind w:firstLine="470" w:firstLineChars="196"/>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磋商响应供应商</w:t>
      </w:r>
      <w:r>
        <w:rPr>
          <w:rFonts w:hint="eastAsia" w:ascii="宋体" w:hAnsi="宋体" w:eastAsia="宋体"/>
          <w:sz w:val="24"/>
          <w:szCs w:val="24"/>
          <w:highlight w:val="none"/>
        </w:rPr>
        <w:t>必须具有独立法人资格，提供有效的营业执照及税务登记证（或者是三证合一的营业执照）。</w:t>
      </w:r>
    </w:p>
    <w:p w14:paraId="301B2BBB">
      <w:pPr>
        <w:widowControl/>
        <w:snapToGrid w:val="0"/>
        <w:spacing w:line="360" w:lineRule="auto"/>
        <w:ind w:firstLine="470" w:firstLineChars="196"/>
        <w:jc w:val="left"/>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磋商响应供应商法定代表人参加磋商响应的，必须提供法定代表人身份证明及法定代表人本人身份证复印件；非法定代表人参加磋商响应的，必须提供法定代表人签字或盖章的授权委托书及法定代表人、被授权人的两人身份证的复印件。</w:t>
      </w:r>
    </w:p>
    <w:p w14:paraId="43C8B982">
      <w:pPr>
        <w:widowControl/>
        <w:snapToGrid w:val="0"/>
        <w:spacing w:line="360" w:lineRule="auto"/>
        <w:ind w:firstLine="470" w:firstLineChars="196"/>
        <w:jc w:val="left"/>
        <w:rPr>
          <w:rFonts w:hint="eastAsia"/>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、磋商响应供应商须提供参与本次项目政府采购活动前三年内，在经营活动中没有重大违法记录的书面《无重大违法记录声明函》（格式参见磋商文件第七章）。</w:t>
      </w:r>
    </w:p>
    <w:p w14:paraId="5418E3D0">
      <w:pPr>
        <w:widowControl/>
        <w:numPr>
          <w:ilvl w:val="0"/>
          <w:numId w:val="0"/>
        </w:numPr>
        <w:snapToGrid w:val="0"/>
        <w:spacing w:line="360" w:lineRule="auto"/>
        <w:ind w:firstLine="470" w:firstLineChars="196"/>
        <w:jc w:val="left"/>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7、</w:t>
      </w:r>
      <w:r>
        <w:rPr>
          <w:rFonts w:hint="eastAsia" w:ascii="宋体" w:hAnsi="宋体" w:cs="宋体"/>
          <w:sz w:val="24"/>
          <w:szCs w:val="24"/>
          <w:highlight w:val="none"/>
        </w:rPr>
        <w:t>磋商响应供应商</w:t>
      </w:r>
      <w:r>
        <w:rPr>
          <w:rFonts w:hint="eastAsia" w:ascii="宋体" w:hAnsi="宋体" w:eastAsia="宋体"/>
          <w:sz w:val="24"/>
          <w:szCs w:val="24"/>
          <w:highlight w:val="none"/>
        </w:rPr>
        <w:t>必须具有</w:t>
      </w:r>
      <w:r>
        <w:rPr>
          <w:rFonts w:hint="eastAsia" w:ascii="宋体" w:hAnsi="宋体"/>
          <w:sz w:val="24"/>
          <w:szCs w:val="24"/>
          <w:highlight w:val="none"/>
          <w:lang w:val="en-US" w:eastAsia="zh-CN"/>
        </w:rPr>
        <w:t>有效的</w:t>
      </w:r>
      <w:r>
        <w:rPr>
          <w:rFonts w:hint="eastAsia" w:ascii="宋体" w:hAnsi="宋体" w:eastAsia="宋体" w:cs="宋体"/>
          <w:sz w:val="24"/>
          <w:szCs w:val="24"/>
          <w:highlight w:val="none"/>
        </w:rPr>
        <w:t>城市及道路照明工程专业承包</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级及以上资质</w:t>
      </w:r>
      <w:r>
        <w:rPr>
          <w:rFonts w:hint="eastAsia" w:ascii="宋体" w:hAnsi="宋体" w:cs="宋体"/>
          <w:sz w:val="24"/>
          <w:szCs w:val="24"/>
          <w:highlight w:val="none"/>
          <w:lang w:val="en-US" w:eastAsia="zh-CN"/>
        </w:rPr>
        <w:t>或钢结构工程专业承包叁级</w:t>
      </w:r>
      <w:r>
        <w:rPr>
          <w:rFonts w:hint="eastAsia" w:ascii="宋体" w:hAnsi="宋体" w:eastAsia="宋体" w:cs="宋体"/>
          <w:sz w:val="24"/>
          <w:szCs w:val="24"/>
          <w:highlight w:val="none"/>
        </w:rPr>
        <w:t>及以上资质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并在人员、设备、资金等方面具有相应的施工能力</w:t>
      </w:r>
      <w:r>
        <w:rPr>
          <w:rFonts w:hint="eastAsia" w:ascii="宋体" w:hAnsi="宋体" w:cs="宋体"/>
          <w:sz w:val="24"/>
          <w:szCs w:val="24"/>
          <w:highlight w:val="none"/>
          <w:lang w:eastAsia="zh-CN"/>
        </w:rPr>
        <w:t>。</w:t>
      </w:r>
    </w:p>
    <w:p w14:paraId="35A6E449">
      <w:pPr>
        <w:widowControl/>
        <w:numPr>
          <w:ilvl w:val="0"/>
          <w:numId w:val="0"/>
        </w:numPr>
        <w:snapToGrid w:val="0"/>
        <w:spacing w:line="360" w:lineRule="auto"/>
        <w:ind w:firstLine="470" w:firstLineChars="196"/>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8、磋商响应供应商</w:t>
      </w:r>
      <w:r>
        <w:rPr>
          <w:rFonts w:hint="eastAsia" w:ascii="宋体" w:hAnsi="宋体" w:cs="宋体"/>
          <w:kern w:val="2"/>
          <w:sz w:val="24"/>
          <w:szCs w:val="24"/>
          <w:highlight w:val="none"/>
          <w:lang w:val="en-US" w:eastAsia="zh-CN" w:bidi="ar-SA"/>
        </w:rPr>
        <w:t>具有有效的安全生产许可证。</w:t>
      </w:r>
    </w:p>
    <w:p w14:paraId="3FDCC45F">
      <w:pPr>
        <w:widowControl/>
        <w:numPr>
          <w:ilvl w:val="0"/>
          <w:numId w:val="0"/>
        </w:numPr>
        <w:snapToGrid w:val="0"/>
        <w:spacing w:line="360" w:lineRule="auto"/>
        <w:ind w:firstLine="470" w:firstLineChars="196"/>
        <w:jc w:val="left"/>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9、根据《省住房城乡建设关于开展建筑业企业资质动态监管工作的公告》(〔2018〕第 6 号)、《关于在我省国有资金投资工程建设项目招标投标中应用建筑企业资质动态监管结果有关要求的通知》（苏建招办〔2022〕2号）文件要求，投标人（或联合体中的施工单位）在投标文件递交截止时间当日，资质动态监管结果处于不合格状态的，将作为资格审查不通过处理。(企业动态资质查询信息以“江苏省建筑市场监管与诚信信息一体化平台”发布的信息为准)。资质动态监管执行苏建函建管〔2019〕233号“对资质核查结果为不达标的企业，不能参加招投标、合同备案等经营活动”的规定，仅对企业某项被核查为不达标的资质进行限制，不影响该企业其他核查达标的资质参加招投标、合同备案等经营活动。</w:t>
      </w:r>
    </w:p>
    <w:p w14:paraId="3B0D8F05">
      <w:pPr>
        <w:widowControl/>
        <w:numPr>
          <w:ilvl w:val="0"/>
          <w:numId w:val="0"/>
        </w:numPr>
        <w:snapToGrid w:val="0"/>
        <w:spacing w:line="360" w:lineRule="auto"/>
        <w:ind w:firstLine="470" w:firstLineChars="196"/>
        <w:jc w:val="left"/>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10、</w:t>
      </w:r>
      <w:r>
        <w:rPr>
          <w:rFonts w:hint="eastAsia" w:ascii="宋体" w:hAnsi="宋体" w:eastAsia="宋体" w:cs="宋体"/>
          <w:sz w:val="24"/>
          <w:szCs w:val="24"/>
          <w:highlight w:val="none"/>
        </w:rPr>
        <w:t>关于资格文件的声明函（格式参见第七章）。</w:t>
      </w:r>
    </w:p>
    <w:p w14:paraId="1685B2D2">
      <w:pPr>
        <w:widowControl/>
        <w:snapToGrid w:val="0"/>
        <w:spacing w:line="360" w:lineRule="auto"/>
        <w:ind w:firstLine="470" w:firstLineChars="196"/>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、本项目不接受任何形式的联合体参与磋商。</w:t>
      </w:r>
    </w:p>
    <w:p w14:paraId="31381E0D">
      <w:pPr>
        <w:widowControl/>
        <w:snapToGrid w:val="0"/>
        <w:spacing w:line="360" w:lineRule="auto"/>
        <w:ind w:firstLine="482" w:firstLineChars="200"/>
        <w:jc w:val="left"/>
        <w:rPr>
          <w:rFonts w:hint="eastAsia" w:ascii="宋体" w:hAnsi="宋体" w:cs="宋体"/>
          <w:b/>
          <w:sz w:val="24"/>
          <w:szCs w:val="24"/>
          <w:highlight w:val="none"/>
          <w:u w:val="single"/>
        </w:rPr>
      </w:pPr>
      <w:r>
        <w:rPr>
          <w:rFonts w:hint="eastAsia" w:ascii="宋体" w:hAnsi="宋体" w:cs="宋体"/>
          <w:b/>
          <w:sz w:val="24"/>
          <w:szCs w:val="24"/>
          <w:highlight w:val="none"/>
          <w:u w:val="single"/>
        </w:rPr>
        <w:t xml:space="preserve">具体资格要求详见附件中的“资格审查文件”。 </w:t>
      </w:r>
    </w:p>
    <w:p w14:paraId="43363D3D">
      <w:pPr>
        <w:widowControl/>
        <w:snapToGrid w:val="0"/>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请供应商认真对照资格要求，如不符合要求，无意或故意参与投标的，所产生的一切后果由供应商承担。对提供虚假材料的响应供应商作无效标处理。</w:t>
      </w:r>
    </w:p>
    <w:p w14:paraId="4F5951EE">
      <w:pPr>
        <w:widowControl/>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六、响应文件的递交、开标</w:t>
      </w:r>
    </w:p>
    <w:p w14:paraId="6D361970">
      <w:pPr>
        <w:widowControl/>
        <w:snapToGrid w:val="0"/>
        <w:spacing w:line="360" w:lineRule="auto"/>
        <w:ind w:firstLine="560" w:firstLineChars="200"/>
        <w:jc w:val="left"/>
        <w:rPr>
          <w:rFonts w:hint="eastAsia" w:ascii="宋体" w:hAnsi="宋体" w:cs="宋体"/>
          <w:sz w:val="24"/>
          <w:szCs w:val="24"/>
          <w:highlight w:val="none"/>
        </w:rPr>
      </w:pPr>
      <w:r>
        <w:rPr>
          <w:rFonts w:hint="eastAsia" w:ascii="宋体" w:hAnsi="宋体" w:cs="宋体"/>
          <w:sz w:val="28"/>
          <w:szCs w:val="28"/>
          <w:highlight w:val="none"/>
        </w:rPr>
        <w:t>1、</w:t>
      </w:r>
      <w:r>
        <w:rPr>
          <w:rFonts w:hint="eastAsia" w:ascii="宋体" w:hAnsi="宋体" w:cs="宋体"/>
          <w:sz w:val="24"/>
          <w:szCs w:val="24"/>
          <w:highlight w:val="none"/>
        </w:rPr>
        <w:t>响应文件接收截止及评审磋商开始时间：</w:t>
      </w:r>
      <w:r>
        <w:rPr>
          <w:rFonts w:hint="eastAsia" w:ascii="宋体" w:hAnsi="宋体" w:cs="宋体"/>
          <w:b/>
          <w:sz w:val="24"/>
          <w:szCs w:val="24"/>
          <w:highlight w:val="none"/>
          <w:lang w:val="en-US" w:eastAsia="zh-CN"/>
        </w:rPr>
        <w:t>2025</w:t>
      </w:r>
      <w:r>
        <w:rPr>
          <w:rFonts w:hint="eastAsia" w:ascii="宋体" w:hAnsi="宋体" w:cs="宋体"/>
          <w:b/>
          <w:sz w:val="24"/>
          <w:szCs w:val="24"/>
          <w:highlight w:val="none"/>
        </w:rPr>
        <w:t>年</w:t>
      </w:r>
      <w:r>
        <w:rPr>
          <w:rFonts w:hint="eastAsia" w:ascii="宋体" w:hAnsi="宋体" w:cs="宋体"/>
          <w:b/>
          <w:sz w:val="24"/>
          <w:szCs w:val="24"/>
          <w:highlight w:val="none"/>
          <w:u w:val="single"/>
          <w:lang w:val="en-US" w:eastAsia="zh-CN"/>
        </w:rPr>
        <w:t>4</w:t>
      </w:r>
      <w:r>
        <w:rPr>
          <w:rFonts w:hint="eastAsia" w:ascii="宋体" w:hAnsi="宋体" w:cs="宋体"/>
          <w:b/>
          <w:sz w:val="24"/>
          <w:szCs w:val="24"/>
          <w:highlight w:val="none"/>
        </w:rPr>
        <w:t>月</w:t>
      </w:r>
      <w:r>
        <w:rPr>
          <w:rFonts w:hint="eastAsia" w:ascii="宋体" w:hAnsi="宋体" w:cs="宋体"/>
          <w:b/>
          <w:sz w:val="24"/>
          <w:szCs w:val="24"/>
          <w:highlight w:val="none"/>
          <w:u w:val="single"/>
          <w:lang w:val="en-US" w:eastAsia="zh-CN"/>
        </w:rPr>
        <w:t>14</w:t>
      </w:r>
      <w:r>
        <w:rPr>
          <w:rFonts w:hint="eastAsia" w:ascii="宋体" w:hAnsi="宋体" w:cs="宋体"/>
          <w:b/>
          <w:sz w:val="24"/>
          <w:szCs w:val="24"/>
          <w:highlight w:val="none"/>
        </w:rPr>
        <w:t>日</w:t>
      </w:r>
      <w:r>
        <w:rPr>
          <w:rFonts w:hint="eastAsia" w:ascii="宋体" w:hAnsi="宋体" w:cs="宋体"/>
          <w:b/>
          <w:sz w:val="24"/>
          <w:szCs w:val="24"/>
          <w:highlight w:val="none"/>
          <w:u w:val="single"/>
          <w:lang w:val="en-US" w:eastAsia="zh-CN"/>
        </w:rPr>
        <w:t>14</w:t>
      </w:r>
      <w:r>
        <w:rPr>
          <w:rFonts w:hint="eastAsia" w:ascii="宋体" w:hAnsi="宋体" w:cs="宋体"/>
          <w:b/>
          <w:sz w:val="24"/>
          <w:szCs w:val="24"/>
          <w:highlight w:val="none"/>
        </w:rPr>
        <w:t>时</w:t>
      </w:r>
      <w:r>
        <w:rPr>
          <w:rFonts w:hint="eastAsia" w:ascii="宋体" w:hAnsi="宋体" w:cs="宋体"/>
          <w:b/>
          <w:sz w:val="24"/>
          <w:szCs w:val="24"/>
          <w:highlight w:val="none"/>
          <w:u w:val="single"/>
          <w:lang w:val="en-US" w:eastAsia="zh-CN"/>
        </w:rPr>
        <w:t>00</w:t>
      </w:r>
      <w:r>
        <w:rPr>
          <w:rFonts w:hint="eastAsia" w:ascii="宋体" w:hAnsi="宋体" w:cs="宋体"/>
          <w:b/>
          <w:sz w:val="24"/>
          <w:szCs w:val="24"/>
          <w:highlight w:val="none"/>
        </w:rPr>
        <w:t>分，</w:t>
      </w:r>
      <w:r>
        <w:rPr>
          <w:rFonts w:hint="eastAsia" w:ascii="宋体" w:hAnsi="宋体" w:cs="宋体"/>
          <w:sz w:val="24"/>
          <w:szCs w:val="24"/>
          <w:highlight w:val="none"/>
        </w:rPr>
        <w:t>逾期送达，不予受理。</w:t>
      </w:r>
    </w:p>
    <w:p w14:paraId="225713C0">
      <w:pPr>
        <w:widowControl/>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2、响应文件递交地址：南通世纪大道8号，南通报业大厦2</w:t>
      </w:r>
      <w:r>
        <w:rPr>
          <w:rFonts w:hint="eastAsia" w:ascii="宋体" w:hAnsi="宋体" w:cs="宋体"/>
          <w:sz w:val="24"/>
          <w:szCs w:val="24"/>
          <w:highlight w:val="none"/>
          <w:lang w:val="en-US" w:eastAsia="zh-CN"/>
        </w:rPr>
        <w:t>4</w:t>
      </w:r>
      <w:r>
        <w:rPr>
          <w:rFonts w:hint="eastAsia" w:ascii="宋体" w:hAnsi="宋体" w:cs="宋体"/>
          <w:sz w:val="24"/>
          <w:szCs w:val="24"/>
          <w:highlight w:val="none"/>
        </w:rPr>
        <w:t>楼</w:t>
      </w:r>
      <w:r>
        <w:rPr>
          <w:rFonts w:hint="eastAsia" w:ascii="宋体" w:hAnsi="宋体" w:cs="宋体"/>
          <w:sz w:val="24"/>
          <w:szCs w:val="24"/>
          <w:highlight w:val="none"/>
          <w:lang w:val="en-US" w:eastAsia="zh-CN"/>
        </w:rPr>
        <w:t>2415</w:t>
      </w:r>
      <w:r>
        <w:rPr>
          <w:rFonts w:hint="eastAsia" w:ascii="宋体" w:hAnsi="宋体" w:cs="宋体"/>
          <w:sz w:val="24"/>
          <w:szCs w:val="24"/>
          <w:highlight w:val="none"/>
        </w:rPr>
        <w:t>室，如有变动，另行通知。</w:t>
      </w:r>
    </w:p>
    <w:p w14:paraId="4542D98C">
      <w:pPr>
        <w:pStyle w:val="2"/>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3、开标时间和地点：同递交响应文件截止时间、地点</w:t>
      </w:r>
    </w:p>
    <w:p w14:paraId="14F9C5F3">
      <w:pPr>
        <w:widowControl/>
        <w:snapToGrid w:val="0"/>
        <w:spacing w:line="360" w:lineRule="auto"/>
        <w:ind w:firstLine="470" w:firstLineChars="196"/>
        <w:jc w:val="left"/>
        <w:rPr>
          <w:rFonts w:ascii="宋体" w:hAnsi="宋体" w:cs="宋体"/>
          <w:bCs/>
          <w:sz w:val="24"/>
          <w:szCs w:val="24"/>
          <w:highlight w:val="none"/>
        </w:rPr>
      </w:pPr>
      <w:r>
        <w:rPr>
          <w:rFonts w:hint="eastAsia" w:ascii="宋体" w:hAnsi="宋体" w:cs="宋体"/>
          <w:sz w:val="24"/>
          <w:szCs w:val="24"/>
          <w:highlight w:val="none"/>
        </w:rPr>
        <w:t>七、</w:t>
      </w:r>
      <w:r>
        <w:rPr>
          <w:rFonts w:hint="eastAsia" w:ascii="宋体" w:hAnsi="宋体" w:cs="宋体"/>
          <w:bCs/>
          <w:sz w:val="24"/>
          <w:szCs w:val="24"/>
          <w:highlight w:val="none"/>
        </w:rPr>
        <w:t>联系方式：</w:t>
      </w:r>
    </w:p>
    <w:p w14:paraId="1E9375A2">
      <w:pPr>
        <w:widowControl/>
        <w:spacing w:line="360" w:lineRule="auto"/>
        <w:ind w:firstLine="480" w:firstLineChars="200"/>
        <w:jc w:val="left"/>
        <w:rPr>
          <w:rFonts w:hint="eastAsia" w:ascii="宋体" w:hAnsi="宋体" w:cs="宋体"/>
          <w:bCs/>
          <w:sz w:val="24"/>
          <w:szCs w:val="24"/>
          <w:highlight w:val="none"/>
        </w:rPr>
      </w:pPr>
      <w:bookmarkStart w:id="11" w:name="_Toc94544744"/>
      <w:bookmarkStart w:id="12" w:name="_Toc12670503"/>
      <w:bookmarkStart w:id="13" w:name="_Toc94585340"/>
      <w:bookmarkStart w:id="14" w:name="_Toc11500280"/>
      <w:bookmarkStart w:id="15" w:name="_Toc11499584"/>
      <w:bookmarkStart w:id="16" w:name="_Toc521203418"/>
      <w:bookmarkStart w:id="17" w:name="_Toc8895739"/>
      <w:bookmarkStart w:id="18" w:name="_Toc94544828"/>
      <w:bookmarkStart w:id="19" w:name="_Toc11554639"/>
      <w:bookmarkStart w:id="20" w:name="_Toc521201597"/>
      <w:r>
        <w:rPr>
          <w:rFonts w:hint="eastAsia" w:ascii="宋体" w:hAnsi="宋体" w:cs="宋体"/>
          <w:bCs/>
          <w:sz w:val="24"/>
          <w:szCs w:val="24"/>
          <w:highlight w:val="none"/>
        </w:rPr>
        <w:t xml:space="preserve">采购单位：南通日报社 </w:t>
      </w:r>
    </w:p>
    <w:p w14:paraId="433966B1">
      <w:pPr>
        <w:widowControl/>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联系人：张</w:t>
      </w:r>
      <w:r>
        <w:rPr>
          <w:rFonts w:hint="eastAsia" w:ascii="宋体" w:hAnsi="宋体" w:cs="宋体"/>
          <w:bCs/>
          <w:sz w:val="24"/>
          <w:szCs w:val="24"/>
          <w:highlight w:val="none"/>
          <w:lang w:eastAsia="zh-CN"/>
        </w:rPr>
        <w:t>先生</w:t>
      </w:r>
      <w:r>
        <w:rPr>
          <w:rFonts w:hint="eastAsia" w:ascii="宋体" w:hAnsi="宋体" w:cs="宋体"/>
          <w:bCs/>
          <w:sz w:val="24"/>
          <w:szCs w:val="24"/>
          <w:highlight w:val="none"/>
        </w:rPr>
        <w:t>0513-68218829</w:t>
      </w:r>
    </w:p>
    <w:p w14:paraId="4A3927C8">
      <w:pPr>
        <w:spacing w:line="480" w:lineRule="exact"/>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现场勘察联系人：朱先生  13962900197</w:t>
      </w:r>
    </w:p>
    <w:p w14:paraId="0BD7F07D">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代理机构：江苏建达全过程工程咨询有限公司　</w:t>
      </w:r>
    </w:p>
    <w:p w14:paraId="7F767DB2">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地址：南通市世纪大道58号恒隆国际大厦</w:t>
      </w:r>
      <w:r>
        <w:rPr>
          <w:rFonts w:ascii="宋体" w:hAnsi="宋体" w:cs="宋体"/>
          <w:sz w:val="24"/>
          <w:szCs w:val="24"/>
          <w:highlight w:val="none"/>
        </w:rPr>
        <w:t>B</w:t>
      </w:r>
      <w:r>
        <w:rPr>
          <w:rFonts w:hint="eastAsia" w:ascii="宋体" w:hAnsi="宋体" w:cs="宋体"/>
          <w:sz w:val="24"/>
          <w:szCs w:val="24"/>
          <w:highlight w:val="none"/>
        </w:rPr>
        <w:t>座</w:t>
      </w:r>
      <w:r>
        <w:rPr>
          <w:rFonts w:ascii="宋体" w:hAnsi="宋体" w:cs="宋体"/>
          <w:sz w:val="24"/>
          <w:szCs w:val="24"/>
          <w:highlight w:val="none"/>
        </w:rPr>
        <w:t>1411</w:t>
      </w:r>
      <w:r>
        <w:rPr>
          <w:rFonts w:hint="eastAsia" w:ascii="宋体" w:hAnsi="宋体" w:cs="宋体"/>
          <w:sz w:val="24"/>
          <w:szCs w:val="24"/>
          <w:highlight w:val="none"/>
        </w:rPr>
        <w:t>室</w:t>
      </w:r>
    </w:p>
    <w:p w14:paraId="02166B40">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联系人：贲智涵        联系电话：18051668292</w:t>
      </w:r>
    </w:p>
    <w:p w14:paraId="06BE1CB4">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邮箱：</w:t>
      </w:r>
      <w:bookmarkStart w:id="21" w:name="_Hlt28328872"/>
      <w:bookmarkStart w:id="22" w:name="_Hlt28328873"/>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"mailto:fgyjszx2@163.com"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bbenzhihan@163.com</w:t>
      </w:r>
      <w:r>
        <w:rPr>
          <w:rFonts w:hint="eastAsia" w:ascii="宋体" w:hAnsi="宋体" w:cs="宋体"/>
          <w:sz w:val="24"/>
          <w:szCs w:val="24"/>
          <w:highlight w:val="none"/>
        </w:rPr>
        <w:fldChar w:fldCharType="end"/>
      </w:r>
      <w:bookmarkEnd w:id="21"/>
      <w:bookmarkEnd w:id="22"/>
    </w:p>
    <w:p w14:paraId="16D50D9E">
      <w:pPr>
        <w:widowControl/>
        <w:spacing w:line="360" w:lineRule="auto"/>
        <w:ind w:firstLine="480" w:firstLineChars="200"/>
        <w:jc w:val="left"/>
        <w:rPr>
          <w:rFonts w:hint="eastAsia" w:ascii="宋体" w:hAnsi="宋体" w:cs="宋体"/>
          <w:bCs/>
          <w:sz w:val="24"/>
          <w:szCs w:val="24"/>
          <w:highlight w:val="none"/>
        </w:rPr>
      </w:pPr>
    </w:p>
    <w:p w14:paraId="1232A267">
      <w:pPr>
        <w:spacing w:line="480" w:lineRule="exact"/>
        <w:ind w:firstLine="480" w:firstLineChars="200"/>
        <w:jc w:val="right"/>
        <w:rPr>
          <w:rFonts w:ascii="宋体" w:hAnsi="宋体" w:cs="宋体"/>
          <w:sz w:val="24"/>
          <w:szCs w:val="24"/>
          <w:highlight w:val="none"/>
        </w:rPr>
      </w:pPr>
      <w:bookmarkStart w:id="23" w:name="_Toc363573854"/>
      <w:r>
        <w:rPr>
          <w:rFonts w:ascii="宋体" w:hAnsi="宋体" w:cs="宋体"/>
          <w:sz w:val="24"/>
          <w:szCs w:val="24"/>
          <w:highlight w:val="none"/>
        </w:rPr>
        <w:t>20</w:t>
      </w: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r>
        <w:rPr>
          <w:rFonts w:ascii="宋体" w:hAnsi="宋体" w:cs="宋体"/>
          <w:sz w:val="24"/>
          <w:szCs w:val="24"/>
          <w:highlight w:val="none"/>
        </w:rPr>
        <w:t>年</w:t>
      </w:r>
      <w:r>
        <w:rPr>
          <w:rFonts w:hint="eastAsia" w:ascii="宋体" w:hAnsi="宋体" w:cs="宋体"/>
          <w:sz w:val="24"/>
          <w:szCs w:val="24"/>
          <w:highlight w:val="none"/>
          <w:lang w:val="en-US" w:eastAsia="zh-CN"/>
        </w:rPr>
        <w:t>4</w:t>
      </w:r>
      <w:r>
        <w:rPr>
          <w:rFonts w:ascii="宋体" w:hAnsi="宋体" w:cs="宋体"/>
          <w:sz w:val="24"/>
          <w:szCs w:val="24"/>
          <w:highlight w:val="none"/>
        </w:rPr>
        <w:t>月</w:t>
      </w:r>
      <w:r>
        <w:rPr>
          <w:rFonts w:hint="eastAsia" w:ascii="宋体" w:hAnsi="宋体" w:cs="宋体"/>
          <w:sz w:val="24"/>
          <w:szCs w:val="24"/>
          <w:highlight w:val="none"/>
          <w:lang w:val="en-US" w:eastAsia="zh-CN"/>
        </w:rPr>
        <w:t>2</w:t>
      </w:r>
      <w:r>
        <w:rPr>
          <w:rFonts w:ascii="宋体" w:hAnsi="宋体" w:cs="宋体"/>
          <w:sz w:val="24"/>
          <w:szCs w:val="24"/>
          <w:highlight w:val="none"/>
        </w:rPr>
        <w:t>日</w:t>
      </w:r>
    </w:p>
    <w:p w14:paraId="5FC37954">
      <w:pPr>
        <w:pStyle w:val="2"/>
        <w:rPr>
          <w:rFonts w:hint="eastAsia"/>
          <w:highlight w:val="none"/>
        </w:rPr>
      </w:pPr>
    </w:p>
    <w:p w14:paraId="211E4268">
      <w:pPr>
        <w:pStyle w:val="3"/>
        <w:keepNext w:val="0"/>
        <w:keepLines w:val="0"/>
        <w:numPr>
          <w:ilvl w:val="0"/>
          <w:numId w:val="0"/>
        </w:numPr>
        <w:snapToGrid w:val="0"/>
        <w:spacing w:before="0" w:after="0" w:line="360" w:lineRule="auto"/>
        <w:jc w:val="center"/>
        <w:rPr>
          <w:rFonts w:hint="eastAsia" w:ascii="宋体" w:hAnsi="宋体" w:cs="宋体"/>
          <w:w w:val="80"/>
          <w:szCs w:val="44"/>
          <w:highlight w:val="none"/>
        </w:rPr>
      </w:pPr>
      <w:r>
        <w:rPr>
          <w:rFonts w:ascii="宋体" w:hAnsi="宋体" w:cs="宋体"/>
          <w:w w:val="80"/>
          <w:szCs w:val="44"/>
          <w:highlight w:val="none"/>
        </w:rPr>
        <w:br w:type="page"/>
      </w:r>
      <w:r>
        <w:rPr>
          <w:rFonts w:hint="eastAsia" w:ascii="宋体" w:hAnsi="宋体" w:cs="宋体"/>
          <w:w w:val="80"/>
          <w:szCs w:val="44"/>
          <w:highlight w:val="none"/>
        </w:rPr>
        <w:t xml:space="preserve">第二章  </w:t>
      </w:r>
      <w:bookmarkEnd w:id="11"/>
      <w:bookmarkEnd w:id="12"/>
      <w:bookmarkEnd w:id="13"/>
      <w:bookmarkEnd w:id="14"/>
      <w:bookmarkEnd w:id="15"/>
      <w:bookmarkEnd w:id="16"/>
      <w:bookmarkEnd w:id="17"/>
      <w:bookmarkEnd w:id="18"/>
      <w:bookmarkEnd w:id="19"/>
      <w:bookmarkEnd w:id="20"/>
      <w:r>
        <w:rPr>
          <w:rFonts w:hint="eastAsia" w:ascii="宋体" w:hAnsi="宋体" w:cs="宋体"/>
          <w:w w:val="80"/>
          <w:szCs w:val="44"/>
          <w:highlight w:val="none"/>
        </w:rPr>
        <w:t>磋商供应商须知</w:t>
      </w:r>
      <w:bookmarkEnd w:id="23"/>
    </w:p>
    <w:p w14:paraId="0101DF52">
      <w:pPr>
        <w:snapToGrid w:val="0"/>
        <w:spacing w:line="480" w:lineRule="exact"/>
        <w:ind w:firstLine="482" w:firstLineChars="200"/>
        <w:outlineLvl w:val="1"/>
        <w:rPr>
          <w:rFonts w:hint="eastAsia" w:ascii="宋体" w:hAnsi="宋体" w:cs="宋体"/>
          <w:b/>
          <w:bCs/>
          <w:sz w:val="24"/>
          <w:szCs w:val="24"/>
          <w:highlight w:val="none"/>
        </w:rPr>
      </w:pPr>
      <w:bookmarkStart w:id="24" w:name="_Toc11554640"/>
      <w:bookmarkStart w:id="25" w:name="_Toc94544745"/>
      <w:bookmarkStart w:id="26" w:name="_Toc11499585"/>
      <w:bookmarkStart w:id="27" w:name="_Toc521201598"/>
      <w:bookmarkStart w:id="28" w:name="_Toc12670504"/>
      <w:bookmarkStart w:id="29" w:name="_Toc94585341"/>
      <w:bookmarkStart w:id="30" w:name="_Toc11500281"/>
      <w:bookmarkStart w:id="31" w:name="_Toc8895740"/>
      <w:bookmarkStart w:id="32" w:name="_Toc521203419"/>
      <w:bookmarkStart w:id="33" w:name="_Toc94544871"/>
      <w:r>
        <w:rPr>
          <w:rFonts w:hint="eastAsia" w:ascii="宋体" w:hAnsi="宋体" w:cs="宋体"/>
          <w:b/>
          <w:bCs/>
          <w:sz w:val="24"/>
          <w:szCs w:val="24"/>
          <w:highlight w:val="none"/>
        </w:rPr>
        <w:t>一、说明</w:t>
      </w:r>
    </w:p>
    <w:p w14:paraId="6152093E">
      <w:pPr>
        <w:snapToGrid w:val="0"/>
        <w:spacing w:line="48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1、本竞争性磋商文件仅适用于江苏建达全过程工程咨询有限公司组织的竞争性磋商采购活动。</w:t>
      </w:r>
    </w:p>
    <w:p w14:paraId="756B4FDB">
      <w:pPr>
        <w:snapToGrid w:val="0"/>
        <w:spacing w:line="48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2、竞争性磋商活动及因本次磋商产生的合同受中国法律制约和保护。</w:t>
      </w:r>
    </w:p>
    <w:p w14:paraId="5F1874D8">
      <w:pPr>
        <w:snapToGrid w:val="0"/>
        <w:spacing w:line="48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3、竞争性磋商文件的解释权属于江苏建达全过程工程咨询有限公司　。</w:t>
      </w:r>
    </w:p>
    <w:p w14:paraId="365F7BB9">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供应商下载磋商文件后，应仔细检查磋商文件的所有内容。如内容中有页码短缺、资格要求以及任何设置有不合理的条件对供应商实行差别待遇或者歧视待遇的，应在磋商文件发布后的3日内，以书面形式向本单位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sz w:val="24"/>
          <w:szCs w:val="24"/>
          <w:highlight w:val="none"/>
        </w:rPr>
        <w:t>非书面形式的不作为日后质疑提出的依据。</w:t>
      </w:r>
    </w:p>
    <w:p w14:paraId="1AF2B795">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3451A2A2">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二、磋商文件的澄清、修改、答疑</w:t>
      </w:r>
    </w:p>
    <w:p w14:paraId="58B80D94">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1、本单位有权对发出的磋商文件进行必要的澄清、修改或补充。</w:t>
      </w:r>
    </w:p>
    <w:p w14:paraId="6BF0265D">
      <w:pPr>
        <w:snapToGrid w:val="0"/>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2、磋商文件的澄清、修改、补充等内容均以书面明确的形式发布，并以本公告发布网站发布的信息为准。</w:t>
      </w:r>
    </w:p>
    <w:p w14:paraId="4DAE987C">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3、本单位对磋商文件的澄清、修改将构成磋商文件的一部分，对响应磋商的供应商具有约束力。</w:t>
      </w:r>
    </w:p>
    <w:p w14:paraId="392E2814">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4、澄清或者修改的内容可能影响到响应文件编制的，本单位将在提交响应文件接收截止之日5日前，发布澄清或者修改公告，不足5日的，当顺延提交响应文件接收截止时间。</w:t>
      </w:r>
    </w:p>
    <w:p w14:paraId="7288C7F9">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5、除非本单位以书面的形式对磋商文件作出澄清、修改及补充，供应商对涉及磋商文件的任何推论、理解和结论所造成的结果，均由供应商自负。</w:t>
      </w:r>
    </w:p>
    <w:p w14:paraId="2F57BD88">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6、采购单位视情组织答疑会。如有产生答疑且对磋商文件内容有修改，本单位将按照本须知有关规定，以补充通知（公告）的方式发出。</w:t>
      </w:r>
    </w:p>
    <w:p w14:paraId="55EE1D4C">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三、响应文件的编制及装订</w:t>
      </w:r>
    </w:p>
    <w:p w14:paraId="1FC16B5A">
      <w:pPr>
        <w:spacing w:line="48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供应商按磋商文件要求编写响应文件，并牢固装订成册。响应文件均需采用A4纸（图纸等除外），响应文件不得行间插字、涂改、增删，如修改错漏处，须经响应文件签署人签字并加盖公章。</w:t>
      </w:r>
    </w:p>
    <w:p w14:paraId="0F404607">
      <w:pPr>
        <w:snapToGrid w:val="0"/>
        <w:spacing w:line="48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四、响应文件的份数和签署</w:t>
      </w:r>
    </w:p>
    <w:p w14:paraId="158D1F28">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1、响应文件由</w:t>
      </w:r>
      <w:bookmarkStart w:id="34" w:name="_Hlk120485090"/>
      <w:r>
        <w:rPr>
          <w:rFonts w:hint="eastAsia" w:ascii="宋体" w:hAnsi="宋体" w:cs="宋体"/>
          <w:sz w:val="24"/>
          <w:szCs w:val="24"/>
          <w:highlight w:val="none"/>
        </w:rPr>
        <w:t>：</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 1 \* GB3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①</w:t>
      </w:r>
      <w:r>
        <w:rPr>
          <w:rFonts w:hint="eastAsia" w:ascii="宋体" w:hAnsi="宋体" w:cs="宋体"/>
          <w:sz w:val="24"/>
          <w:szCs w:val="24"/>
          <w:highlight w:val="none"/>
        </w:rPr>
        <w:fldChar w:fldCharType="end"/>
      </w:r>
      <w:r>
        <w:rPr>
          <w:rFonts w:hint="eastAsia" w:ascii="宋体" w:hAnsi="宋体" w:cs="宋体"/>
          <w:sz w:val="24"/>
          <w:szCs w:val="24"/>
          <w:highlight w:val="none"/>
        </w:rPr>
        <w:t>资格审查文件、</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 2 \* GB3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②</w:t>
      </w:r>
      <w:r>
        <w:rPr>
          <w:rFonts w:hint="eastAsia" w:ascii="宋体" w:hAnsi="宋体" w:cs="宋体"/>
          <w:sz w:val="24"/>
          <w:szCs w:val="24"/>
          <w:highlight w:val="none"/>
        </w:rPr>
        <w:fldChar w:fldCharType="end"/>
      </w:r>
      <w:r>
        <w:rPr>
          <w:rFonts w:hint="eastAsia" w:ascii="宋体" w:hAnsi="宋体" w:cs="宋体"/>
          <w:sz w:val="24"/>
          <w:szCs w:val="24"/>
          <w:highlight w:val="none"/>
        </w:rPr>
        <w:t>技术响应文件、③商务报价响</w:t>
      </w:r>
      <w:bookmarkEnd w:id="34"/>
      <w:r>
        <w:rPr>
          <w:rFonts w:hint="eastAsia" w:ascii="宋体" w:hAnsi="宋体" w:cs="宋体"/>
          <w:sz w:val="24"/>
          <w:szCs w:val="24"/>
          <w:highlight w:val="none"/>
        </w:rPr>
        <w:t>应文件共3部分组成（以下由文件序号代称）。</w:t>
      </w:r>
    </w:p>
    <w:p w14:paraId="6BAD68FC">
      <w:pPr>
        <w:snapToGrid w:val="0"/>
        <w:spacing w:line="480" w:lineRule="exact"/>
        <w:ind w:firstLine="480" w:firstLineChars="200"/>
        <w:rPr>
          <w:rFonts w:hint="eastAsia" w:ascii="宋体" w:hAnsi="宋体" w:cs="宋体"/>
          <w:b/>
          <w:sz w:val="24"/>
          <w:szCs w:val="24"/>
          <w:highlight w:val="none"/>
          <w:u w:val="single"/>
        </w:rPr>
      </w:pPr>
      <w:r>
        <w:rPr>
          <w:rFonts w:hint="eastAsia" w:ascii="宋体" w:hAnsi="宋体" w:cs="宋体"/>
          <w:sz w:val="24"/>
          <w:szCs w:val="24"/>
          <w:highlight w:val="none"/>
        </w:rPr>
        <w:t>2、响应文件均为</w:t>
      </w:r>
      <w:r>
        <w:rPr>
          <w:rFonts w:hint="eastAsia" w:ascii="宋体" w:hAnsi="宋体" w:cs="宋体"/>
          <w:b/>
          <w:sz w:val="24"/>
          <w:szCs w:val="24"/>
          <w:highlight w:val="none"/>
        </w:rPr>
        <w:t>一式叁份，其中“正本”壹份和“副本”贰份。</w:t>
      </w:r>
    </w:p>
    <w:p w14:paraId="071F0156">
      <w:pPr>
        <w:snapToGrid w:val="0"/>
        <w:spacing w:line="480" w:lineRule="exact"/>
        <w:ind w:firstLine="470" w:firstLineChars="196"/>
        <w:rPr>
          <w:rFonts w:hint="eastAsia" w:ascii="宋体" w:hAnsi="宋体" w:cs="宋体"/>
          <w:sz w:val="24"/>
          <w:szCs w:val="24"/>
          <w:highlight w:val="none"/>
        </w:rPr>
      </w:pPr>
      <w:r>
        <w:rPr>
          <w:rFonts w:hint="eastAsia" w:ascii="宋体" w:hAnsi="宋体" w:cs="宋体"/>
          <w:sz w:val="24"/>
          <w:szCs w:val="24"/>
          <w:highlight w:val="none"/>
        </w:rPr>
        <w:t>3、在每份响应文件上要明确标注项目名称、对应的响应文件名称、供应商的全称、日期、“正本”、“副本”字样。“正本”和“副本”若有差异，概以“正本”为准。</w:t>
      </w:r>
    </w:p>
    <w:p w14:paraId="07ACB300">
      <w:pPr>
        <w:snapToGrid w:val="0"/>
        <w:spacing w:line="480" w:lineRule="exact"/>
        <w:ind w:firstLine="470" w:firstLineChars="196"/>
        <w:rPr>
          <w:rFonts w:hint="eastAsia" w:ascii="宋体" w:hAnsi="宋体" w:cs="宋体"/>
          <w:sz w:val="24"/>
          <w:szCs w:val="24"/>
          <w:highlight w:val="none"/>
        </w:rPr>
      </w:pPr>
      <w:r>
        <w:rPr>
          <w:rFonts w:hint="eastAsia" w:ascii="宋体" w:hAnsi="宋体" w:cs="宋体"/>
          <w:sz w:val="24"/>
          <w:szCs w:val="24"/>
          <w:highlight w:val="none"/>
        </w:rPr>
        <w:t>4、供应商可将响应文件正副本统一密封或分别密封，如正本和副本分别密封的，应在封袋上标明正、副本字样。</w:t>
      </w:r>
    </w:p>
    <w:p w14:paraId="14494512">
      <w:pPr>
        <w:snapToGrid w:val="0"/>
        <w:spacing w:line="480" w:lineRule="exact"/>
        <w:ind w:firstLine="470" w:firstLineChars="196"/>
        <w:rPr>
          <w:rFonts w:hint="eastAsia" w:ascii="宋体" w:hAnsi="宋体" w:cs="宋体"/>
          <w:sz w:val="24"/>
          <w:szCs w:val="24"/>
          <w:highlight w:val="none"/>
        </w:rPr>
      </w:pPr>
      <w:r>
        <w:rPr>
          <w:rFonts w:hint="eastAsia" w:ascii="宋体" w:hAnsi="宋体" w:cs="宋体"/>
          <w:sz w:val="24"/>
          <w:szCs w:val="24"/>
          <w:highlight w:val="none"/>
        </w:rPr>
        <w:t>5、响应文件中的所有“正本”，其正文内容须按磋商文件要求由供应商法定代表人或被授权人签字（或盖章）并加盖单位公章。“副本”可复印，但须加盖单位公章。</w:t>
      </w:r>
    </w:p>
    <w:p w14:paraId="324D9A5E">
      <w:pPr>
        <w:snapToGrid w:val="0"/>
        <w:spacing w:line="480" w:lineRule="exact"/>
        <w:ind w:firstLine="472" w:firstLineChars="196"/>
        <w:rPr>
          <w:rFonts w:hint="eastAsia" w:ascii="宋体" w:hAnsi="宋体" w:cs="宋体"/>
          <w:b/>
          <w:bCs/>
          <w:sz w:val="24"/>
          <w:szCs w:val="24"/>
          <w:highlight w:val="none"/>
        </w:rPr>
      </w:pPr>
      <w:r>
        <w:rPr>
          <w:rFonts w:hint="eastAsia" w:ascii="宋体" w:hAnsi="宋体" w:cs="宋体"/>
          <w:b/>
          <w:bCs/>
          <w:sz w:val="24"/>
          <w:szCs w:val="24"/>
          <w:highlight w:val="none"/>
        </w:rPr>
        <w:t>五、响应文件的密封及标记</w:t>
      </w:r>
    </w:p>
    <w:p w14:paraId="40359D51">
      <w:pPr>
        <w:snapToGrid w:val="0"/>
        <w:spacing w:line="48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1、供应商须将本项目响应文件：</w:t>
      </w:r>
      <w:bookmarkStart w:id="35" w:name="_Hlk120485102"/>
      <w:r>
        <w:rPr>
          <w:rFonts w:hint="eastAsia" w:ascii="宋体" w:hAnsi="宋体" w:cs="宋体"/>
          <w:sz w:val="24"/>
          <w:szCs w:val="24"/>
          <w:highlight w:val="none"/>
        </w:rPr>
        <w:t>①资格审查文件、②技术响应文件</w:t>
      </w:r>
      <w:bookmarkEnd w:id="35"/>
      <w:r>
        <w:rPr>
          <w:rFonts w:hint="eastAsia" w:ascii="宋体" w:hAnsi="宋体" w:cs="宋体"/>
          <w:sz w:val="24"/>
          <w:szCs w:val="24"/>
          <w:highlight w:val="none"/>
        </w:rPr>
        <w:t>、③商务报价响应文。</w:t>
      </w:r>
    </w:p>
    <w:p w14:paraId="2600AC26">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2、密封后，应在每一密封的响应文件上明确标注磋商项目名称、响应文件各自对应的名称、供应商的全称及日期。</w:t>
      </w:r>
      <w:r>
        <w:rPr>
          <w:rFonts w:hint="eastAsia" w:ascii="宋体" w:hAnsi="宋体" w:cs="宋体"/>
          <w:sz w:val="24"/>
          <w:szCs w:val="24"/>
          <w:highlight w:val="none"/>
        </w:rPr>
        <w:tab/>
      </w:r>
      <w:r>
        <w:rPr>
          <w:rFonts w:hint="eastAsia" w:ascii="宋体" w:hAnsi="宋体" w:cs="宋体"/>
          <w:sz w:val="24"/>
          <w:szCs w:val="24"/>
          <w:highlight w:val="none"/>
        </w:rPr>
        <w:tab/>
      </w:r>
    </w:p>
    <w:p w14:paraId="1C03CF25">
      <w:pPr>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3、在边缝处加盖供应商公章或骑缝签字。</w:t>
      </w:r>
    </w:p>
    <w:p w14:paraId="02ED5E1F">
      <w:pPr>
        <w:snapToGrid w:val="0"/>
        <w:spacing w:line="480" w:lineRule="exact"/>
        <w:ind w:firstLine="482" w:firstLineChars="200"/>
        <w:rPr>
          <w:rFonts w:ascii="宋体" w:hAnsi="宋体" w:cs="宋体"/>
          <w:sz w:val="24"/>
          <w:szCs w:val="24"/>
          <w:highlight w:val="none"/>
        </w:rPr>
      </w:pPr>
      <w:r>
        <w:rPr>
          <w:rFonts w:hint="eastAsia" w:ascii="宋体" w:hAnsi="宋体" w:cs="宋体"/>
          <w:b/>
          <w:sz w:val="24"/>
          <w:szCs w:val="24"/>
          <w:highlight w:val="none"/>
        </w:rPr>
        <w:t>【特别提醒】</w:t>
      </w:r>
      <w:r>
        <w:rPr>
          <w:rFonts w:hint="eastAsia" w:ascii="宋体" w:hAnsi="宋体" w:cs="宋体"/>
          <w:sz w:val="24"/>
          <w:szCs w:val="24"/>
          <w:highlight w:val="none"/>
        </w:rPr>
        <w:t>响应文件中的①资格审查文件和②技术响应文件的“正本”或“副本”中，均不得含有商务报价响应文件中报价表（报价单）内的任何项目价格，否则作无效投标处理。</w:t>
      </w:r>
    </w:p>
    <w:p w14:paraId="0A6A7B7C">
      <w:pPr>
        <w:snapToGrid w:val="0"/>
        <w:spacing w:line="480" w:lineRule="exact"/>
        <w:ind w:firstLine="496" w:firstLineChars="206"/>
        <w:outlineLvl w:val="1"/>
        <w:rPr>
          <w:rFonts w:hint="eastAsia" w:ascii="宋体" w:hAnsi="宋体" w:cs="宋体"/>
          <w:b/>
          <w:bCs/>
          <w:sz w:val="24"/>
          <w:szCs w:val="24"/>
          <w:highlight w:val="none"/>
        </w:rPr>
      </w:pPr>
      <w:r>
        <w:rPr>
          <w:rFonts w:hint="eastAsia" w:ascii="宋体" w:hAnsi="宋体" w:cs="宋体"/>
          <w:b/>
          <w:bCs/>
          <w:sz w:val="24"/>
          <w:szCs w:val="24"/>
          <w:highlight w:val="none"/>
        </w:rPr>
        <w:t>六、磋商报价</w:t>
      </w:r>
    </w:p>
    <w:p w14:paraId="09DF6928">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1、本项目不接受任何有选择的报价。</w:t>
      </w:r>
    </w:p>
    <w:p w14:paraId="0B872A9B">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2、磋商报价均以人民币为报价的币种。</w:t>
      </w:r>
    </w:p>
    <w:p w14:paraId="3D7EBB69">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41条的规定。</w:t>
      </w:r>
    </w:p>
    <w:p w14:paraId="1AD45DED">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4、供应商应按本竞争性磋商文件内项目需求的全部采购内容计算总价。</w:t>
      </w:r>
    </w:p>
    <w:p w14:paraId="5CF83AA7">
      <w:pPr>
        <w:spacing w:line="520" w:lineRule="exact"/>
        <w:rPr>
          <w:rFonts w:hint="eastAsia" w:ascii="宋体" w:hAnsi="宋体" w:cs="宋体"/>
          <w:sz w:val="24"/>
          <w:szCs w:val="24"/>
          <w:highlight w:val="none"/>
        </w:rPr>
      </w:pPr>
      <w:r>
        <w:rPr>
          <w:rFonts w:hint="eastAsia" w:ascii="宋体" w:hAnsi="宋体" w:cs="宋体"/>
          <w:sz w:val="24"/>
          <w:szCs w:val="24"/>
          <w:highlight w:val="none"/>
        </w:rPr>
        <w:t xml:space="preserve">    5、磋商报价的总价中应包含：供应商为完成本</w:t>
      </w:r>
      <w:r>
        <w:rPr>
          <w:rFonts w:hint="eastAsia" w:ascii="宋体" w:hAnsi="宋体" w:cs="宋体"/>
          <w:sz w:val="24"/>
          <w:szCs w:val="24"/>
          <w:highlight w:val="none"/>
          <w:lang w:eastAsia="zh-CN"/>
        </w:rPr>
        <w:t>南通报业大厦发光字更新安装项目</w:t>
      </w:r>
      <w:r>
        <w:rPr>
          <w:rFonts w:hint="eastAsia" w:ascii="宋体" w:hAnsi="宋体" w:cs="宋体"/>
          <w:sz w:val="24"/>
          <w:szCs w:val="24"/>
          <w:highlight w:val="none"/>
        </w:rPr>
        <w:t>规定的各项工作所承担的全部费用、利润和税金及政策性文件规定合同包含内的所有风险责任等各项费用，不论其在招标文件中是否提及。即招标物交付使用前的所有费用以及免保期内的服务费用等包含响应竞争性磋商文件采购要求的所有费用。</w:t>
      </w:r>
    </w:p>
    <w:p w14:paraId="4BF7B4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14:paraId="50054DDF">
      <w:pPr>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7、竞争性磋商的最终报价为成交价。同时，供应商的最终成交价在合同实施期间不因市场变化因素而变动。</w:t>
      </w:r>
    </w:p>
    <w:p w14:paraId="3451BE34">
      <w:pPr>
        <w:tabs>
          <w:tab w:val="left" w:pos="1950"/>
        </w:tabs>
        <w:snapToGrid w:val="0"/>
        <w:spacing w:line="48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七、</w:t>
      </w:r>
      <w:r>
        <w:rPr>
          <w:rFonts w:ascii="宋体" w:hAnsi="宋体" w:cs="宋体"/>
          <w:b/>
          <w:sz w:val="24"/>
          <w:szCs w:val="24"/>
          <w:highlight w:val="none"/>
        </w:rPr>
        <w:t>本项目付款方式</w:t>
      </w:r>
    </w:p>
    <w:p w14:paraId="1A9D2C3C">
      <w:pPr>
        <w:snapToGrid w:val="0"/>
        <w:spacing w:line="480" w:lineRule="exact"/>
        <w:ind w:firstLine="460" w:firstLineChars="192"/>
        <w:rPr>
          <w:rFonts w:hint="eastAsia"/>
          <w:b w:val="0"/>
          <w:bCs w:val="0"/>
          <w:sz w:val="24"/>
          <w:highlight w:val="none"/>
        </w:rPr>
      </w:pPr>
      <w:r>
        <w:rPr>
          <w:rFonts w:hint="eastAsia"/>
          <w:b w:val="0"/>
          <w:bCs w:val="0"/>
          <w:sz w:val="24"/>
          <w:highlight w:val="none"/>
        </w:rPr>
        <w:t>经安装调试运行验收合格后15日(收到乙方正式合法有效税务发票)内付至审定价的95%；余款5%作为质量保修金，质保期满三年无质量问题并经书面确认后15日内返还。所有款项由采购人按相关财务支付规定办理支付手续，不得故意拖延支付时间。</w:t>
      </w:r>
    </w:p>
    <w:p w14:paraId="0DF36644">
      <w:pPr>
        <w:snapToGrid w:val="0"/>
        <w:spacing w:line="480" w:lineRule="exact"/>
        <w:ind w:firstLine="463" w:firstLineChars="192"/>
        <w:rPr>
          <w:rFonts w:hint="eastAsia" w:ascii="宋体" w:hAnsi="宋体" w:cs="宋体"/>
          <w:b/>
          <w:sz w:val="24"/>
          <w:szCs w:val="24"/>
          <w:highlight w:val="none"/>
        </w:rPr>
      </w:pPr>
      <w:r>
        <w:rPr>
          <w:rFonts w:hint="eastAsia" w:ascii="宋体" w:hAnsi="宋体" w:cs="宋体"/>
          <w:b/>
          <w:sz w:val="24"/>
          <w:szCs w:val="24"/>
          <w:highlight w:val="none"/>
        </w:rPr>
        <w:t>八、招标代理服相关费用</w:t>
      </w:r>
    </w:p>
    <w:p w14:paraId="47A7F2B9">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1、本项目采购代理服务费按</w:t>
      </w:r>
      <w:r>
        <w:rPr>
          <w:rFonts w:hint="eastAsia" w:ascii="宋体" w:hAnsi="宋体" w:cs="宋体"/>
          <w:sz w:val="24"/>
          <w:szCs w:val="24"/>
          <w:highlight w:val="none"/>
          <w:lang w:val="en-US" w:eastAsia="zh-CN"/>
        </w:rPr>
        <w:t>3000</w:t>
      </w:r>
      <w:r>
        <w:rPr>
          <w:rFonts w:hint="eastAsia" w:ascii="宋体" w:hAnsi="宋体" w:cs="宋体"/>
          <w:sz w:val="24"/>
          <w:szCs w:val="24"/>
          <w:highlight w:val="none"/>
        </w:rPr>
        <w:t>元，供应商须综合考虑在投标报价内（不得单列），成交供应商在领取成交通知书前支付给采购代理机构。</w:t>
      </w:r>
    </w:p>
    <w:p w14:paraId="7C6EAF61">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2、以上费用投标人自行考虑包含在投标总价内。</w:t>
      </w:r>
    </w:p>
    <w:p w14:paraId="78526EC1">
      <w:pPr>
        <w:wordWrap w:val="0"/>
        <w:spacing w:line="360" w:lineRule="auto"/>
        <w:ind w:firstLine="482" w:firstLineChars="200"/>
        <w:rPr>
          <w:rFonts w:hint="eastAsia" w:ascii="宋体" w:hAnsi="宋体" w:cs="宋体"/>
          <w:sz w:val="24"/>
          <w:szCs w:val="22"/>
          <w:highlight w:val="none"/>
        </w:rPr>
      </w:pPr>
      <w:r>
        <w:rPr>
          <w:rFonts w:hint="eastAsia" w:ascii="宋体" w:hAnsi="宋体" w:cs="宋体"/>
          <w:b/>
          <w:sz w:val="24"/>
          <w:szCs w:val="22"/>
          <w:highlight w:val="none"/>
        </w:rPr>
        <w:t>九、履约保证金</w:t>
      </w:r>
    </w:p>
    <w:p w14:paraId="72FAACDD">
      <w:pPr>
        <w:wordWrap w:val="0"/>
        <w:spacing w:line="360" w:lineRule="auto"/>
        <w:ind w:firstLine="480" w:firstLineChars="200"/>
        <w:rPr>
          <w:rFonts w:hint="eastAsia" w:ascii="宋体" w:hAnsi="宋体" w:cs="宋体"/>
          <w:sz w:val="24"/>
          <w:szCs w:val="22"/>
          <w:highlight w:val="none"/>
        </w:rPr>
      </w:pPr>
      <w:r>
        <w:rPr>
          <w:rFonts w:hint="eastAsia" w:ascii="宋体" w:hAnsi="宋体" w:cs="宋体"/>
          <w:sz w:val="24"/>
          <w:szCs w:val="22"/>
          <w:highlight w:val="none"/>
        </w:rPr>
        <w:t>成交方签约前须提交成交服务费的</w:t>
      </w:r>
      <w:r>
        <w:rPr>
          <w:rFonts w:hint="eastAsia" w:ascii="宋体" w:hAnsi="宋体" w:cs="宋体"/>
          <w:sz w:val="24"/>
          <w:szCs w:val="22"/>
          <w:highlight w:val="none"/>
          <w:lang w:val="en-US" w:eastAsia="zh-CN"/>
        </w:rPr>
        <w:t>10</w:t>
      </w:r>
      <w:r>
        <w:rPr>
          <w:rFonts w:hint="eastAsia" w:ascii="宋体" w:hAnsi="宋体" w:cs="宋体"/>
          <w:sz w:val="24"/>
          <w:szCs w:val="22"/>
          <w:highlight w:val="none"/>
        </w:rPr>
        <w:t>%作为履约保证金，合同签订前需付款到账，安装调试运行</w:t>
      </w:r>
      <w:r>
        <w:rPr>
          <w:rFonts w:hint="eastAsia" w:ascii="宋体" w:hAnsi="宋体" w:cs="宋体"/>
          <w:sz w:val="24"/>
          <w:szCs w:val="22"/>
          <w:highlight w:val="none"/>
          <w:lang w:val="en-US" w:eastAsia="zh-CN"/>
        </w:rPr>
        <w:t>及验收合格</w:t>
      </w:r>
      <w:r>
        <w:rPr>
          <w:rFonts w:hint="eastAsia" w:ascii="宋体" w:hAnsi="宋体" w:cs="宋体"/>
          <w:sz w:val="24"/>
          <w:szCs w:val="22"/>
          <w:highlight w:val="none"/>
        </w:rPr>
        <w:t>后无息返还。</w:t>
      </w:r>
    </w:p>
    <w:p w14:paraId="429A9FB6">
      <w:pPr>
        <w:snapToGrid w:val="0"/>
        <w:spacing w:line="360" w:lineRule="auto"/>
        <w:ind w:firstLine="496" w:firstLineChars="206"/>
        <w:outlineLvl w:val="1"/>
        <w:rPr>
          <w:rFonts w:hint="eastAsia" w:ascii="宋体" w:hAnsi="宋体" w:cs="宋体"/>
          <w:b/>
          <w:sz w:val="24"/>
          <w:szCs w:val="24"/>
          <w:highlight w:val="none"/>
        </w:rPr>
      </w:pPr>
      <w:r>
        <w:rPr>
          <w:rFonts w:hint="eastAsia" w:ascii="宋体" w:hAnsi="宋体" w:cs="宋体"/>
          <w:b/>
          <w:sz w:val="24"/>
          <w:szCs w:val="24"/>
          <w:highlight w:val="none"/>
        </w:rPr>
        <w:t>十、合同签订</w:t>
      </w:r>
    </w:p>
    <w:p w14:paraId="313CBE64">
      <w:pPr>
        <w:snapToGrid w:val="0"/>
        <w:spacing w:line="360" w:lineRule="auto"/>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成交人在成交通知书发出后</w:t>
      </w:r>
      <w:r>
        <w:rPr>
          <w:rFonts w:ascii="宋体" w:hAnsi="宋体" w:cs="宋体"/>
          <w:sz w:val="24"/>
          <w:szCs w:val="24"/>
          <w:highlight w:val="none"/>
        </w:rPr>
        <w:t>5</w:t>
      </w:r>
      <w:r>
        <w:rPr>
          <w:rFonts w:hint="eastAsia" w:ascii="宋体" w:hAnsi="宋体" w:cs="宋体"/>
          <w:sz w:val="24"/>
          <w:szCs w:val="24"/>
          <w:highlight w:val="none"/>
        </w:rPr>
        <w:t>日内与采购单位签订合同，未与采购单位签订合同，超期或未有协商，则视为自动放弃成交资格。</w:t>
      </w:r>
    </w:p>
    <w:p w14:paraId="25A2A839">
      <w:pPr>
        <w:snapToGrid w:val="0"/>
        <w:spacing w:line="480" w:lineRule="exact"/>
        <w:ind w:firstLine="496" w:firstLineChars="206"/>
        <w:outlineLvl w:val="1"/>
        <w:rPr>
          <w:rFonts w:hint="eastAsia" w:ascii="宋体" w:hAnsi="宋体" w:cs="宋体"/>
          <w:b/>
          <w:sz w:val="24"/>
          <w:szCs w:val="24"/>
          <w:highlight w:val="none"/>
        </w:rPr>
      </w:pPr>
      <w:r>
        <w:rPr>
          <w:rFonts w:hint="eastAsia" w:ascii="宋体" w:hAnsi="宋体" w:cs="宋体"/>
          <w:b/>
          <w:sz w:val="24"/>
          <w:szCs w:val="24"/>
          <w:highlight w:val="none"/>
        </w:rPr>
        <w:t>十一、未尽事宜</w:t>
      </w:r>
    </w:p>
    <w:p w14:paraId="25418748">
      <w:pPr>
        <w:snapToGrid w:val="0"/>
        <w:spacing w:line="480" w:lineRule="exact"/>
        <w:ind w:firstLine="494" w:firstLineChars="206"/>
        <w:rPr>
          <w:rFonts w:hint="eastAsia" w:ascii="宋体" w:hAnsi="宋体" w:cs="宋体"/>
          <w:sz w:val="24"/>
          <w:szCs w:val="24"/>
          <w:highlight w:val="none"/>
        </w:rPr>
      </w:pPr>
      <w:r>
        <w:rPr>
          <w:rFonts w:hint="eastAsia" w:ascii="宋体" w:hAnsi="宋体" w:cs="宋体"/>
          <w:sz w:val="24"/>
          <w:szCs w:val="24"/>
          <w:highlight w:val="none"/>
        </w:rPr>
        <w:t>按《中华人民共和国政府采购法》、《政府采购竞争性磋商采购方式管理暂行办法》及其他有关法律法规的规定执行。</w:t>
      </w:r>
    </w:p>
    <w:p w14:paraId="4D54FC59">
      <w:pPr>
        <w:pStyle w:val="2"/>
        <w:rPr>
          <w:rFonts w:hint="eastAsia"/>
          <w:highlight w:val="none"/>
        </w:rPr>
      </w:pPr>
    </w:p>
    <w:p w14:paraId="4ADC27EB">
      <w:pPr>
        <w:snapToGrid w:val="0"/>
        <w:spacing w:line="360" w:lineRule="auto"/>
        <w:ind w:firstLine="576" w:firstLineChars="206"/>
        <w:jc w:val="center"/>
        <w:rPr>
          <w:rFonts w:ascii="宋体" w:hAnsi="宋体" w:cs="宋体"/>
          <w:b/>
          <w:iCs/>
          <w:w w:val="80"/>
          <w:sz w:val="44"/>
          <w:szCs w:val="44"/>
          <w:highlight w:val="none"/>
        </w:rPr>
      </w:pPr>
      <w:r>
        <w:rPr>
          <w:rFonts w:hint="eastAsia" w:ascii="宋体" w:hAnsi="宋体" w:cs="宋体"/>
          <w:sz w:val="28"/>
          <w:szCs w:val="28"/>
          <w:highlight w:val="none"/>
        </w:rPr>
        <w:br w:type="page"/>
      </w:r>
      <w:bookmarkStart w:id="36" w:name="_Toc363573855"/>
      <w:r>
        <w:rPr>
          <w:rFonts w:hint="eastAsia" w:ascii="宋体" w:hAnsi="宋体" w:cs="宋体"/>
          <w:b/>
          <w:iCs/>
          <w:w w:val="80"/>
          <w:sz w:val="44"/>
          <w:szCs w:val="44"/>
          <w:highlight w:val="none"/>
        </w:rPr>
        <w:t xml:space="preserve">第三章  </w:t>
      </w:r>
      <w:bookmarkEnd w:id="24"/>
      <w:bookmarkEnd w:id="25"/>
      <w:bookmarkEnd w:id="26"/>
      <w:bookmarkEnd w:id="27"/>
      <w:bookmarkEnd w:id="28"/>
      <w:bookmarkEnd w:id="29"/>
      <w:bookmarkEnd w:id="30"/>
      <w:bookmarkEnd w:id="31"/>
      <w:bookmarkEnd w:id="32"/>
      <w:bookmarkEnd w:id="33"/>
      <w:r>
        <w:rPr>
          <w:rFonts w:hint="eastAsia" w:ascii="宋体" w:hAnsi="宋体" w:cs="宋体"/>
          <w:b/>
          <w:iCs/>
          <w:w w:val="80"/>
          <w:sz w:val="44"/>
          <w:szCs w:val="44"/>
          <w:highlight w:val="none"/>
        </w:rPr>
        <w:t>项目需求</w:t>
      </w:r>
      <w:bookmarkEnd w:id="36"/>
      <w:bookmarkStart w:id="37" w:name="_Toc94544746"/>
      <w:bookmarkStart w:id="38" w:name="_Toc11554641"/>
      <w:bookmarkStart w:id="39" w:name="_Toc94544872"/>
      <w:bookmarkStart w:id="40" w:name="_Toc11499586"/>
      <w:bookmarkStart w:id="41" w:name="_Toc94585342"/>
      <w:bookmarkStart w:id="42" w:name="_Toc11500282"/>
      <w:bookmarkStart w:id="43" w:name="_Toc8895741"/>
      <w:bookmarkStart w:id="44" w:name="_Toc521203420"/>
      <w:bookmarkStart w:id="45" w:name="_Toc12670505"/>
      <w:bookmarkStart w:id="46" w:name="_Toc13803483"/>
      <w:bookmarkStart w:id="47" w:name="_Toc521201599"/>
      <w:bookmarkStart w:id="48" w:name="_Toc363573856"/>
    </w:p>
    <w:p w14:paraId="1E1FC5B5">
      <w:pPr>
        <w:spacing w:line="360" w:lineRule="auto"/>
        <w:outlineLvl w:val="0"/>
        <w:rPr>
          <w:rFonts w:hint="eastAsia" w:ascii="宋体" w:hAnsi="宋体" w:eastAsia="宋体"/>
          <w:b/>
          <w:sz w:val="24"/>
          <w:szCs w:val="24"/>
          <w:highlight w:val="none"/>
        </w:rPr>
      </w:pPr>
      <w:r>
        <w:rPr>
          <w:rFonts w:hint="eastAsia" w:ascii="宋体" w:hAnsi="宋体" w:eastAsia="宋体"/>
          <w:b/>
          <w:sz w:val="24"/>
          <w:szCs w:val="24"/>
          <w:highlight w:val="none"/>
        </w:rPr>
        <w:t>一、项目概况</w:t>
      </w:r>
    </w:p>
    <w:p w14:paraId="17BDB648">
      <w:pPr>
        <w:spacing w:line="36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1、项目名称：</w:t>
      </w:r>
      <w:r>
        <w:rPr>
          <w:rFonts w:hint="eastAsia" w:ascii="宋体" w:hAnsi="宋体" w:eastAsia="宋体"/>
          <w:sz w:val="24"/>
          <w:szCs w:val="24"/>
          <w:highlight w:val="none"/>
          <w:lang w:eastAsia="zh-CN"/>
        </w:rPr>
        <w:t>南通报业大厦发光字更新安装项目</w:t>
      </w:r>
    </w:p>
    <w:p w14:paraId="4C79BE0C">
      <w:pPr>
        <w:spacing w:line="360" w:lineRule="auto"/>
        <w:ind w:firstLine="480" w:firstLineChars="200"/>
        <w:rPr>
          <w:rFonts w:hint="eastAsia" w:ascii="宋体" w:hAnsi="宋体" w:eastAsia="宋体"/>
          <w:color w:val="000000"/>
          <w:sz w:val="24"/>
          <w:szCs w:val="24"/>
          <w:highlight w:val="none"/>
        </w:rPr>
      </w:pPr>
      <w:r>
        <w:rPr>
          <w:rFonts w:hint="eastAsia" w:ascii="宋体" w:hAnsi="宋体" w:eastAsia="宋体" w:cs="宋体"/>
          <w:kern w:val="0"/>
          <w:sz w:val="24"/>
          <w:szCs w:val="24"/>
          <w:highlight w:val="none"/>
        </w:rPr>
        <w:t>2、合同履行服务日期：合同签订生效后</w:t>
      </w:r>
      <w:r>
        <w:rPr>
          <w:rFonts w:hint="eastAsia" w:ascii="宋体" w:hAnsi="宋体" w:eastAsia="宋体" w:cs="宋体"/>
          <w:kern w:val="0"/>
          <w:sz w:val="24"/>
          <w:szCs w:val="24"/>
          <w:highlight w:val="none"/>
          <w:u w:val="single"/>
        </w:rPr>
        <w:t xml:space="preserve"> 15</w:t>
      </w:r>
      <w:r>
        <w:rPr>
          <w:rFonts w:hint="eastAsia" w:ascii="宋体" w:hAnsi="宋体" w:eastAsia="宋体" w:cs="宋体"/>
          <w:kern w:val="0"/>
          <w:sz w:val="24"/>
          <w:szCs w:val="24"/>
          <w:highlight w:val="none"/>
        </w:rPr>
        <w:t>日历天完成设备安装调试</w:t>
      </w:r>
      <w:r>
        <w:rPr>
          <w:rFonts w:hint="eastAsia" w:ascii="宋体" w:hAnsi="宋体" w:cs="宋体"/>
          <w:kern w:val="0"/>
          <w:sz w:val="24"/>
          <w:szCs w:val="24"/>
          <w:highlight w:val="none"/>
          <w:lang w:eastAsia="zh-CN"/>
        </w:rPr>
        <w:t>，</w:t>
      </w:r>
      <w:r>
        <w:rPr>
          <w:rFonts w:hint="eastAsia" w:ascii="宋体" w:hAnsi="宋体" w:cs="宋体"/>
          <w:sz w:val="24"/>
          <w:szCs w:val="24"/>
          <w:highlight w:val="none"/>
          <w:lang w:val="en-US" w:eastAsia="zh-CN"/>
        </w:rPr>
        <w:t>并通过采购人验收</w:t>
      </w:r>
      <w:r>
        <w:rPr>
          <w:rFonts w:hint="eastAsia" w:ascii="宋体" w:hAnsi="宋体" w:eastAsia="宋体" w:cs="宋体"/>
          <w:kern w:val="0"/>
          <w:sz w:val="24"/>
          <w:szCs w:val="24"/>
          <w:highlight w:val="none"/>
        </w:rPr>
        <w:t>。</w:t>
      </w:r>
    </w:p>
    <w:p w14:paraId="0BCF84B4">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3、交货地点：采购人指定地点。</w:t>
      </w:r>
    </w:p>
    <w:p w14:paraId="02E6DF75">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4、项目预算： </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rPr>
        <w:t>万元</w:t>
      </w:r>
    </w:p>
    <w:p w14:paraId="134569A2">
      <w:pPr>
        <w:spacing w:line="360" w:lineRule="auto"/>
        <w:ind w:firstLine="480" w:firstLineChars="200"/>
        <w:rPr>
          <w:rFonts w:hint="eastAsia" w:ascii="宋体" w:hAnsi="宋体" w:eastAsia="宋体"/>
          <w:sz w:val="24"/>
          <w:szCs w:val="24"/>
          <w:highlight w:val="none"/>
        </w:rPr>
      </w:pPr>
      <w:r>
        <w:rPr>
          <w:rFonts w:hint="eastAsia" w:ascii="宋体" w:hAnsi="宋体" w:eastAsia="宋体" w:cs="Times New Roman"/>
          <w:sz w:val="24"/>
          <w:szCs w:val="24"/>
          <w:highlight w:val="none"/>
        </w:rPr>
        <w:t>5、项目现场：投标人对工程施工现场和周围环境自行进行勘察，以便获取编制响应文件和签署合同所需的有关资料，</w:t>
      </w:r>
      <w:r>
        <w:rPr>
          <w:rFonts w:hint="eastAsia" w:ascii="宋体" w:hAnsi="宋体" w:eastAsia="宋体"/>
          <w:sz w:val="24"/>
          <w:szCs w:val="24"/>
          <w:highlight w:val="none"/>
        </w:rPr>
        <w:t>勘察现场所产生的风险及发生的费用由投标人自行承担。投标人到现场实地勘踏，应充分了解工地位置、情况、道路、装卸限制及任何其他足以影响承包价的情况，任何忽视或误解工地情况而导致的索赔或工期延长申请将不获得批准。</w:t>
      </w:r>
    </w:p>
    <w:p w14:paraId="01703C8D">
      <w:pPr>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二、采购清单：</w:t>
      </w:r>
    </w:p>
    <w:tbl>
      <w:tblPr>
        <w:tblStyle w:val="52"/>
        <w:tblpPr w:leftFromText="180" w:rightFromText="180" w:vertAnchor="text" w:horzAnchor="page" w:tblpX="1525" w:tblpY="100"/>
        <w:tblOverlap w:val="never"/>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580"/>
        <w:gridCol w:w="3242"/>
        <w:gridCol w:w="1088"/>
        <w:gridCol w:w="1455"/>
        <w:gridCol w:w="1080"/>
      </w:tblGrid>
      <w:tr w14:paraId="7802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213C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580"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7E6CD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3242"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16E5A4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w:t>
            </w:r>
          </w:p>
        </w:tc>
        <w:tc>
          <w:tcPr>
            <w:tcW w:w="1088"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5F4BA4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554D5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44D85C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推荐品牌</w:t>
            </w:r>
          </w:p>
        </w:tc>
      </w:tr>
      <w:tr w14:paraId="1031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CC668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0" w:type="dxa"/>
            <w:tcBorders>
              <w:top w:val="single" w:color="000000" w:sz="4" w:space="0"/>
              <w:left w:val="single" w:color="000000" w:sz="4" w:space="0"/>
              <w:bottom w:val="nil"/>
              <w:right w:val="single" w:color="000000" w:sz="4" w:space="0"/>
            </w:tcBorders>
            <w:noWrap w:val="0"/>
            <w:vAlign w:val="center"/>
          </w:tcPr>
          <w:p w14:paraId="7C1BA4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冲孔</w:t>
            </w:r>
            <w:r>
              <w:rPr>
                <w:rFonts w:hint="eastAsia" w:ascii="宋体" w:hAnsi="宋体" w:cs="宋体"/>
                <w:i w:val="0"/>
                <w:iCs w:val="0"/>
                <w:color w:val="000000"/>
                <w:kern w:val="0"/>
                <w:sz w:val="24"/>
                <w:szCs w:val="24"/>
                <w:highlight w:val="none"/>
                <w:u w:val="none"/>
                <w:lang w:val="en-US" w:eastAsia="zh-CN" w:bidi="ar"/>
              </w:rPr>
              <w:t>发光</w:t>
            </w:r>
            <w:r>
              <w:rPr>
                <w:rFonts w:hint="eastAsia" w:ascii="宋体" w:hAnsi="宋体"/>
                <w:sz w:val="24"/>
                <w:szCs w:val="24"/>
                <w:highlight w:val="none"/>
                <w:u w:val="none"/>
                <w:lang w:val="en-US" w:eastAsia="zh-CN"/>
              </w:rPr>
              <w:t>Logo</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518D04E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尺寸同原规格6.0*6.0m，厚度1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cm；材质型号为3mm铝板冲孔、围边，光源为9mm灯珠led芯片灯、灯间距3cm，烤漆工艺，背景蓝绿渐变，全彩外露发光面板2套</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A320D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72</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B94D8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1BC3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Led灯：蓝景/</w:t>
            </w:r>
            <w:r>
              <w:rPr>
                <w:rFonts w:hint="eastAsia" w:ascii="宋体" w:hAnsi="宋体" w:cs="宋体"/>
                <w:i w:val="0"/>
                <w:iCs w:val="0"/>
                <w:color w:val="000000"/>
                <w:kern w:val="0"/>
                <w:sz w:val="24"/>
                <w:szCs w:val="24"/>
                <w:highlight w:val="none"/>
                <w:u w:val="none"/>
                <w:lang w:val="en-US" w:eastAsia="zh-CN" w:bidi="ar"/>
              </w:rPr>
              <w:t>晶元</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憨豆</w:t>
            </w:r>
          </w:p>
          <w:p w14:paraId="05CD7FE9">
            <w:pPr>
              <w:pStyle w:val="51"/>
              <w:rPr>
                <w:rFonts w:hint="default"/>
                <w:highlight w:val="none"/>
                <w:lang w:val="en-US" w:eastAsia="zh-CN"/>
              </w:rPr>
            </w:pPr>
          </w:p>
        </w:tc>
      </w:tr>
      <w:tr w14:paraId="3714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A04FD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80" w:type="dxa"/>
            <w:tcBorders>
              <w:top w:val="single" w:color="000000" w:sz="4" w:space="0"/>
              <w:left w:val="single" w:color="000000" w:sz="4" w:space="0"/>
              <w:bottom w:val="nil"/>
              <w:right w:val="single" w:color="000000" w:sz="4" w:space="0"/>
            </w:tcBorders>
            <w:noWrap/>
            <w:vAlign w:val="center"/>
          </w:tcPr>
          <w:p w14:paraId="189524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辅助钢架</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4F8428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字背架40*40*</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MM热镀锌方管与墙体连接固定，金属字壳与背架焊接及螺丝固定</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EC19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72</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72E5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0914D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EC6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B544A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80" w:type="dxa"/>
            <w:tcBorders>
              <w:top w:val="single" w:color="000000" w:sz="4" w:space="0"/>
              <w:left w:val="single" w:color="000000" w:sz="4" w:space="0"/>
              <w:bottom w:val="nil"/>
              <w:right w:val="single" w:color="000000" w:sz="4" w:space="0"/>
            </w:tcBorders>
            <w:noWrap/>
            <w:vAlign w:val="center"/>
          </w:tcPr>
          <w:p w14:paraId="1AD4C5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人工费</w:t>
            </w:r>
          </w:p>
        </w:tc>
        <w:tc>
          <w:tcPr>
            <w:tcW w:w="3242" w:type="dxa"/>
            <w:tcBorders>
              <w:top w:val="single" w:color="000000" w:sz="4" w:space="0"/>
              <w:left w:val="single" w:color="000000" w:sz="4" w:space="0"/>
              <w:bottom w:val="nil"/>
              <w:right w:val="single" w:color="000000" w:sz="4" w:space="0"/>
            </w:tcBorders>
            <w:noWrap w:val="0"/>
            <w:vAlign w:val="center"/>
          </w:tcPr>
          <w:p w14:paraId="4364D20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拆除、制作安装费（含保险）</w:t>
            </w:r>
            <w:r>
              <w:rPr>
                <w:rFonts w:hint="eastAsia" w:ascii="宋体" w:hAnsi="宋体" w:cs="宋体"/>
                <w:i w:val="0"/>
                <w:iCs w:val="0"/>
                <w:color w:val="000000"/>
                <w:kern w:val="0"/>
                <w:sz w:val="24"/>
                <w:szCs w:val="24"/>
                <w:highlight w:val="none"/>
                <w:u w:val="none"/>
                <w:lang w:val="en-US" w:eastAsia="zh-CN" w:bidi="ar"/>
              </w:rPr>
              <w:t>人员</w:t>
            </w:r>
            <w:r>
              <w:rPr>
                <w:rFonts w:hint="eastAsia" w:ascii="宋体" w:hAnsi="宋体" w:eastAsia="宋体" w:cs="宋体"/>
                <w:i w:val="0"/>
                <w:iCs w:val="0"/>
                <w:color w:val="000000"/>
                <w:kern w:val="0"/>
                <w:sz w:val="24"/>
                <w:szCs w:val="24"/>
                <w:highlight w:val="none"/>
                <w:u w:val="none"/>
                <w:lang w:val="en-US" w:eastAsia="zh-CN" w:bidi="ar"/>
              </w:rPr>
              <w:t>下吊</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12454E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A0CA6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2F3B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CD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6F85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3B595F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配电箱</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29C1FD61">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整体开关、时控系统、接触器</w:t>
            </w:r>
            <w:r>
              <w:rPr>
                <w:rFonts w:hint="eastAsia" w:ascii="宋体" w:hAnsi="宋体" w:cs="宋体"/>
                <w:i w:val="0"/>
                <w:iCs w:val="0"/>
                <w:color w:val="000000"/>
                <w:kern w:val="0"/>
                <w:sz w:val="24"/>
                <w:szCs w:val="24"/>
                <w:highlight w:val="none"/>
                <w:u w:val="none"/>
                <w:lang w:val="en-US" w:eastAsia="zh-CN" w:bidi="ar"/>
              </w:rPr>
              <w:t>、变压器</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9F9C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A3011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184F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619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740D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45FD0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电缆线</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14:paraId="79242A19">
            <w:pPr>
              <w:keepNext w:val="0"/>
              <w:keepLines w:val="0"/>
              <w:widowControl/>
              <w:suppressLineNumbers w:val="0"/>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强</w:t>
            </w:r>
            <w:r>
              <w:rPr>
                <w:rFonts w:hint="eastAsia" w:ascii="宋体" w:hAnsi="宋体" w:eastAsia="宋体" w:cs="宋体"/>
                <w:i w:val="0"/>
                <w:iCs w:val="0"/>
                <w:color w:val="000000"/>
                <w:kern w:val="0"/>
                <w:sz w:val="24"/>
                <w:szCs w:val="24"/>
                <w:highlight w:val="none"/>
                <w:u w:val="none"/>
                <w:lang w:val="en-US" w:eastAsia="zh-CN" w:bidi="ar"/>
              </w:rPr>
              <w:t>电线</w:t>
            </w:r>
            <w:r>
              <w:rPr>
                <w:rFonts w:hint="eastAsia" w:ascii="宋体" w:hAnsi="宋体" w:cs="宋体"/>
                <w:i w:val="0"/>
                <w:iCs w:val="0"/>
                <w:color w:val="000000"/>
                <w:kern w:val="0"/>
                <w:sz w:val="24"/>
                <w:szCs w:val="24"/>
                <w:highlight w:val="none"/>
                <w:u w:val="none"/>
                <w:lang w:val="en-US" w:eastAsia="zh-CN" w:bidi="ar"/>
              </w:rPr>
              <w:t>、弱电线、信号线</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A63E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4264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75D16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江南/华美/中天</w:t>
            </w:r>
          </w:p>
        </w:tc>
      </w:tr>
      <w:tr w14:paraId="3930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DCE3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2F599B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辅助材料</w:t>
            </w:r>
          </w:p>
        </w:tc>
        <w:tc>
          <w:tcPr>
            <w:tcW w:w="3242" w:type="dxa"/>
            <w:tcBorders>
              <w:top w:val="single" w:color="000000" w:sz="4" w:space="0"/>
              <w:left w:val="single" w:color="000000" w:sz="4" w:space="0"/>
              <w:bottom w:val="single" w:color="000000" w:sz="4" w:space="0"/>
              <w:right w:val="single" w:color="000000" w:sz="4" w:space="0"/>
            </w:tcBorders>
            <w:noWrap/>
            <w:vAlign w:val="center"/>
          </w:tcPr>
          <w:p w14:paraId="3F4A3D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主钢架除锈</w:t>
            </w:r>
            <w:r>
              <w:rPr>
                <w:rFonts w:hint="eastAsia" w:ascii="宋体" w:hAnsi="宋体" w:eastAsia="宋体" w:cs="宋体"/>
                <w:i w:val="0"/>
                <w:iCs w:val="0"/>
                <w:color w:val="000000"/>
                <w:kern w:val="0"/>
                <w:sz w:val="24"/>
                <w:szCs w:val="24"/>
                <w:highlight w:val="none"/>
                <w:u w:val="none"/>
                <w:lang w:val="en-US" w:eastAsia="zh-CN" w:bidi="ar"/>
              </w:rPr>
              <w:t>油漆</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电焊条，切割片，打磨片、油漆等</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23A55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BE291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6B23F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17F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4308C6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45E183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机械运输</w:t>
            </w:r>
          </w:p>
        </w:tc>
        <w:tc>
          <w:tcPr>
            <w:tcW w:w="3242" w:type="dxa"/>
            <w:tcBorders>
              <w:top w:val="single" w:color="000000" w:sz="4" w:space="0"/>
              <w:left w:val="single" w:color="000000" w:sz="4" w:space="0"/>
              <w:bottom w:val="single" w:color="000000" w:sz="4" w:space="0"/>
              <w:right w:val="single" w:color="000000" w:sz="4" w:space="0"/>
            </w:tcBorders>
            <w:noWrap/>
            <w:vAlign w:val="center"/>
          </w:tcPr>
          <w:p w14:paraId="49844A5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机械费、运输费</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6CB513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71A9C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E967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475C5927">
      <w:pPr>
        <w:adjustRightInd w:val="0"/>
        <w:snapToGrid w:val="0"/>
        <w:spacing w:line="500" w:lineRule="exact"/>
        <w:ind w:firstLine="496" w:firstLineChars="206"/>
        <w:contextualSpacing/>
        <w:rPr>
          <w:rFonts w:hint="eastAsia" w:eastAsia="宋体"/>
          <w:b/>
          <w:bCs/>
          <w:sz w:val="24"/>
          <w:szCs w:val="24"/>
          <w:highlight w:val="none"/>
        </w:rPr>
      </w:pPr>
      <w:r>
        <w:rPr>
          <w:rFonts w:hint="eastAsia" w:eastAsia="宋体"/>
          <w:b/>
          <w:bCs/>
          <w:sz w:val="24"/>
          <w:szCs w:val="24"/>
          <w:highlight w:val="none"/>
        </w:rPr>
        <w:t>1、投标采用固定总价报价。包含但不限于以下费用：项目需求提供的可能涉及到的设备及其备品、备件和专用工具费用、税费及包装、运至最终目的地的运输、保险、检测验收、物业配合费、安装、调试、水电安装费用（从采购人确定的</w:t>
      </w:r>
      <w:r>
        <w:rPr>
          <w:rFonts w:hint="eastAsia" w:eastAsia="宋体"/>
          <w:b/>
          <w:bCs/>
          <w:sz w:val="24"/>
          <w:szCs w:val="24"/>
          <w:highlight w:val="none"/>
          <w:lang w:val="en-US" w:eastAsia="zh-CN"/>
        </w:rPr>
        <w:t>电源</w:t>
      </w:r>
      <w:r>
        <w:rPr>
          <w:rFonts w:hint="eastAsia" w:eastAsia="宋体"/>
          <w:b/>
          <w:bCs/>
          <w:sz w:val="24"/>
          <w:szCs w:val="24"/>
          <w:highlight w:val="none"/>
        </w:rPr>
        <w:t>接入，并按采购人确定的管线走向布置）；安全操作规程、安全警示等上墙宣传牌，以及地面安全引导和警戒线划定费用。技术支持与培训、售后与维保、其他费用及相关劳务支出等工作所发生的全部费用以及供应商企业利润、税金和政策性文件规定及合同包含的所有风险、责任等各项应有费用，即标的物交付使用前的所有费用以及免保期内的服务费用等包含响应招标文件采购要求的所有各项应有费用。</w:t>
      </w:r>
    </w:p>
    <w:p w14:paraId="31548B14">
      <w:pPr>
        <w:adjustRightInd w:val="0"/>
        <w:snapToGrid w:val="0"/>
        <w:spacing w:line="500" w:lineRule="exact"/>
        <w:ind w:firstLine="494" w:firstLineChars="206"/>
        <w:contextualSpacing/>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供应商应充分勘察本项目的现场安装条件及现有建筑物、构筑物的现状情况，充分预见可能发生的一切额外费用，安装时间需严格按照采购人要求进行，因南通市日报大楼办公需要特殊性, 供应商需利用节假日和错开正常办公时间进行施工, 供应商应配合采购人统一安排管理，精心编制安装施工方案，不得影响工期。因此发生的赶工费、夜间施工费、或临时调配人员所产生的费用由供应商自行考虑，并列入投标报价，在结算时一律不作调整；</w:t>
      </w:r>
    </w:p>
    <w:p w14:paraId="01602F71">
      <w:pPr>
        <w:widowControl/>
        <w:shd w:val="clear" w:color="auto" w:fill="FFFFFF"/>
        <w:adjustRightInd w:val="0"/>
        <w:snapToGrid w:val="0"/>
        <w:spacing w:after="200" w:line="520" w:lineRule="exact"/>
        <w:ind w:firstLine="360" w:firstLineChars="150"/>
        <w:contextualSpacing/>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供应商施工期间需做好每日施工场地清理、拉圾清运和保洁工作,上述费用包含在投标报价中。工程结算时不作调整。其费用由供应商综合考虑，列入投标报价中，且不得单列，工程结算时不作调整。</w:t>
      </w:r>
    </w:p>
    <w:p w14:paraId="6FE5AA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sz w:val="24"/>
          <w:szCs w:val="24"/>
          <w:highlight w:val="none"/>
        </w:rPr>
      </w:pPr>
      <w:r>
        <w:rPr>
          <w:rFonts w:hint="eastAsia" w:ascii="宋体" w:hAnsi="宋体" w:eastAsia="宋体"/>
          <w:b/>
          <w:sz w:val="24"/>
          <w:szCs w:val="24"/>
          <w:highlight w:val="none"/>
          <w:lang w:val="en-US" w:eastAsia="zh-CN"/>
        </w:rPr>
        <w:t>2</w:t>
      </w:r>
      <w:r>
        <w:rPr>
          <w:rFonts w:hint="eastAsia" w:ascii="宋体" w:hAnsi="宋体" w:eastAsia="宋体"/>
          <w:b/>
          <w:sz w:val="24"/>
          <w:szCs w:val="24"/>
          <w:highlight w:val="none"/>
        </w:rPr>
        <w:t>、其他要求</w:t>
      </w:r>
    </w:p>
    <w:p w14:paraId="2D61D824">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1、响应的产品应能够至少达到以上技术参数要求，同时必须明确响应产品的品牌、型号、规格一些必须说明的技术参数，否则响应文件无效。如果其中某些条款不响应时，应在文件中逐条列出，未列出的，采购人有权拒绝接受其响应文件。</w:t>
      </w:r>
    </w:p>
    <w:p w14:paraId="392F2E0C">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2成交后所交付的软硬件设备其技术参数与响应文件中提供的参数要完全一致。采购方有权保留对所供软硬件设备进行功能性测试的权利，如果测试结果和投标时所述有偏差，功能无法满足实训要求，采购单位有权终止合同。</w:t>
      </w:r>
    </w:p>
    <w:p w14:paraId="07C87549">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.3投标人所提供的货物若因专利权引起相关事宜由投标人自行负责解决，与采购单位无关。</w:t>
      </w:r>
    </w:p>
    <w:p w14:paraId="6BB31474">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2.4因高空悬挂作业，会有配件如：螺丝、焊条掉下风险，成交供应商承担由此造成的玻璃幕墙损坏等一切的经济后果。</w:t>
      </w:r>
    </w:p>
    <w:p w14:paraId="63FDAF7B">
      <w:pPr>
        <w:spacing w:line="360" w:lineRule="auto"/>
        <w:ind w:firstLine="480" w:firstLineChars="200"/>
        <w:rPr>
          <w:rFonts w:hint="eastAsia" w:ascii="宋体" w:hAnsi="宋体" w:cs="Times New Roman"/>
          <w:sz w:val="24"/>
          <w:szCs w:val="24"/>
          <w:highlight w:val="none"/>
          <w:lang w:val="en-US" w:eastAsia="zh-CN"/>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sz w:val="24"/>
          <w:szCs w:val="24"/>
          <w:highlight w:val="none"/>
          <w:lang w:val="en-US" w:eastAsia="zh-CN"/>
        </w:rPr>
        <w:t>所有施工人均需要高空作业证，对应岗位需持有电工证或焊工证，须持证上岗，供应商均为其购买意外险，磋商相应单位需提供相应承诺函，格式见附件</w:t>
      </w:r>
      <w:r>
        <w:rPr>
          <w:rFonts w:hint="eastAsia" w:ascii="宋体" w:hAnsi="宋体" w:cs="Times New Roman"/>
          <w:sz w:val="24"/>
          <w:szCs w:val="24"/>
          <w:highlight w:val="none"/>
          <w:lang w:val="en-US" w:eastAsia="zh-CN"/>
        </w:rPr>
        <w:t>。</w:t>
      </w:r>
    </w:p>
    <w:p w14:paraId="681C5A18">
      <w:pPr>
        <w:pStyle w:val="16"/>
        <w:ind w:left="0" w:leftChars="0" w:firstLine="0" w:firstLineChars="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效果图：</w:t>
      </w:r>
    </w:p>
    <w:p w14:paraId="6C85673C">
      <w:pPr>
        <w:pStyle w:val="16"/>
        <w:ind w:left="0" w:leftChars="0" w:firstLine="0" w:firstLineChars="0"/>
        <w:rPr>
          <w:rFonts w:hint="default"/>
          <w:highlight w:val="none"/>
          <w:lang w:val="en-US" w:eastAsia="zh-CN"/>
        </w:rPr>
      </w:pPr>
      <w:r>
        <w:rPr>
          <w:rFonts w:hint="default"/>
          <w:highlight w:val="none"/>
          <w:lang w:val="en-US" w:eastAsia="zh-CN"/>
        </w:rPr>
        <w:drawing>
          <wp:inline distT="0" distB="0" distL="114300" distR="114300">
            <wp:extent cx="4445635" cy="4672965"/>
            <wp:effectExtent l="0" t="0" r="12065" b="13335"/>
            <wp:docPr id="4" name="图片 4" descr="0369e9541d7aa528c2de2a06ee35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69e9541d7aa528c2de2a06ee35af4"/>
                    <pic:cNvPicPr>
                      <a:picLocks noChangeAspect="1"/>
                    </pic:cNvPicPr>
                  </pic:nvPicPr>
                  <pic:blipFill>
                    <a:blip r:embed="rId9"/>
                    <a:stretch>
                      <a:fillRect/>
                    </a:stretch>
                  </pic:blipFill>
                  <pic:spPr>
                    <a:xfrm>
                      <a:off x="0" y="0"/>
                      <a:ext cx="4445635" cy="4672965"/>
                    </a:xfrm>
                    <a:prstGeom prst="rect">
                      <a:avLst/>
                    </a:prstGeom>
                  </pic:spPr>
                </pic:pic>
              </a:graphicData>
            </a:graphic>
          </wp:inline>
        </w:drawing>
      </w:r>
    </w:p>
    <w:p w14:paraId="66CFFCDF">
      <w:pPr>
        <w:tabs>
          <w:tab w:val="left" w:pos="0"/>
        </w:tabs>
        <w:snapToGrid w:val="0"/>
        <w:spacing w:before="120" w:after="120" w:line="360" w:lineRule="auto"/>
        <w:rPr>
          <w:rFonts w:ascii="宋体" w:hAnsi="宋体" w:eastAsia="宋体" w:cs="宋体"/>
          <w:b/>
          <w:bCs/>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安装要求</w:t>
      </w:r>
    </w:p>
    <w:p w14:paraId="6DBF089B">
      <w:pPr>
        <w:spacing w:line="360" w:lineRule="auto"/>
        <w:ind w:firstLine="560"/>
        <w:rPr>
          <w:rFonts w:ascii="宋体" w:hAnsi="宋体" w:eastAsia="宋体" w:cs="宋体"/>
          <w:bCs/>
          <w:sz w:val="24"/>
          <w:szCs w:val="24"/>
          <w:highlight w:val="none"/>
        </w:rPr>
      </w:pPr>
      <w:r>
        <w:rPr>
          <w:rFonts w:hint="eastAsia" w:ascii="宋体" w:hAnsi="宋体" w:eastAsia="宋体" w:cs="宋体"/>
          <w:bCs/>
          <w:sz w:val="24"/>
          <w:szCs w:val="24"/>
          <w:highlight w:val="none"/>
        </w:rPr>
        <w:t>（1）中标供应商必须按供货计划安排，派出专业技术人员到安装现场进行安装和调试工作。</w:t>
      </w:r>
    </w:p>
    <w:p w14:paraId="15EF3D3D">
      <w:pPr>
        <w:spacing w:line="360" w:lineRule="auto"/>
        <w:ind w:firstLine="560"/>
        <w:rPr>
          <w:rFonts w:ascii="宋体" w:hAnsi="宋体" w:eastAsia="宋体" w:cs="宋体"/>
          <w:b/>
          <w:bCs w:val="0"/>
          <w:sz w:val="24"/>
          <w:szCs w:val="24"/>
          <w:highlight w:val="none"/>
        </w:rPr>
      </w:pPr>
      <w:r>
        <w:rPr>
          <w:rFonts w:hint="eastAsia" w:ascii="宋体" w:hAnsi="宋体" w:eastAsia="宋体" w:cs="宋体"/>
          <w:bCs/>
          <w:sz w:val="24"/>
          <w:szCs w:val="24"/>
          <w:highlight w:val="none"/>
        </w:rPr>
        <w:t>（2）中标供应商应严格按国家及行业安全生产的有关管理规定，采取安全措施组织安装施工。</w:t>
      </w:r>
      <w:r>
        <w:rPr>
          <w:rFonts w:hint="eastAsia" w:ascii="宋体" w:hAnsi="宋体" w:eastAsia="宋体" w:cs="宋体"/>
          <w:b/>
          <w:bCs w:val="0"/>
          <w:sz w:val="24"/>
          <w:szCs w:val="24"/>
          <w:highlight w:val="none"/>
        </w:rPr>
        <w:t>若发生安全事故，一切责任由供应商承担。</w:t>
      </w:r>
    </w:p>
    <w:p w14:paraId="4E6D38D5">
      <w:pPr>
        <w:spacing w:line="360" w:lineRule="auto"/>
        <w:ind w:firstLine="560"/>
        <w:rPr>
          <w:rFonts w:ascii="宋体" w:hAnsi="宋体" w:eastAsia="宋体" w:cs="宋体"/>
          <w:bCs/>
          <w:sz w:val="24"/>
          <w:szCs w:val="24"/>
          <w:highlight w:val="none"/>
        </w:rPr>
      </w:pPr>
      <w:r>
        <w:rPr>
          <w:rFonts w:hint="eastAsia" w:ascii="宋体" w:hAnsi="宋体" w:eastAsia="宋体" w:cs="宋体"/>
          <w:bCs/>
          <w:sz w:val="24"/>
          <w:szCs w:val="24"/>
          <w:highlight w:val="none"/>
        </w:rPr>
        <w:t>（3）施工单位进场施工需遵守</w:t>
      </w:r>
      <w:r>
        <w:rPr>
          <w:rFonts w:hint="eastAsia" w:ascii="宋体" w:hAnsi="宋体" w:cs="宋体"/>
          <w:bCs/>
          <w:sz w:val="24"/>
          <w:szCs w:val="24"/>
          <w:highlight w:val="none"/>
          <w:lang w:val="en-US" w:eastAsia="zh-CN"/>
        </w:rPr>
        <w:t>南通</w:t>
      </w:r>
      <w:r>
        <w:rPr>
          <w:rFonts w:hint="eastAsia" w:ascii="宋体" w:hAnsi="宋体" w:eastAsia="宋体" w:cs="宋体"/>
          <w:bCs/>
          <w:sz w:val="24"/>
          <w:szCs w:val="24"/>
          <w:highlight w:val="none"/>
        </w:rPr>
        <w:t>日报</w:t>
      </w:r>
      <w:r>
        <w:rPr>
          <w:rFonts w:hint="eastAsia" w:ascii="宋体" w:hAnsi="宋体" w:cs="宋体"/>
          <w:bCs/>
          <w:sz w:val="24"/>
          <w:szCs w:val="24"/>
          <w:highlight w:val="none"/>
          <w:lang w:val="en-US" w:eastAsia="zh-CN"/>
        </w:rPr>
        <w:t>社（集团）相关</w:t>
      </w:r>
      <w:r>
        <w:rPr>
          <w:rFonts w:hint="eastAsia" w:ascii="宋体" w:hAnsi="宋体" w:eastAsia="宋体" w:cs="宋体"/>
          <w:bCs/>
          <w:sz w:val="24"/>
          <w:szCs w:val="24"/>
          <w:highlight w:val="none"/>
        </w:rPr>
        <w:t>管理</w:t>
      </w:r>
      <w:r>
        <w:rPr>
          <w:rFonts w:hint="eastAsia" w:ascii="宋体" w:hAnsi="宋体" w:cs="宋体"/>
          <w:bCs/>
          <w:sz w:val="24"/>
          <w:szCs w:val="24"/>
          <w:highlight w:val="none"/>
          <w:lang w:val="en-US" w:eastAsia="zh-CN"/>
        </w:rPr>
        <w:t>办法</w:t>
      </w:r>
    </w:p>
    <w:p w14:paraId="4E96EB22">
      <w:pPr>
        <w:spacing w:line="360" w:lineRule="auto"/>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（4）安装、调试及保修全过程中，中标供应商负责每日及时清理垃圾，并将包装物及垃圾清运出场，清理标准达到采购人要求。</w:t>
      </w:r>
    </w:p>
    <w:p w14:paraId="4AC53D6E">
      <w:pPr>
        <w:spacing w:line="360" w:lineRule="auto"/>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（5）中标供应商自行承担选派专业人员的住宿、就餐和交通等费用。</w:t>
      </w:r>
    </w:p>
    <w:p w14:paraId="16D18054">
      <w:pPr>
        <w:spacing w:line="360" w:lineRule="auto"/>
        <w:ind w:firstLine="56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现场拆除安装人员均需持有高空作业证，中标供应商应为其缴纳意外险。</w:t>
      </w:r>
    </w:p>
    <w:p w14:paraId="70DF86A4">
      <w:pPr>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、采购标的验收标准</w:t>
      </w:r>
    </w:p>
    <w:p w14:paraId="0B5AC28B">
      <w:pPr>
        <w:spacing w:line="360" w:lineRule="auto"/>
        <w:ind w:firstLine="480" w:firstLineChars="200"/>
        <w:rPr>
          <w:rFonts w:hint="eastAsia" w:ascii="宋体" w:hAnsi="宋体" w:eastAsia="宋体" w:cs="宋体"/>
          <w:bCs/>
          <w:sz w:val="24"/>
          <w:szCs w:val="24"/>
          <w:highlight w:val="none"/>
        </w:rPr>
      </w:pPr>
      <w:bookmarkStart w:id="49" w:name="OLE_LINK17"/>
      <w:r>
        <w:rPr>
          <w:rFonts w:hint="eastAsia" w:ascii="宋体" w:hAnsi="宋体" w:eastAsia="宋体" w:cs="宋体"/>
          <w:bCs/>
          <w:sz w:val="24"/>
          <w:szCs w:val="24"/>
          <w:highlight w:val="none"/>
        </w:rPr>
        <w:t>验收要求：在接到中标供应商以书面形式提出验收申请后，在5个工作日内及</w:t>
      </w:r>
      <w:r>
        <w:rPr>
          <w:rFonts w:hint="eastAsia" w:ascii="宋体" w:hAnsi="宋体" w:cs="宋体"/>
          <w:bCs/>
          <w:sz w:val="24"/>
          <w:szCs w:val="24"/>
          <w:highlight w:val="none"/>
          <w:lang w:val="en-US" w:eastAsia="zh-CN"/>
        </w:rPr>
        <w:t>组织验收</w:t>
      </w:r>
      <w:r>
        <w:rPr>
          <w:rFonts w:hint="eastAsia" w:ascii="宋体" w:hAnsi="宋体" w:eastAsia="宋体" w:cs="宋体"/>
          <w:bCs/>
          <w:sz w:val="24"/>
          <w:szCs w:val="24"/>
          <w:highlight w:val="none"/>
        </w:rPr>
        <w:t>，并出具验收报告，作为支付货款的依据。</w:t>
      </w:r>
      <w:bookmarkEnd w:id="49"/>
    </w:p>
    <w:p w14:paraId="6CF77538">
      <w:pPr>
        <w:spacing w:line="360" w:lineRule="auto"/>
        <w:rPr>
          <w:rFonts w:ascii="宋体" w:hAnsi="宋体" w:eastAsia="宋体"/>
          <w:b/>
          <w:sz w:val="24"/>
          <w:szCs w:val="24"/>
          <w:highlight w:val="none"/>
        </w:rPr>
      </w:pPr>
      <w:r>
        <w:rPr>
          <w:rFonts w:hint="eastAsia" w:ascii="宋体" w:hAnsi="宋体" w:eastAsia="宋体"/>
          <w:b/>
          <w:sz w:val="24"/>
          <w:szCs w:val="24"/>
          <w:highlight w:val="none"/>
          <w:lang w:val="en-US" w:eastAsia="zh-CN"/>
        </w:rPr>
        <w:t>五</w:t>
      </w:r>
      <w:r>
        <w:rPr>
          <w:rFonts w:hint="eastAsia" w:ascii="宋体" w:hAnsi="宋体" w:eastAsia="宋体"/>
          <w:b/>
          <w:sz w:val="24"/>
          <w:szCs w:val="24"/>
          <w:highlight w:val="none"/>
        </w:rPr>
        <w:t>、质保期及售后服务</w:t>
      </w:r>
    </w:p>
    <w:p w14:paraId="07EDB1F5">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1、设备质保</w:t>
      </w:r>
      <w:r>
        <w:rPr>
          <w:rFonts w:hint="eastAsia" w:ascii="宋体" w:hAnsi="宋体"/>
          <w:sz w:val="24"/>
          <w:szCs w:val="24"/>
          <w:highlight w:val="none"/>
          <w:lang w:val="en-US" w:eastAsia="zh-CN"/>
        </w:rPr>
        <w:t>3</w:t>
      </w:r>
      <w:r>
        <w:rPr>
          <w:rFonts w:hint="eastAsia" w:ascii="宋体" w:hAnsi="宋体" w:eastAsia="宋体"/>
          <w:sz w:val="24"/>
          <w:szCs w:val="24"/>
          <w:highlight w:val="none"/>
        </w:rPr>
        <w:t>年，自设备验收合格之日起计算。</w:t>
      </w:r>
    </w:p>
    <w:p w14:paraId="1733798E">
      <w:pPr>
        <w:pStyle w:val="90"/>
        <w:spacing w:line="360" w:lineRule="auto"/>
        <w:ind w:firstLine="480"/>
        <w:rPr>
          <w:sz w:val="24"/>
          <w:szCs w:val="24"/>
          <w:highlight w:val="none"/>
          <w:lang w:val="zh-CN" w:eastAsia="zh-CN"/>
        </w:rPr>
      </w:pPr>
      <w:r>
        <w:rPr>
          <w:rFonts w:hint="eastAsia"/>
          <w:sz w:val="24"/>
          <w:szCs w:val="24"/>
          <w:highlight w:val="none"/>
          <w:lang w:val="zh-CN" w:eastAsia="zh-CN"/>
        </w:rPr>
        <w:t>2、零备件更换：在免费质量保证期内，因设备制造原因出现的</w:t>
      </w:r>
      <w:r>
        <w:rPr>
          <w:rFonts w:hint="eastAsia"/>
          <w:sz w:val="24"/>
          <w:szCs w:val="24"/>
          <w:highlight w:val="none"/>
          <w:lang w:val="en-US" w:eastAsia="zh-CN"/>
        </w:rPr>
        <w:t>任何</w:t>
      </w:r>
      <w:r>
        <w:rPr>
          <w:rFonts w:hint="eastAsia"/>
          <w:sz w:val="24"/>
          <w:szCs w:val="24"/>
          <w:highlight w:val="none"/>
          <w:lang w:val="zh-CN" w:eastAsia="zh-CN"/>
        </w:rPr>
        <w:t>质量问题，投标人应负责及时更换或维修，由此产生的一切费用由投标人承担。</w:t>
      </w:r>
    </w:p>
    <w:p w14:paraId="46C45856">
      <w:pPr>
        <w:pStyle w:val="90"/>
        <w:spacing w:line="360" w:lineRule="auto"/>
        <w:ind w:firstLine="480"/>
        <w:rPr>
          <w:sz w:val="24"/>
          <w:szCs w:val="24"/>
          <w:highlight w:val="none"/>
          <w:lang w:val="zh-CN" w:eastAsia="zh-CN"/>
        </w:rPr>
      </w:pPr>
      <w:r>
        <w:rPr>
          <w:rFonts w:hint="eastAsia"/>
          <w:sz w:val="24"/>
          <w:szCs w:val="24"/>
          <w:highlight w:val="none"/>
          <w:lang w:val="zh-CN" w:eastAsia="zh-CN"/>
        </w:rPr>
        <w:t>3、维修响应：投标单位应有完善的配套售后响应机制及充足的备品备件，接到用户报修通知后，投标人维修人员应在2小时内响应，需达到现场处理的，需</w:t>
      </w:r>
      <w:r>
        <w:rPr>
          <w:rFonts w:hint="eastAsia"/>
          <w:sz w:val="24"/>
          <w:szCs w:val="24"/>
          <w:highlight w:val="none"/>
          <w:lang w:val="en-US" w:eastAsia="zh-CN"/>
        </w:rPr>
        <w:t>12</w:t>
      </w:r>
      <w:r>
        <w:rPr>
          <w:rFonts w:hint="eastAsia"/>
          <w:sz w:val="24"/>
          <w:szCs w:val="24"/>
          <w:highlight w:val="none"/>
          <w:lang w:val="zh-CN" w:eastAsia="zh-CN"/>
        </w:rPr>
        <w:t>小时内到达现场并解决一般问题；现场解决不了的重大故障，按国家及行业标准进行处理。设备应具备故障自动检测报警系统。发生故障时，工程师可远程操控诊断并维修设备（更换硬件除外）。</w:t>
      </w:r>
    </w:p>
    <w:p w14:paraId="0E4A0951">
      <w:pPr>
        <w:pStyle w:val="90"/>
        <w:spacing w:line="360" w:lineRule="auto"/>
        <w:ind w:firstLine="480"/>
        <w:rPr>
          <w:sz w:val="24"/>
          <w:szCs w:val="24"/>
          <w:highlight w:val="none"/>
          <w:lang w:val="zh-CN" w:eastAsia="zh-CN"/>
        </w:rPr>
      </w:pPr>
      <w:r>
        <w:rPr>
          <w:rFonts w:hint="eastAsia"/>
          <w:sz w:val="24"/>
          <w:szCs w:val="24"/>
          <w:highlight w:val="none"/>
          <w:lang w:val="zh-CN" w:eastAsia="zh-CN"/>
        </w:rPr>
        <w:t>4、设备故障率：所投标设备在日常正确使用当中机械部分、控制部分故障率不得超过</w:t>
      </w:r>
      <w:r>
        <w:rPr>
          <w:rFonts w:hint="eastAsia"/>
          <w:sz w:val="24"/>
          <w:szCs w:val="24"/>
          <w:highlight w:val="none"/>
          <w:lang w:val="en-US" w:eastAsia="zh-CN"/>
        </w:rPr>
        <w:t>5%，提供承诺书。如故障率超过5%，招标人可要求投标人更换新的设备</w:t>
      </w:r>
      <w:r>
        <w:rPr>
          <w:rFonts w:hint="eastAsia"/>
          <w:sz w:val="24"/>
          <w:szCs w:val="24"/>
          <w:highlight w:val="none"/>
          <w:lang w:val="zh-CN" w:eastAsia="zh-CN"/>
        </w:rPr>
        <w:t>。</w:t>
      </w:r>
    </w:p>
    <w:p w14:paraId="408A34BE">
      <w:pPr>
        <w:pStyle w:val="90"/>
        <w:spacing w:line="360" w:lineRule="auto"/>
        <w:ind w:firstLine="480"/>
        <w:rPr>
          <w:sz w:val="24"/>
          <w:szCs w:val="24"/>
          <w:highlight w:val="none"/>
          <w:lang w:val="zh-CN" w:eastAsia="zh-CN"/>
        </w:rPr>
      </w:pPr>
      <w:r>
        <w:rPr>
          <w:rFonts w:hint="eastAsia"/>
          <w:sz w:val="24"/>
          <w:szCs w:val="24"/>
          <w:highlight w:val="none"/>
          <w:lang w:val="zh-CN" w:eastAsia="zh-CN"/>
        </w:rPr>
        <w:t>5、设备说明书：供应商须提供整套设备及主要部件中文操作说明书。</w:t>
      </w:r>
    </w:p>
    <w:p w14:paraId="33A9FFF6">
      <w:pPr>
        <w:spacing w:before="120" w:after="120" w:line="300" w:lineRule="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、付款条件</w:t>
      </w:r>
    </w:p>
    <w:p w14:paraId="1EEBA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highlight w:val="none"/>
        </w:rPr>
      </w:pPr>
      <w:r>
        <w:rPr>
          <w:rFonts w:hint="eastAsia" w:ascii="宋体" w:hAnsi="宋体" w:eastAsia="宋体" w:cs="宋体"/>
          <w:sz w:val="24"/>
          <w:szCs w:val="24"/>
          <w:highlight w:val="none"/>
          <w:lang w:val="zh-CN"/>
        </w:rPr>
        <w:t>经安装调试运行验收合格后15日(收到乙方</w:t>
      </w:r>
      <w:r>
        <w:rPr>
          <w:rFonts w:hint="eastAsia" w:ascii="宋体" w:hAnsi="宋体" w:cs="宋体"/>
          <w:sz w:val="24"/>
          <w:szCs w:val="24"/>
          <w:highlight w:val="none"/>
          <w:lang w:val="en-US" w:eastAsia="zh-CN"/>
        </w:rPr>
        <w:t>增值税专用</w:t>
      </w:r>
      <w:r>
        <w:rPr>
          <w:rFonts w:hint="eastAsia" w:ascii="宋体" w:hAnsi="宋体" w:eastAsia="宋体" w:cs="宋体"/>
          <w:sz w:val="24"/>
          <w:szCs w:val="24"/>
          <w:highlight w:val="none"/>
          <w:lang w:val="zh-CN"/>
        </w:rPr>
        <w:t>发票)内付至</w:t>
      </w:r>
      <w:r>
        <w:rPr>
          <w:rFonts w:hint="eastAsia" w:ascii="宋体" w:hAnsi="宋体" w:eastAsia="宋体" w:cs="宋体"/>
          <w:sz w:val="24"/>
          <w:szCs w:val="24"/>
          <w:highlight w:val="none"/>
        </w:rPr>
        <w:t>审定价</w:t>
      </w:r>
      <w:r>
        <w:rPr>
          <w:rFonts w:hint="eastAsia" w:ascii="宋体" w:hAnsi="宋体" w:eastAsia="宋体" w:cs="宋体"/>
          <w:sz w:val="24"/>
          <w:szCs w:val="24"/>
          <w:highlight w:val="none"/>
          <w:lang w:val="zh-CN"/>
        </w:rPr>
        <w:t>的9</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%；余款</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%作为质量保修金，质保期满三年无质量问题并经书面确认后15日内返还。所有款项由采购人按相关财务支付规定办理支付手续，不得故意拖延支付时间。</w:t>
      </w:r>
    </w:p>
    <w:p w14:paraId="4FA77DFF">
      <w:pPr>
        <w:snapToGrid w:val="0"/>
        <w:spacing w:line="360" w:lineRule="auto"/>
        <w:ind w:firstLine="346" w:firstLineChars="206"/>
        <w:jc w:val="center"/>
        <w:rPr>
          <w:rFonts w:hint="eastAsia"/>
          <w:kern w:val="0"/>
          <w:sz w:val="24"/>
          <w:szCs w:val="24"/>
          <w:highlight w:val="none"/>
        </w:rPr>
      </w:pPr>
      <w:r>
        <w:rPr>
          <w:w w:val="80"/>
          <w:highlight w:val="none"/>
        </w:rPr>
        <w:br w:type="page"/>
      </w:r>
      <w:r>
        <w:rPr>
          <w:rFonts w:hint="eastAsia" w:ascii="宋体" w:hAnsi="宋体" w:cs="宋体"/>
          <w:b/>
          <w:iCs/>
          <w:w w:val="80"/>
          <w:sz w:val="44"/>
          <w:szCs w:val="44"/>
          <w:highlight w:val="none"/>
        </w:rPr>
        <w:t xml:space="preserve">第四章  </w:t>
      </w:r>
      <w:bookmarkEnd w:id="37"/>
      <w:bookmarkEnd w:id="38"/>
      <w:bookmarkEnd w:id="39"/>
      <w:bookmarkEnd w:id="40"/>
      <w:bookmarkEnd w:id="41"/>
      <w:bookmarkEnd w:id="42"/>
      <w:bookmarkEnd w:id="43"/>
      <w:bookmarkEnd w:id="44"/>
      <w:bookmarkEnd w:id="45"/>
      <w:bookmarkEnd w:id="46"/>
      <w:bookmarkEnd w:id="47"/>
      <w:bookmarkStart w:id="50" w:name="_Toc43217893"/>
      <w:bookmarkStart w:id="51" w:name="_Toc37322565"/>
      <w:bookmarkStart w:id="52" w:name="_Toc85627670"/>
      <w:bookmarkStart w:id="53" w:name="_Toc38121794"/>
      <w:bookmarkStart w:id="54" w:name="_Toc182848996"/>
      <w:bookmarkStart w:id="55" w:name="_Toc13803484"/>
      <w:bookmarkStart w:id="56" w:name="_Toc94544873"/>
      <w:bookmarkStart w:id="57" w:name="_Toc11500283"/>
      <w:bookmarkStart w:id="58" w:name="_Toc11499587"/>
      <w:bookmarkStart w:id="59" w:name="_Toc8895742"/>
      <w:bookmarkStart w:id="60" w:name="_Toc12670506"/>
      <w:bookmarkStart w:id="61" w:name="_Toc94544747"/>
      <w:bookmarkStart w:id="62" w:name="_Toc11554642"/>
      <w:r>
        <w:rPr>
          <w:rFonts w:hint="eastAsia" w:ascii="宋体" w:hAnsi="宋体" w:cs="宋体"/>
          <w:b/>
          <w:iCs/>
          <w:w w:val="80"/>
          <w:sz w:val="44"/>
          <w:szCs w:val="44"/>
          <w:highlight w:val="none"/>
        </w:rPr>
        <w:t>评审方法和程序</w:t>
      </w:r>
      <w:bookmarkEnd w:id="48"/>
    </w:p>
    <w:bookmarkEnd w:id="50"/>
    <w:bookmarkEnd w:id="51"/>
    <w:bookmarkEnd w:id="52"/>
    <w:bookmarkEnd w:id="53"/>
    <w:bookmarkEnd w:id="54"/>
    <w:p w14:paraId="7C164B7A">
      <w:pPr>
        <w:snapToGrid w:val="0"/>
        <w:spacing w:line="480" w:lineRule="exact"/>
        <w:ind w:firstLine="482" w:firstLineChars="200"/>
        <w:outlineLvl w:val="1"/>
        <w:rPr>
          <w:rFonts w:hint="eastAsia" w:ascii="宋体" w:hAnsi="宋体" w:cs="宋体"/>
          <w:b/>
          <w:sz w:val="24"/>
          <w:szCs w:val="24"/>
          <w:highlight w:val="none"/>
        </w:rPr>
      </w:pPr>
      <w:bookmarkStart w:id="63" w:name="_Toc363573857"/>
      <w:bookmarkEnd w:id="63"/>
      <w:r>
        <w:rPr>
          <w:rFonts w:hint="eastAsia" w:ascii="宋体" w:hAnsi="宋体" w:cs="宋体"/>
          <w:b/>
          <w:sz w:val="24"/>
          <w:szCs w:val="24"/>
          <w:highlight w:val="none"/>
        </w:rPr>
        <w:t>一、单位组织磋商</w:t>
      </w:r>
    </w:p>
    <w:p w14:paraId="1154F55A">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1、本次竞争性磋商依据《中华人民共和国政府采购法》、《政府采购竞争性磋商采购方式管理暂行办法》及有关法规成立磋商小组。</w:t>
      </w:r>
    </w:p>
    <w:p w14:paraId="091FE98C">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2、磋商小组的职责：</w:t>
      </w:r>
    </w:p>
    <w:p w14:paraId="7C75931E">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（1）磋商小组成员应当按照客观、公正、审慎的原则，根据磋商文件规定的评审程序、评审方法和评审标准进行独立评审。</w:t>
      </w:r>
    </w:p>
    <w:p w14:paraId="13AA319A">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（2）磋商小组成员应当遵守评审工作纪律，不得泄露评审情况和评审中获悉的商业秘密，对个人的评审意见承担法律责任；</w:t>
      </w:r>
    </w:p>
    <w:p w14:paraId="59FB5C34">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（3）磋商小组成员在评审过程中发现供应商有行贿、提供虚假材料或者串通等违法行为的，应当及时向财政部门报告。</w:t>
      </w:r>
    </w:p>
    <w:p w14:paraId="2084844C">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（4）磋商小组成员在评审过程中受到非法干涉的，应当及时向财政、监察等部门举报。</w:t>
      </w:r>
    </w:p>
    <w:p w14:paraId="04641663">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（5）配合采购单位答复供应商提出的质疑；配合财政部门的投诉处理和监督检查工作。</w:t>
      </w:r>
    </w:p>
    <w:p w14:paraId="33396434">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3、评审有关记录由磋商小组成员签名，存档备查。</w:t>
      </w:r>
    </w:p>
    <w:p w14:paraId="2E3BD377">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4、供应商的法定代表人或被授权人须持身份证准时参加磋商开标会。</w:t>
      </w:r>
    </w:p>
    <w:p w14:paraId="2B1901BA">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二、磋商的原则及方法</w:t>
      </w:r>
    </w:p>
    <w:p w14:paraId="218D85ED">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1、磋商小组依据《中华人民共和国政府采购法》、《政府采购竞争性磋商采购方式管理暂行办法》以及有关政府采购的相关法规，遵循“公开、公平、公正、择优、信用”的原则进行磋商评审。</w:t>
      </w:r>
    </w:p>
    <w:p w14:paraId="4F04E5BF">
      <w:pPr>
        <w:snapToGrid w:val="0"/>
        <w:spacing w:line="48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2、磋商小组将按照竞争性磋商文件的规定，独立对每个进入打分程序的有效投标供应商的响应文件的技术部分以打分的形式进行评审和评价。技术分取所有评委的算术平均值（计算结果均四舍五入保留两位小数）。</w:t>
      </w:r>
    </w:p>
    <w:p w14:paraId="14E0C49A">
      <w:pPr>
        <w:snapToGrid w:val="0"/>
        <w:spacing w:line="480" w:lineRule="exact"/>
        <w:ind w:firstLine="484" w:firstLineChars="202"/>
        <w:rPr>
          <w:rFonts w:hint="eastAsia" w:ascii="宋体" w:hAnsi="宋体" w:cs="宋体"/>
          <w:sz w:val="24"/>
          <w:szCs w:val="24"/>
          <w:highlight w:val="none"/>
        </w:rPr>
      </w:pPr>
      <w:r>
        <w:rPr>
          <w:rFonts w:hint="eastAsia" w:ascii="宋体" w:hAnsi="宋体" w:cs="宋体"/>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315712F5">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4、磋商小组所有成员应当集中与单一供应商分别进行磋商，并给予所有参加磋商的供应商平等的磋商机会。</w:t>
      </w:r>
    </w:p>
    <w:p w14:paraId="42ADB427">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5、在磋商过程中，磋商小组可以根据磋商文件和磋商情况实质性变动采购需求中的技术、服务要求以及合同草案条款，但不得变动磋商文件中的其他内容。实质性变动的内容，须经采购单位代表确认。</w:t>
      </w:r>
    </w:p>
    <w:p w14:paraId="6CEAEF89">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6、对磋商文件作出的实质性变动是磋商文件的有效组成部分，磋商小组应当及时以书面形式同时通知所有参加磋商的供应商。</w:t>
      </w:r>
    </w:p>
    <w:p w14:paraId="0606D8B6">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14:paraId="711554ED">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经磋商确定最终采购需求和提交最后报价的供应商：磋商文件能够详细列明采购标的的技术、服务要求的，磋商结束后，磋商小组应当要求所有实质性响应的供应商在规定时间内提交最后报价，提交最后报价的供应商不得少于3家。</w:t>
      </w:r>
    </w:p>
    <w:p w14:paraId="2C722E3D">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228DFB6">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10、除非在磋商中磋商小组对采购单位需求内容作了调整增加，或对采购内容作了实质性变更，否则</w:t>
      </w:r>
      <w:r>
        <w:rPr>
          <w:rFonts w:hint="eastAsia" w:ascii="宋体" w:hAnsi="宋体" w:cs="宋体"/>
          <w:b/>
          <w:sz w:val="24"/>
          <w:szCs w:val="24"/>
          <w:highlight w:val="none"/>
        </w:rPr>
        <w:t>采购单位不接受供应商高于自己前一轮的磋商报价</w:t>
      </w:r>
      <w:r>
        <w:rPr>
          <w:rFonts w:hint="eastAsia" w:ascii="宋体" w:hAnsi="宋体" w:cs="宋体"/>
          <w:sz w:val="24"/>
          <w:szCs w:val="24"/>
          <w:highlight w:val="none"/>
        </w:rPr>
        <w:t>。</w:t>
      </w:r>
    </w:p>
    <w:p w14:paraId="5FD9EAA0">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11、对于在磋商顺利开始后至最终报价前，根据磋商情况退出磋商的供应商，须以书面形式说明退出磋商的原因，经磋商小组同意可以退出磋商。</w:t>
      </w:r>
    </w:p>
    <w:p w14:paraId="64D0A9AA">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12、在磋商中，磋商的任何一方不得透露与磋商有关的其他响应磋商的供应商的技术资料、价格及其他信息。</w:t>
      </w:r>
    </w:p>
    <w:p w14:paraId="5DD22CDC">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13、凡两家或以上公司同一法人代表或其中一家公司为另一家公司单一最大股东的，不能同时参与同一采购项目相同标段的磋商采购活动，一经发现，将视同串标处理。</w:t>
      </w:r>
    </w:p>
    <w:p w14:paraId="1FFAE63C">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2A3E9DF1">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三、磋商评定结果的方法</w:t>
      </w:r>
    </w:p>
    <w:p w14:paraId="419C576C">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sz w:val="24"/>
          <w:szCs w:val="24"/>
          <w:highlight w:val="none"/>
          <w:u w:val="single"/>
        </w:rPr>
        <w:t>经磋商确定最终采购需求和提交最后报价的供应商后，</w:t>
      </w:r>
      <w:r>
        <w:rPr>
          <w:rFonts w:hint="eastAsia" w:ascii="宋体" w:hAnsi="宋体" w:cs="宋体"/>
          <w:sz w:val="24"/>
          <w:szCs w:val="24"/>
          <w:highlight w:val="none"/>
        </w:rPr>
        <w:t>由磋商小组采用综合评分法</w:t>
      </w:r>
      <w:r>
        <w:rPr>
          <w:rFonts w:hint="eastAsia" w:ascii="宋体" w:hAnsi="宋体" w:cs="宋体"/>
          <w:b/>
          <w:sz w:val="24"/>
          <w:szCs w:val="24"/>
          <w:highlight w:val="none"/>
          <w:u w:val="single"/>
        </w:rPr>
        <w:t>对提交最后报价的供应商的响应文件和最后报价</w:t>
      </w:r>
      <w:r>
        <w:rPr>
          <w:rFonts w:hint="eastAsia" w:ascii="宋体" w:hAnsi="宋体" w:cs="宋体"/>
          <w:sz w:val="24"/>
          <w:szCs w:val="24"/>
          <w:highlight w:val="none"/>
        </w:rPr>
        <w:t>进行综合评分。</w:t>
      </w:r>
    </w:p>
    <w:p w14:paraId="05C4DF7D">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2、评审时，磋商小组各成员应当独立对每个有效响应的文件进行评价、打分，然后汇总每个供应商每项评分因素的得分（计算结果均四舍五入保留两位小数）。</w:t>
      </w:r>
    </w:p>
    <w:p w14:paraId="0356BFE0">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3、本次项目磋商的技术和商务报价评审总分值为100分。两部分评审因素比重如下： </w:t>
      </w:r>
    </w:p>
    <w:p w14:paraId="2D4CF714">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技术分值占总分值的比重为</w:t>
      </w:r>
      <w:r>
        <w:rPr>
          <w:rFonts w:hint="eastAsia" w:ascii="宋体" w:hAnsi="宋体" w:cs="宋体"/>
          <w:b/>
          <w:sz w:val="24"/>
          <w:szCs w:val="24"/>
          <w:highlight w:val="none"/>
          <w:u w:val="single"/>
        </w:rPr>
        <w:t xml:space="preserve"> 70%（权重）</w:t>
      </w:r>
      <w:r>
        <w:rPr>
          <w:rFonts w:hint="eastAsia" w:ascii="宋体" w:hAnsi="宋体" w:cs="宋体"/>
          <w:sz w:val="24"/>
          <w:szCs w:val="24"/>
          <w:highlight w:val="none"/>
        </w:rPr>
        <w:t>（四舍五入保留两位小数）；</w:t>
      </w:r>
    </w:p>
    <w:p w14:paraId="66EFAF1B">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商务报价分值占总分值的比重为</w:t>
      </w:r>
      <w:r>
        <w:rPr>
          <w:rFonts w:hint="eastAsia" w:ascii="宋体" w:hAnsi="宋体" w:cs="宋体"/>
          <w:b/>
          <w:sz w:val="24"/>
          <w:szCs w:val="24"/>
          <w:highlight w:val="none"/>
          <w:u w:val="single"/>
        </w:rPr>
        <w:t xml:space="preserve">30%（权重） </w:t>
      </w:r>
      <w:r>
        <w:rPr>
          <w:rFonts w:hint="eastAsia" w:ascii="宋体" w:hAnsi="宋体" w:cs="宋体"/>
          <w:sz w:val="24"/>
          <w:szCs w:val="24"/>
          <w:highlight w:val="none"/>
        </w:rPr>
        <w:t>（四舍五入保留两位小数）。</w:t>
      </w:r>
    </w:p>
    <w:p w14:paraId="1AE52545">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4、技术分按所有评委算术平均值计算，分值四舍五入保留两位小数。</w:t>
      </w:r>
    </w:p>
    <w:p w14:paraId="7D221140">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5、商务报价分统一采用低价优先法计算直接取得，与技术分相加为供应商的综合得分（四舍五入保留两位小数）。</w:t>
      </w:r>
    </w:p>
    <w:p w14:paraId="150654C1">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6、综合得分最高的供应商推荐为项目预成交人并出具评审磋商报告。</w:t>
      </w:r>
    </w:p>
    <w:p w14:paraId="42E815F8">
      <w:pPr>
        <w:snapToGrid w:val="0"/>
        <w:spacing w:line="48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 xml:space="preserve">7、确定成交候选人的特殊情况处理： </w:t>
      </w:r>
    </w:p>
    <w:p w14:paraId="5E585D02">
      <w:pPr>
        <w:snapToGrid w:val="0"/>
        <w:spacing w:line="48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（1）若总分相同，则按最终报价响应得分高者优先中标。</w:t>
      </w:r>
    </w:p>
    <w:p w14:paraId="71B1F504">
      <w:pPr>
        <w:snapToGrid w:val="0"/>
        <w:spacing w:line="48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（2）若总分且最终报价响应得分相同，则采取现场抽签的方式确定（投标供应商的抽签顺序分别为各投标供应商递交响应文件签到顺序号）。</w:t>
      </w:r>
    </w:p>
    <w:p w14:paraId="58C35B31">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8、磋商评审时，评委对评审的细则若有争议，由磋商小组集体讨论确定，并对未尽情况有最终解释权。</w:t>
      </w:r>
    </w:p>
    <w:p w14:paraId="11BEEB87">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9、对落标的供应商不做落标原因的解释。</w:t>
      </w:r>
    </w:p>
    <w:p w14:paraId="6C275FDC">
      <w:pPr>
        <w:snapToGrid w:val="0"/>
        <w:spacing w:line="480" w:lineRule="exact"/>
        <w:ind w:firstLine="482" w:firstLineChars="200"/>
        <w:outlineLvl w:val="1"/>
        <w:rPr>
          <w:rFonts w:ascii="宋体" w:hAnsi="宋体" w:cs="宋体"/>
          <w:b/>
          <w:sz w:val="24"/>
          <w:szCs w:val="24"/>
          <w:highlight w:val="none"/>
        </w:rPr>
      </w:pPr>
      <w:r>
        <w:rPr>
          <w:rFonts w:hint="eastAsia" w:ascii="宋体" w:hAnsi="宋体" w:cs="宋体"/>
          <w:b/>
          <w:sz w:val="24"/>
          <w:szCs w:val="24"/>
          <w:highlight w:val="none"/>
        </w:rPr>
        <w:t>四、综合评分评审标准</w:t>
      </w:r>
    </w:p>
    <w:p w14:paraId="6D4C5042">
      <w:pPr>
        <w:snapToGrid w:val="0"/>
        <w:spacing w:line="480" w:lineRule="exact"/>
        <w:ind w:firstLine="484" w:firstLineChars="202"/>
        <w:outlineLvl w:val="2"/>
        <w:rPr>
          <w:rFonts w:hint="eastAsia" w:ascii="宋体" w:hAnsi="宋体" w:cs="宋体"/>
          <w:sz w:val="24"/>
          <w:szCs w:val="24"/>
          <w:highlight w:val="none"/>
        </w:rPr>
      </w:pPr>
      <w:r>
        <w:rPr>
          <w:rFonts w:hint="eastAsia" w:ascii="宋体" w:hAnsi="宋体" w:cs="宋体"/>
          <w:sz w:val="24"/>
          <w:szCs w:val="24"/>
          <w:highlight w:val="none"/>
        </w:rPr>
        <w:t>（一）技术分：（70分）</w:t>
      </w:r>
    </w:p>
    <w:tbl>
      <w:tblPr>
        <w:tblStyle w:val="52"/>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918"/>
        <w:gridCol w:w="750"/>
        <w:gridCol w:w="6662"/>
      </w:tblGrid>
      <w:tr w14:paraId="0377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094" w:type="dxa"/>
            <w:noWrap w:val="0"/>
            <w:vAlign w:val="center"/>
          </w:tcPr>
          <w:p w14:paraId="6415B7AF">
            <w:pPr>
              <w:jc w:val="center"/>
              <w:rPr>
                <w:rFonts w:hint="eastAsia" w:ascii="宋体" w:hAnsi="宋体" w:eastAsia="宋体" w:cs="宋体"/>
                <w:b/>
                <w:iCs/>
                <w:sz w:val="24"/>
                <w:szCs w:val="24"/>
                <w:highlight w:val="none"/>
                <w:lang w:val="en-GB"/>
              </w:rPr>
            </w:pPr>
            <w:r>
              <w:rPr>
                <w:rFonts w:hint="eastAsia" w:ascii="宋体" w:hAnsi="宋体" w:eastAsia="宋体" w:cs="宋体"/>
                <w:b/>
                <w:iCs/>
                <w:sz w:val="24"/>
                <w:szCs w:val="24"/>
                <w:highlight w:val="none"/>
              </w:rPr>
              <w:t>评分项</w:t>
            </w:r>
          </w:p>
        </w:tc>
        <w:tc>
          <w:tcPr>
            <w:tcW w:w="918" w:type="dxa"/>
            <w:noWrap w:val="0"/>
            <w:vAlign w:val="center"/>
          </w:tcPr>
          <w:p w14:paraId="41C58372">
            <w:pPr>
              <w:jc w:val="center"/>
              <w:rPr>
                <w:rFonts w:hint="eastAsia" w:ascii="宋体" w:hAnsi="宋体" w:eastAsia="宋体" w:cs="宋体"/>
                <w:b/>
                <w:iCs/>
                <w:sz w:val="24"/>
                <w:szCs w:val="24"/>
                <w:highlight w:val="none"/>
              </w:rPr>
            </w:pPr>
            <w:r>
              <w:rPr>
                <w:rFonts w:hint="eastAsia" w:ascii="宋体" w:hAnsi="宋体" w:eastAsia="宋体" w:cs="宋体"/>
                <w:b/>
                <w:iCs/>
                <w:sz w:val="24"/>
                <w:szCs w:val="24"/>
                <w:highlight w:val="none"/>
              </w:rPr>
              <w:t>细则</w:t>
            </w:r>
          </w:p>
        </w:tc>
        <w:tc>
          <w:tcPr>
            <w:tcW w:w="750" w:type="dxa"/>
            <w:noWrap w:val="0"/>
            <w:vAlign w:val="center"/>
          </w:tcPr>
          <w:p w14:paraId="4FDC9C3E">
            <w:pPr>
              <w:jc w:val="center"/>
              <w:rPr>
                <w:rFonts w:hint="eastAsia" w:ascii="宋体" w:hAnsi="宋体" w:eastAsia="宋体" w:cs="宋体"/>
                <w:b/>
                <w:iCs/>
                <w:sz w:val="24"/>
                <w:szCs w:val="24"/>
                <w:highlight w:val="none"/>
              </w:rPr>
            </w:pPr>
            <w:r>
              <w:rPr>
                <w:rFonts w:hint="eastAsia" w:ascii="宋体" w:hAnsi="宋体" w:eastAsia="宋体" w:cs="宋体"/>
                <w:b/>
                <w:iCs/>
                <w:sz w:val="24"/>
                <w:szCs w:val="24"/>
                <w:highlight w:val="none"/>
              </w:rPr>
              <w:t>分值</w:t>
            </w:r>
          </w:p>
        </w:tc>
        <w:tc>
          <w:tcPr>
            <w:tcW w:w="6662" w:type="dxa"/>
            <w:noWrap w:val="0"/>
            <w:vAlign w:val="center"/>
          </w:tcPr>
          <w:p w14:paraId="735BD9B2">
            <w:pPr>
              <w:jc w:val="center"/>
              <w:rPr>
                <w:rFonts w:hint="eastAsia" w:ascii="宋体" w:hAnsi="宋体" w:eastAsia="宋体" w:cs="宋体"/>
                <w:b/>
                <w:iCs/>
                <w:sz w:val="24"/>
                <w:szCs w:val="24"/>
                <w:highlight w:val="none"/>
              </w:rPr>
            </w:pPr>
            <w:r>
              <w:rPr>
                <w:rFonts w:hint="eastAsia" w:ascii="宋体" w:hAnsi="宋体" w:eastAsia="宋体" w:cs="宋体"/>
                <w:b/>
                <w:iCs/>
                <w:sz w:val="24"/>
                <w:szCs w:val="24"/>
                <w:highlight w:val="none"/>
              </w:rPr>
              <w:t>评价标准</w:t>
            </w:r>
          </w:p>
        </w:tc>
      </w:tr>
      <w:tr w14:paraId="62C8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094" w:type="dxa"/>
            <w:noWrap w:val="0"/>
            <w:vAlign w:val="center"/>
          </w:tcPr>
          <w:p w14:paraId="3700EA6A">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安装方案评审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tc>
        <w:tc>
          <w:tcPr>
            <w:tcW w:w="918" w:type="dxa"/>
            <w:noWrap w:val="0"/>
            <w:vAlign w:val="center"/>
          </w:tcPr>
          <w:p w14:paraId="3FD1411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安装方案</w:t>
            </w:r>
          </w:p>
        </w:tc>
        <w:tc>
          <w:tcPr>
            <w:tcW w:w="750" w:type="dxa"/>
            <w:noWrap w:val="0"/>
            <w:vAlign w:val="center"/>
          </w:tcPr>
          <w:p w14:paraId="47F4236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6662" w:type="dxa"/>
            <w:noWrap w:val="0"/>
            <w:vAlign w:val="center"/>
          </w:tcPr>
          <w:p w14:paraId="20223AD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供应商应积极响应招标文件要求，针对本项目提供</w:t>
            </w:r>
            <w:r>
              <w:rPr>
                <w:rFonts w:hint="eastAsia" w:ascii="宋体" w:hAnsi="宋体" w:eastAsia="宋体" w:cs="宋体"/>
                <w:sz w:val="24"/>
                <w:szCs w:val="24"/>
                <w:highlight w:val="none"/>
                <w:lang w:val="en-US" w:eastAsia="zh-CN"/>
              </w:rPr>
              <w:t>安装方案；</w:t>
            </w:r>
          </w:p>
          <w:p w14:paraId="638E6287">
            <w:pPr>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1.安装流程规范严谨、安全防护全面、操作高效精准，符合技术标准要求的得15</w:t>
            </w:r>
            <w:r>
              <w:rPr>
                <w:rFonts w:hint="eastAsia" w:ascii="宋体" w:hAnsi="宋体" w:eastAsia="宋体" w:cs="宋体"/>
                <w:sz w:val="24"/>
                <w:szCs w:val="24"/>
                <w:highlight w:val="none"/>
                <w:lang w:val="zh-CN" w:eastAsia="zh-CN"/>
              </w:rPr>
              <w:t>分；</w:t>
            </w:r>
          </w:p>
          <w:p w14:paraId="1C58C4CE">
            <w:pPr>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2.安装流程基本合规，但存在部分疏漏或轻微隐患，需针对性整改以提升安全性与质量的得10</w:t>
            </w:r>
            <w:r>
              <w:rPr>
                <w:rFonts w:hint="eastAsia" w:ascii="宋体" w:hAnsi="宋体" w:eastAsia="宋体" w:cs="宋体"/>
                <w:sz w:val="24"/>
                <w:szCs w:val="24"/>
                <w:highlight w:val="none"/>
                <w:lang w:val="zh-CN" w:eastAsia="zh-CN"/>
              </w:rPr>
              <w:t>分；</w:t>
            </w:r>
          </w:p>
          <w:p w14:paraId="0809032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3.安装流程存有违规或系统性缺陷或安全隐患的</w:t>
            </w:r>
            <w:r>
              <w:rPr>
                <w:rFonts w:hint="eastAsia" w:ascii="宋体" w:hAnsi="宋体" w:eastAsia="宋体" w:cs="宋体"/>
                <w:sz w:val="24"/>
                <w:szCs w:val="24"/>
                <w:highlight w:val="none"/>
                <w:lang w:val="zh-CN" w:eastAsia="zh-CN"/>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eastAsia="zh-CN"/>
              </w:rPr>
              <w:t>分；</w:t>
            </w:r>
          </w:p>
        </w:tc>
      </w:tr>
      <w:tr w14:paraId="5294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94" w:type="dxa"/>
            <w:noWrap w:val="0"/>
            <w:vAlign w:val="center"/>
          </w:tcPr>
          <w:p w14:paraId="6418EF10">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资信评审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918" w:type="dxa"/>
            <w:noWrap w:val="0"/>
            <w:vAlign w:val="center"/>
          </w:tcPr>
          <w:p w14:paraId="30CC1F97">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资质信誉</w:t>
            </w:r>
          </w:p>
        </w:tc>
        <w:tc>
          <w:tcPr>
            <w:tcW w:w="750" w:type="dxa"/>
            <w:noWrap w:val="0"/>
            <w:vAlign w:val="center"/>
          </w:tcPr>
          <w:p w14:paraId="463440DD">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6662" w:type="dxa"/>
            <w:noWrap w:val="0"/>
            <w:vAlign w:val="center"/>
          </w:tcPr>
          <w:p w14:paraId="55F2471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供应商具有效期内ISO9001 系列质量管理体系认证证书得 1分；</w:t>
            </w:r>
          </w:p>
          <w:p w14:paraId="1C62AA3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供应商具有效期内ISO9001 系列环境管理体系认证证书得 1分；</w:t>
            </w:r>
          </w:p>
          <w:p w14:paraId="73484C95">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供应商具有效期内ISO9001 系列职业健康安全管理体系认证证书得 1分；</w:t>
            </w:r>
          </w:p>
          <w:p w14:paraId="1B2D0CF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供应商具有效期内售后服务认证证书得1分；</w:t>
            </w:r>
          </w:p>
          <w:p w14:paraId="69DBA30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供应商配备的专业服务团队，拟派人员每多一人具有安全员C证、电工证、焊接证、高空作业证，每个各得1分，共4分（可为同一人员，每有一个证书就有分）；</w:t>
            </w:r>
          </w:p>
          <w:p w14:paraId="64088C1C">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（附人员清单）提供以上拟派人员名单、以上相关证书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供应商为其缴纳的近3个月的社保缴纳证明资料复印件加盖公章</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供应商为其缴纳</w:t>
            </w:r>
            <w:r>
              <w:rPr>
                <w:rFonts w:hint="eastAsia" w:ascii="宋体" w:hAnsi="宋体" w:cs="宋体"/>
                <w:sz w:val="24"/>
                <w:szCs w:val="24"/>
                <w:highlight w:val="none"/>
                <w:lang w:val="en-US" w:eastAsia="zh-CN"/>
              </w:rPr>
              <w:t>的意外险缴纳证明复印件加盖公章</w:t>
            </w:r>
            <w:r>
              <w:rPr>
                <w:rFonts w:hint="eastAsia" w:ascii="宋体" w:hAnsi="宋体" w:eastAsia="宋体" w:cs="宋体"/>
                <w:sz w:val="24"/>
                <w:szCs w:val="24"/>
                <w:highlight w:val="none"/>
                <w:lang w:val="en-US" w:eastAsia="zh-CN"/>
              </w:rPr>
              <w:t>。</w:t>
            </w:r>
          </w:p>
        </w:tc>
      </w:tr>
      <w:tr w14:paraId="5CA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noWrap w:val="0"/>
            <w:vAlign w:val="center"/>
          </w:tcPr>
          <w:p w14:paraId="53BAAD4B">
            <w:pPr>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业绩</w:t>
            </w:r>
            <w:r>
              <w:rPr>
                <w:rFonts w:hint="eastAsia" w:ascii="宋体" w:hAnsi="宋体" w:eastAsia="宋体" w:cs="宋体"/>
                <w:color w:val="000000"/>
                <w:sz w:val="24"/>
                <w:szCs w:val="24"/>
                <w:highlight w:val="none"/>
                <w:lang w:val="en-US" w:eastAsia="zh-CN"/>
              </w:rPr>
              <w:t>评审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918" w:type="dxa"/>
            <w:noWrap w:val="0"/>
            <w:vAlign w:val="center"/>
          </w:tcPr>
          <w:p w14:paraId="0EE7A7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同类项目</w:t>
            </w:r>
          </w:p>
          <w:p w14:paraId="3901CA4C">
            <w:pPr>
              <w:jc w:val="center"/>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经验</w:t>
            </w:r>
          </w:p>
        </w:tc>
        <w:tc>
          <w:tcPr>
            <w:tcW w:w="750" w:type="dxa"/>
            <w:noWrap w:val="0"/>
            <w:vAlign w:val="center"/>
          </w:tcPr>
          <w:p w14:paraId="674516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6662" w:type="dxa"/>
            <w:noWrap w:val="0"/>
            <w:vAlign w:val="center"/>
          </w:tcPr>
          <w:p w14:paraId="5B99F63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根据供应商提交的有效案例</w:t>
            </w:r>
            <w:r>
              <w:rPr>
                <w:rFonts w:hint="eastAsia" w:ascii="宋体" w:hAnsi="宋体" w:eastAsia="宋体" w:cs="宋体"/>
                <w:sz w:val="24"/>
                <w:szCs w:val="24"/>
                <w:highlight w:val="none"/>
                <w:lang w:val="en-US" w:eastAsia="zh-CN"/>
              </w:rPr>
              <w:t>及资质</w:t>
            </w:r>
            <w:r>
              <w:rPr>
                <w:rFonts w:hint="eastAsia" w:ascii="宋体" w:hAnsi="宋体" w:eastAsia="宋体" w:cs="宋体"/>
                <w:sz w:val="24"/>
                <w:szCs w:val="24"/>
                <w:highlight w:val="none"/>
              </w:rPr>
              <w:t>情况，进行评分。</w:t>
            </w:r>
          </w:p>
          <w:p w14:paraId="3EE4709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rPr>
              <w:t>20</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2</w:t>
            </w:r>
            <w:r>
              <w:rPr>
                <w:rFonts w:hint="eastAsia" w:ascii="宋体" w:hAnsi="宋体" w:eastAsia="宋体" w:cs="宋体"/>
                <w:sz w:val="24"/>
                <w:szCs w:val="24"/>
                <w:highlight w:val="none"/>
                <w:u w:val="none"/>
              </w:rPr>
              <w:t>年01月01日以来完成</w:t>
            </w:r>
            <w:r>
              <w:rPr>
                <w:rFonts w:hint="eastAsia" w:ascii="宋体" w:hAnsi="宋体" w:eastAsia="宋体" w:cs="宋体"/>
                <w:sz w:val="24"/>
                <w:szCs w:val="24"/>
                <w:highlight w:val="none"/>
                <w:u w:val="none"/>
                <w:lang w:val="en-US" w:eastAsia="zh-CN"/>
              </w:rPr>
              <w:t>楼体发光字制作安装</w:t>
            </w:r>
            <w:r>
              <w:rPr>
                <w:rFonts w:hint="eastAsia" w:ascii="宋体" w:hAnsi="宋体" w:eastAsia="宋体" w:cs="宋体"/>
                <w:sz w:val="24"/>
                <w:szCs w:val="24"/>
                <w:highlight w:val="none"/>
                <w:u w:val="none"/>
              </w:rPr>
              <w:t>业绩</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val="en-US" w:eastAsia="zh-CN"/>
              </w:rPr>
              <w:t>每具有一个业绩得3分，最高得9分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没有业绩得0分</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注：投标文件中须提供合同及</w:t>
            </w:r>
            <w:r>
              <w:rPr>
                <w:rFonts w:hint="eastAsia" w:ascii="宋体" w:hAnsi="宋体" w:cs="宋体"/>
                <w:sz w:val="24"/>
                <w:szCs w:val="24"/>
                <w:highlight w:val="none"/>
                <w:u w:val="none"/>
                <w:lang w:val="en-US" w:eastAsia="zh-CN"/>
              </w:rPr>
              <w:t>对应项目发票</w:t>
            </w:r>
            <w:r>
              <w:rPr>
                <w:rFonts w:hint="eastAsia" w:ascii="宋体" w:hAnsi="宋体" w:eastAsia="宋体" w:cs="宋体"/>
                <w:sz w:val="24"/>
                <w:szCs w:val="24"/>
                <w:highlight w:val="none"/>
                <w:u w:val="none"/>
              </w:rPr>
              <w:t>）复印件，时间以</w:t>
            </w:r>
            <w:r>
              <w:rPr>
                <w:rFonts w:hint="eastAsia" w:ascii="宋体" w:hAnsi="宋体" w:cs="宋体"/>
                <w:sz w:val="24"/>
                <w:szCs w:val="24"/>
                <w:highlight w:val="none"/>
                <w:u w:val="none"/>
                <w:lang w:val="en-US" w:eastAsia="zh-CN"/>
              </w:rPr>
              <w:t>发票</w:t>
            </w:r>
            <w:r>
              <w:rPr>
                <w:rFonts w:hint="eastAsia" w:ascii="宋体" w:hAnsi="宋体" w:eastAsia="宋体" w:cs="宋体"/>
                <w:sz w:val="24"/>
                <w:szCs w:val="24"/>
                <w:highlight w:val="none"/>
                <w:u w:val="none"/>
              </w:rPr>
              <w:t>时间为准</w:t>
            </w:r>
            <w:r>
              <w:rPr>
                <w:rFonts w:hint="eastAsia" w:ascii="宋体" w:hAnsi="宋体" w:eastAsia="宋体" w:cs="宋体"/>
                <w:sz w:val="24"/>
                <w:szCs w:val="24"/>
                <w:highlight w:val="none"/>
                <w:u w:val="none"/>
                <w:lang w:eastAsia="zh-CN"/>
              </w:rPr>
              <w:t>。</w:t>
            </w:r>
          </w:p>
        </w:tc>
      </w:tr>
      <w:tr w14:paraId="0A88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restart"/>
            <w:noWrap w:val="0"/>
            <w:vAlign w:val="center"/>
          </w:tcPr>
          <w:p w14:paraId="2F28C796">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施工组织</w:t>
            </w:r>
            <w:r>
              <w:rPr>
                <w:rFonts w:hint="eastAsia" w:ascii="宋体" w:hAnsi="宋体" w:eastAsia="宋体" w:cs="宋体"/>
                <w:sz w:val="24"/>
                <w:szCs w:val="24"/>
                <w:highlight w:val="none"/>
                <w:lang w:val="en-US" w:eastAsia="zh-CN"/>
              </w:rPr>
              <w:t>及其他</w:t>
            </w:r>
            <w:r>
              <w:rPr>
                <w:rFonts w:hint="eastAsia" w:ascii="宋体" w:hAnsi="宋体" w:eastAsia="宋体" w:cs="宋体"/>
                <w:sz w:val="24"/>
                <w:szCs w:val="24"/>
                <w:highlight w:val="none"/>
              </w:rPr>
              <w:t>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38分</w:t>
            </w:r>
            <w:r>
              <w:rPr>
                <w:rFonts w:hint="eastAsia" w:ascii="宋体" w:hAnsi="宋体" w:eastAsia="宋体" w:cs="宋体"/>
                <w:sz w:val="24"/>
                <w:szCs w:val="24"/>
                <w:highlight w:val="none"/>
                <w:lang w:eastAsia="zh-CN"/>
              </w:rPr>
              <w:t>）</w:t>
            </w:r>
          </w:p>
        </w:tc>
        <w:tc>
          <w:tcPr>
            <w:tcW w:w="918" w:type="dxa"/>
            <w:noWrap w:val="0"/>
            <w:vAlign w:val="center"/>
          </w:tcPr>
          <w:p w14:paraId="624FAD48">
            <w:pPr>
              <w:jc w:val="center"/>
              <w:rPr>
                <w:rFonts w:hint="eastAsia" w:eastAsia="宋体"/>
                <w:highlight w:val="none"/>
                <w:lang w:eastAsia="zh-CN"/>
              </w:rPr>
            </w:pPr>
            <w:r>
              <w:rPr>
                <w:rFonts w:hint="eastAsia" w:ascii="宋体" w:hAnsi="宋体" w:eastAsia="宋体" w:cs="宋体"/>
                <w:sz w:val="24"/>
                <w:szCs w:val="24"/>
                <w:highlight w:val="none"/>
              </w:rPr>
              <w:t>施工组织方案</w:t>
            </w:r>
          </w:p>
        </w:tc>
        <w:tc>
          <w:tcPr>
            <w:tcW w:w="750" w:type="dxa"/>
            <w:noWrap w:val="0"/>
            <w:vAlign w:val="center"/>
          </w:tcPr>
          <w:p w14:paraId="2BF87EA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6662" w:type="dxa"/>
            <w:noWrap w:val="0"/>
            <w:vAlign w:val="center"/>
          </w:tcPr>
          <w:p w14:paraId="64843B74">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总体概述：主要的施工方法</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施工组织总体设想</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方案针对性及施工段划分；</w:t>
            </w:r>
          </w:p>
          <w:p w14:paraId="4C4B0BFB">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TW"/>
              </w:rPr>
              <w:t>方案详细、流程合理、具有较强的针对性，得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TW"/>
              </w:rPr>
              <w:t>分；</w:t>
            </w:r>
          </w:p>
          <w:p w14:paraId="22AEA2FA">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TW"/>
              </w:rPr>
              <w:t>方案较为详细、流程较为合理、针对性一般，得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TW"/>
              </w:rPr>
              <w:t>分；</w:t>
            </w:r>
          </w:p>
          <w:p w14:paraId="50A8F1F0">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方案简略、流程不具有可行性、针对性差，得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TW"/>
              </w:rPr>
              <w:t>分；</w:t>
            </w:r>
          </w:p>
          <w:p w14:paraId="633144E7">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施工进度计划和各阶段进度保证措施；</w:t>
            </w:r>
          </w:p>
          <w:p w14:paraId="0FE97149">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TW"/>
              </w:rPr>
              <w:t>方案详细、流程合理、具有较强的针对性，得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TW"/>
              </w:rPr>
              <w:t>分；</w:t>
            </w:r>
          </w:p>
          <w:p w14:paraId="412CE13B">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TW"/>
              </w:rPr>
              <w:t>方案较为详细、流程较为合理、针对性一般，得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TW"/>
              </w:rPr>
              <w:t>分；</w:t>
            </w:r>
          </w:p>
          <w:p w14:paraId="38DE225A">
            <w:pPr>
              <w:numPr>
                <w:ilvl w:val="0"/>
                <w:numId w:val="0"/>
              </w:num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方案简略、流程不具有可行性、针对性差，得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TW"/>
              </w:rPr>
              <w:t>分；</w:t>
            </w:r>
          </w:p>
          <w:p w14:paraId="26A70B95">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项目管理班子的人员、劳动力、机械设备和材料投入计划；</w:t>
            </w:r>
          </w:p>
          <w:p w14:paraId="15845269">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TW"/>
              </w:rPr>
              <w:t>方案详细、流程合理、具有较强的针对性，得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TW"/>
              </w:rPr>
              <w:t>分；</w:t>
            </w:r>
          </w:p>
          <w:p w14:paraId="78E249FA">
            <w:pPr>
              <w:numPr>
                <w:ilvl w:val="0"/>
                <w:numId w:val="0"/>
              </w:num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TW"/>
              </w:rPr>
              <w:t>方案较为详细、流程较为合理、针对性一般，得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TW"/>
              </w:rPr>
              <w:t>分；</w:t>
            </w:r>
          </w:p>
          <w:p w14:paraId="680E074A">
            <w:pPr>
              <w:numPr>
                <w:ilvl w:val="0"/>
                <w:numId w:val="0"/>
              </w:num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方案简略、流程不具有可行性、针对性差，得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TW"/>
              </w:rPr>
              <w:t>分；</w:t>
            </w:r>
          </w:p>
        </w:tc>
      </w:tr>
      <w:tr w14:paraId="1789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center"/>
          </w:tcPr>
          <w:p w14:paraId="6F91C930">
            <w:pPr>
              <w:jc w:val="left"/>
              <w:rPr>
                <w:rFonts w:hint="eastAsia" w:ascii="宋体" w:hAnsi="宋体" w:eastAsia="宋体" w:cs="宋体"/>
                <w:sz w:val="24"/>
                <w:szCs w:val="24"/>
                <w:highlight w:val="none"/>
              </w:rPr>
            </w:pPr>
          </w:p>
        </w:tc>
        <w:tc>
          <w:tcPr>
            <w:tcW w:w="918" w:type="dxa"/>
            <w:noWrap w:val="0"/>
            <w:vAlign w:val="center"/>
          </w:tcPr>
          <w:p w14:paraId="66A9F0C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安全文明服务措施</w:t>
            </w:r>
          </w:p>
        </w:tc>
        <w:tc>
          <w:tcPr>
            <w:tcW w:w="750" w:type="dxa"/>
            <w:noWrap w:val="0"/>
            <w:vAlign w:val="center"/>
          </w:tcPr>
          <w:p w14:paraId="6CCFB4A6">
            <w:pPr>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16</w:t>
            </w:r>
          </w:p>
        </w:tc>
        <w:tc>
          <w:tcPr>
            <w:tcW w:w="6662" w:type="dxa"/>
            <w:noWrap w:val="0"/>
            <w:vAlign w:val="center"/>
          </w:tcPr>
          <w:p w14:paraId="71DDB0E2">
            <w:p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rPr>
              <w:t>根据供应商针对本项目</w:t>
            </w:r>
            <w:r>
              <w:rPr>
                <w:rFonts w:hint="eastAsia" w:ascii="宋体" w:hAnsi="宋体" w:eastAsia="宋体" w:cs="宋体"/>
                <w:sz w:val="24"/>
                <w:szCs w:val="24"/>
                <w:highlight w:val="none"/>
                <w:lang w:val="zh-TW"/>
              </w:rPr>
              <w:t>提供的安全、文明服务措施进行评分</w:t>
            </w:r>
            <w:r>
              <w:rPr>
                <w:rFonts w:hint="eastAsia" w:ascii="宋体" w:hAnsi="宋体" w:eastAsia="宋体" w:cs="宋体"/>
                <w:sz w:val="24"/>
                <w:szCs w:val="24"/>
                <w:highlight w:val="none"/>
              </w:rPr>
              <w:t>，内容包括但不限于：</w:t>
            </w:r>
            <w:r>
              <w:rPr>
                <w:rFonts w:hint="eastAsia" w:ascii="宋体" w:hAnsi="宋体" w:eastAsia="宋体" w:cs="宋体"/>
                <w:sz w:val="24"/>
                <w:szCs w:val="24"/>
                <w:highlight w:val="none"/>
                <w:lang w:val="zh-TW"/>
              </w:rPr>
              <w:t>安全技术措施；安全管理制度；文明服务方案（包括绿色环保措施、防尘降噪措施、服务现场卫生及材料保护措施等）。</w:t>
            </w:r>
          </w:p>
          <w:p w14:paraId="358F485B">
            <w:p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zh-TW"/>
              </w:rPr>
              <w:t>方案详细、流程合理、具有较强的针对性，得</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zh-TW"/>
              </w:rPr>
              <w:t>分；</w:t>
            </w:r>
          </w:p>
          <w:p w14:paraId="78AFBBE5">
            <w:p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TW"/>
              </w:rPr>
              <w:t>服务方案较为详细、流程较为合理、针对性一般，得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zh-TW"/>
              </w:rPr>
              <w:t>分；</w:t>
            </w:r>
          </w:p>
          <w:p w14:paraId="11159A10">
            <w:pPr>
              <w:jc w:val="left"/>
              <w:rPr>
                <w:rFonts w:hint="eastAsia" w:ascii="宋体" w:hAnsi="宋体" w:eastAsia="宋体" w:cs="宋体"/>
                <w:sz w:val="24"/>
                <w:szCs w:val="24"/>
                <w:highlight w:val="none"/>
                <w:lang w:val="zh-TW"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服务方案简略、流程不具有可行性、针对性差，得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TW"/>
              </w:rPr>
              <w:t>分；</w:t>
            </w:r>
          </w:p>
        </w:tc>
      </w:tr>
      <w:tr w14:paraId="4502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094" w:type="dxa"/>
            <w:vMerge w:val="continue"/>
            <w:noWrap w:val="0"/>
            <w:vAlign w:val="center"/>
          </w:tcPr>
          <w:p w14:paraId="2F33C913">
            <w:pPr>
              <w:jc w:val="left"/>
              <w:rPr>
                <w:rFonts w:hint="eastAsia" w:ascii="宋体" w:hAnsi="宋体" w:eastAsia="宋体" w:cs="宋体"/>
                <w:sz w:val="24"/>
                <w:szCs w:val="24"/>
                <w:highlight w:val="none"/>
              </w:rPr>
            </w:pPr>
          </w:p>
        </w:tc>
        <w:tc>
          <w:tcPr>
            <w:tcW w:w="918" w:type="dxa"/>
            <w:noWrap w:val="0"/>
            <w:vAlign w:val="center"/>
          </w:tcPr>
          <w:p w14:paraId="62BF5F8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tc>
        <w:tc>
          <w:tcPr>
            <w:tcW w:w="750" w:type="dxa"/>
            <w:noWrap w:val="0"/>
            <w:vAlign w:val="center"/>
          </w:tcPr>
          <w:p w14:paraId="63C9F636">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6662" w:type="dxa"/>
            <w:noWrap w:val="0"/>
            <w:vAlign w:val="center"/>
          </w:tcPr>
          <w:p w14:paraId="2B1DC269">
            <w:pPr>
              <w:jc w:val="left"/>
              <w:rPr>
                <w:rFonts w:hint="eastAsia" w:ascii="宋体" w:hAnsi="宋体" w:eastAsia="宋体" w:cs="宋体"/>
                <w:sz w:val="24"/>
                <w:szCs w:val="24"/>
                <w:highlight w:val="none"/>
                <w:lang w:val="zh-TW"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TW"/>
              </w:rPr>
              <w:t>售后服务方案内容全面，服务计划严谨合理，服务流程有条理，得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TW"/>
              </w:rPr>
              <w:t>分</w:t>
            </w:r>
            <w:r>
              <w:rPr>
                <w:rFonts w:hint="eastAsia" w:ascii="宋体" w:hAnsi="宋体" w:eastAsia="宋体" w:cs="宋体"/>
                <w:sz w:val="24"/>
                <w:szCs w:val="24"/>
                <w:highlight w:val="none"/>
                <w:lang w:val="zh-TW" w:eastAsia="zh-CN"/>
              </w:rPr>
              <w:t>；</w:t>
            </w:r>
          </w:p>
          <w:p w14:paraId="599F5E5C">
            <w:pPr>
              <w:jc w:val="left"/>
              <w:rPr>
                <w:rFonts w:hint="eastAsia" w:ascii="宋体" w:hAnsi="宋体" w:eastAsia="宋体" w:cs="宋体"/>
                <w:sz w:val="24"/>
                <w:szCs w:val="24"/>
                <w:highlight w:val="none"/>
                <w:lang w:val="zh-TW"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TW"/>
              </w:rPr>
              <w:t>售后服务方案内容基本全面，服务计划基本合理，服务流程比较清晰，得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分</w:t>
            </w:r>
            <w:r>
              <w:rPr>
                <w:rFonts w:hint="eastAsia" w:ascii="宋体" w:hAnsi="宋体" w:eastAsia="宋体" w:cs="宋体"/>
                <w:sz w:val="24"/>
                <w:szCs w:val="24"/>
                <w:highlight w:val="none"/>
                <w:lang w:val="zh-TW" w:eastAsia="zh-CN"/>
              </w:rPr>
              <w:t>；</w:t>
            </w:r>
          </w:p>
          <w:p w14:paraId="4D2E95EE">
            <w:pPr>
              <w:jc w:val="left"/>
              <w:rPr>
                <w:rFonts w:hint="eastAsia" w:ascii="宋体" w:hAnsi="宋体" w:eastAsia="宋体" w:cs="宋体"/>
                <w:sz w:val="24"/>
                <w:szCs w:val="24"/>
                <w:highlight w:val="none"/>
                <w:lang w:val="zh-TW"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售后服务方案内容不全，服务计划不够合理，服务流程无条理，得</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TW"/>
              </w:rPr>
              <w:t>分</w:t>
            </w:r>
            <w:r>
              <w:rPr>
                <w:rFonts w:hint="eastAsia" w:ascii="宋体" w:hAnsi="宋体" w:eastAsia="宋体" w:cs="宋体"/>
                <w:sz w:val="24"/>
                <w:szCs w:val="24"/>
                <w:highlight w:val="none"/>
                <w:lang w:val="zh-TW" w:eastAsia="zh-CN"/>
              </w:rPr>
              <w:t>；</w:t>
            </w:r>
          </w:p>
        </w:tc>
      </w:tr>
      <w:tr w14:paraId="1E1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094" w:type="dxa"/>
            <w:vMerge w:val="continue"/>
            <w:noWrap w:val="0"/>
            <w:vAlign w:val="center"/>
          </w:tcPr>
          <w:p w14:paraId="1CD63B29">
            <w:pPr>
              <w:jc w:val="left"/>
              <w:rPr>
                <w:rFonts w:hint="eastAsia" w:ascii="宋体" w:hAnsi="宋体" w:eastAsia="宋体" w:cs="宋体"/>
                <w:sz w:val="24"/>
                <w:szCs w:val="24"/>
                <w:highlight w:val="none"/>
              </w:rPr>
            </w:pPr>
          </w:p>
        </w:tc>
        <w:tc>
          <w:tcPr>
            <w:tcW w:w="918" w:type="dxa"/>
            <w:noWrap w:val="0"/>
            <w:vAlign w:val="center"/>
          </w:tcPr>
          <w:p w14:paraId="102D735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应急方案</w:t>
            </w:r>
          </w:p>
        </w:tc>
        <w:tc>
          <w:tcPr>
            <w:tcW w:w="750" w:type="dxa"/>
            <w:noWrap w:val="0"/>
            <w:vAlign w:val="center"/>
          </w:tcPr>
          <w:p w14:paraId="6BCDC6C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62" w:type="dxa"/>
            <w:noWrap w:val="0"/>
            <w:vAlign w:val="center"/>
          </w:tcPr>
          <w:p w14:paraId="247E4B9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根据供应商针对本项目提供的应急方案进行评分，需在多发故障时能保障维修及时性，方案包括但不限于：1.应急组成人员，提供人员配置清单；2.事故发生后的应急措施；3.应急演练内容。</w:t>
            </w:r>
          </w:p>
          <w:p w14:paraId="74BEBEE1">
            <w:p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zh-TW"/>
              </w:rPr>
              <w:t>方案详细、流程合理、具有较强的针对性，得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TW"/>
              </w:rPr>
              <w:t>分；</w:t>
            </w:r>
          </w:p>
          <w:p w14:paraId="7AF2BB49">
            <w:pPr>
              <w:jc w:val="left"/>
              <w:rPr>
                <w:rFonts w:hint="eastAsia" w:ascii="宋体" w:hAnsi="宋体" w:eastAsia="宋体" w:cs="宋体"/>
                <w:sz w:val="24"/>
                <w:szCs w:val="24"/>
                <w:highlight w:val="none"/>
                <w:lang w:val="zh-TW"/>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TW"/>
              </w:rPr>
              <w:t>服务方案较为详细、流程较为合理、针对性一般，得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分；</w:t>
            </w:r>
          </w:p>
          <w:p w14:paraId="2E777BC1">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TW"/>
              </w:rPr>
              <w:t>服务方案简略、流程不具有可行性、针对性差，得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TW"/>
              </w:rPr>
              <w:t>分；</w:t>
            </w:r>
          </w:p>
        </w:tc>
      </w:tr>
    </w:tbl>
    <w:p w14:paraId="1937E209">
      <w:pPr>
        <w:snapToGrid w:val="0"/>
        <w:spacing w:line="520" w:lineRule="exact"/>
        <w:ind w:firstLine="240" w:firstLineChars="100"/>
        <w:outlineLvl w:val="2"/>
        <w:rPr>
          <w:rFonts w:hint="eastAsia" w:ascii="宋体" w:hAnsi="宋体" w:cs="宋体"/>
          <w:sz w:val="24"/>
          <w:szCs w:val="24"/>
          <w:highlight w:val="none"/>
        </w:rPr>
      </w:pPr>
      <w:r>
        <w:rPr>
          <w:rFonts w:hint="eastAsia" w:ascii="宋体" w:hAnsi="宋体" w:cs="宋体"/>
          <w:sz w:val="24"/>
          <w:szCs w:val="24"/>
          <w:highlight w:val="none"/>
        </w:rPr>
        <w:t>（二）商务报价分：（3</w:t>
      </w:r>
      <w:r>
        <w:rPr>
          <w:rFonts w:ascii="宋体" w:hAnsi="宋体" w:cs="宋体"/>
          <w:sz w:val="24"/>
          <w:szCs w:val="24"/>
          <w:highlight w:val="none"/>
        </w:rPr>
        <w:t>0</w:t>
      </w:r>
      <w:r>
        <w:rPr>
          <w:rFonts w:hint="eastAsia" w:ascii="宋体" w:hAnsi="宋体" w:cs="宋体"/>
          <w:sz w:val="24"/>
          <w:szCs w:val="24"/>
          <w:highlight w:val="none"/>
        </w:rPr>
        <w:t>分）</w:t>
      </w:r>
    </w:p>
    <w:p w14:paraId="61544DA9">
      <w:pPr>
        <w:adjustRightInd w:val="0"/>
        <w:snapToGrid w:val="0"/>
        <w:spacing w:line="480" w:lineRule="exact"/>
        <w:ind w:firstLine="585"/>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sz w:val="24"/>
          <w:szCs w:val="24"/>
          <w:highlight w:val="none"/>
        </w:rPr>
        <w:t>本次项目最高限价：</w:t>
      </w:r>
      <w:r>
        <w:rPr>
          <w:rFonts w:hint="eastAsia" w:ascii="宋体" w:hAnsi="宋体" w:cs="宋体"/>
          <w:b/>
          <w:sz w:val="24"/>
          <w:szCs w:val="24"/>
          <w:highlight w:val="none"/>
          <w:lang w:val="en-US" w:eastAsia="zh-CN"/>
        </w:rPr>
        <w:t>18</w:t>
      </w:r>
      <w:r>
        <w:rPr>
          <w:rFonts w:hint="eastAsia" w:ascii="宋体" w:hAnsi="宋体" w:cs="宋体"/>
          <w:b/>
          <w:sz w:val="24"/>
          <w:szCs w:val="24"/>
          <w:highlight w:val="none"/>
        </w:rPr>
        <w:t>万元</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含税</w:t>
      </w:r>
      <w:r>
        <w:rPr>
          <w:rFonts w:hint="eastAsia" w:ascii="宋体" w:hAnsi="宋体" w:cs="宋体"/>
          <w:b/>
          <w:sz w:val="24"/>
          <w:szCs w:val="24"/>
          <w:highlight w:val="none"/>
          <w:lang w:eastAsia="zh-CN"/>
        </w:rPr>
        <w:t>）</w:t>
      </w:r>
      <w:r>
        <w:rPr>
          <w:rFonts w:hint="eastAsia" w:ascii="宋体" w:hAnsi="宋体" w:cs="宋体"/>
          <w:b/>
          <w:sz w:val="24"/>
          <w:szCs w:val="24"/>
          <w:highlight w:val="none"/>
        </w:rPr>
        <w:t>，超过限价作无效标处理</w:t>
      </w:r>
      <w:r>
        <w:rPr>
          <w:rFonts w:hint="eastAsia" w:ascii="宋体" w:hAnsi="宋体" w:cs="宋体"/>
          <w:sz w:val="24"/>
          <w:szCs w:val="24"/>
          <w:highlight w:val="none"/>
        </w:rPr>
        <w:t>。</w:t>
      </w:r>
    </w:p>
    <w:p w14:paraId="4793E3FB">
      <w:pPr>
        <w:snapToGrid w:val="0"/>
        <w:spacing w:line="480" w:lineRule="exact"/>
        <w:ind w:firstLine="600" w:firstLineChars="250"/>
        <w:rPr>
          <w:rFonts w:hint="eastAsia" w:ascii="宋体" w:hAnsi="宋体" w:cs="宋体"/>
          <w:sz w:val="24"/>
          <w:szCs w:val="24"/>
          <w:highlight w:val="none"/>
        </w:rPr>
      </w:pPr>
      <w:r>
        <w:rPr>
          <w:rFonts w:hint="eastAsia" w:ascii="宋体" w:hAnsi="宋体" w:cs="宋体"/>
          <w:sz w:val="24"/>
          <w:szCs w:val="24"/>
          <w:highlight w:val="none"/>
        </w:rPr>
        <w:t>2、满足磋商文件要求且最后报价（不含税价）最低的供应商的价格为磋商基准价，其商务报价分为满分。其他供应商的商务报价分统一按照下列公式计算：</w:t>
      </w:r>
    </w:p>
    <w:p w14:paraId="5B5A2A1E">
      <w:pPr>
        <w:snapToGrid w:val="0"/>
        <w:spacing w:line="480" w:lineRule="exact"/>
        <w:ind w:firstLine="480" w:firstLineChars="200"/>
        <w:rPr>
          <w:rFonts w:ascii="宋体" w:hAnsi="宋体" w:cs="宋体"/>
          <w:b/>
          <w:sz w:val="24"/>
          <w:szCs w:val="24"/>
          <w:highlight w:val="none"/>
        </w:rPr>
      </w:pPr>
      <w:r>
        <w:rPr>
          <w:rFonts w:hint="eastAsia" w:ascii="宋体" w:hAnsi="宋体" w:cs="宋体"/>
          <w:sz w:val="24"/>
          <w:szCs w:val="24"/>
          <w:highlight w:val="none"/>
        </w:rPr>
        <w:t xml:space="preserve">   </w:t>
      </w:r>
      <w:r>
        <w:rPr>
          <w:rFonts w:hint="eastAsia" w:ascii="宋体" w:hAnsi="宋体" w:cs="宋体"/>
          <w:b/>
          <w:sz w:val="24"/>
          <w:szCs w:val="24"/>
          <w:highlight w:val="none"/>
        </w:rPr>
        <w:t>商务报价分 =（磋商基准价/最后磋商报价）×3</w:t>
      </w:r>
      <w:r>
        <w:rPr>
          <w:rFonts w:ascii="宋体" w:hAnsi="宋体" w:cs="宋体"/>
          <w:b/>
          <w:sz w:val="24"/>
          <w:szCs w:val="24"/>
          <w:highlight w:val="none"/>
        </w:rPr>
        <w:t>0</w:t>
      </w:r>
      <w:r>
        <w:rPr>
          <w:rFonts w:hint="eastAsia" w:ascii="宋体" w:hAnsi="宋体" w:cs="宋体"/>
          <w:b/>
          <w:sz w:val="24"/>
          <w:szCs w:val="24"/>
          <w:highlight w:val="none"/>
        </w:rPr>
        <w:t>%×100</w:t>
      </w:r>
    </w:p>
    <w:p w14:paraId="56F5B002">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五、出现下列情形之一的，作无效标处理</w:t>
      </w:r>
    </w:p>
    <w:p w14:paraId="7C7F7ECB">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1、响应文件未按规定要求装订、密封、签署、盖章及主要资料不齐全的；</w:t>
      </w:r>
    </w:p>
    <w:p w14:paraId="61CC3289">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2、响应文件的资料有虚报或者谎报的；</w:t>
      </w:r>
    </w:p>
    <w:p w14:paraId="616874E6">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3、响应文件中资格审查文件及技术响应文件出现磋商报价的内容；</w:t>
      </w:r>
    </w:p>
    <w:p w14:paraId="186DF98E">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4、不具备磋商文件规定的资格要求的；</w:t>
      </w:r>
    </w:p>
    <w:p w14:paraId="56930CF2">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5、响应文件有重大漏项或重大不合理的；</w:t>
      </w:r>
    </w:p>
    <w:p w14:paraId="3E437125">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6、项目技术、方案不满足项目需求中的要求，有重大偏离或保留的；</w:t>
      </w:r>
    </w:p>
    <w:p w14:paraId="70910F5E">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7、磋商响应报价超出项目预算的；</w:t>
      </w:r>
    </w:p>
    <w:p w14:paraId="046BA358">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8、被认定为低于成本报价磋商竞标的；</w:t>
      </w:r>
    </w:p>
    <w:p w14:paraId="0188A8AF">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9、供应商的磋商报价高于自己前一轮的；</w:t>
      </w:r>
    </w:p>
    <w:p w14:paraId="2201FCEB">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10、不符合法律、法规和磋商文件中规定的其他实质性响应要求的；</w:t>
      </w:r>
    </w:p>
    <w:p w14:paraId="7D1ECB06">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11、磋商小组依据法律法规可以认定为无效投标的其他情况。</w:t>
      </w:r>
    </w:p>
    <w:p w14:paraId="749F5F5C">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六、出现下列情形之一的，作废标处理</w:t>
      </w:r>
    </w:p>
    <w:p w14:paraId="21A7CF47">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1、供应商的报价均超出了采购预算，采购单位不能支付的；</w:t>
      </w:r>
    </w:p>
    <w:p w14:paraId="21ED1A7E">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2、因情况变化，不再符合规定的竞争性磋商采购方式所适用情形的；</w:t>
      </w:r>
    </w:p>
    <w:p w14:paraId="45FED1D7">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3、出现影响采购公正的违法、违规行为的；</w:t>
      </w:r>
    </w:p>
    <w:p w14:paraId="461A62C1">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4、因重大变故，采购任务取消的；</w:t>
      </w:r>
    </w:p>
    <w:p w14:paraId="60BD5605">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5、磋商小组依据法律法规可以认定为废标的其他情况。</w:t>
      </w:r>
    </w:p>
    <w:p w14:paraId="31427EF4">
      <w:pPr>
        <w:snapToGrid w:val="0"/>
        <w:spacing w:line="480" w:lineRule="exact"/>
        <w:ind w:firstLine="482" w:firstLineChars="200"/>
        <w:outlineLvl w:val="1"/>
        <w:rPr>
          <w:rFonts w:hint="eastAsia" w:ascii="宋体" w:hAnsi="宋体" w:cs="宋体"/>
          <w:b/>
          <w:sz w:val="24"/>
          <w:szCs w:val="24"/>
          <w:highlight w:val="none"/>
        </w:rPr>
      </w:pPr>
    </w:p>
    <w:p w14:paraId="5CFEA819">
      <w:pPr>
        <w:snapToGrid w:val="0"/>
        <w:spacing w:line="48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七、成交通知</w:t>
      </w:r>
    </w:p>
    <w:p w14:paraId="4D862A57">
      <w:pPr>
        <w:spacing w:line="480" w:lineRule="exact"/>
        <w:ind w:firstLine="484" w:firstLineChars="202"/>
        <w:rPr>
          <w:rFonts w:ascii="宋体" w:hAnsi="宋体" w:cs="宋体"/>
          <w:kern w:val="0"/>
          <w:sz w:val="24"/>
          <w:szCs w:val="24"/>
          <w:highlight w:val="none"/>
        </w:rPr>
      </w:pPr>
      <w:r>
        <w:rPr>
          <w:rFonts w:hint="eastAsia" w:ascii="宋体" w:hAnsi="宋体" w:cs="宋体"/>
          <w:kern w:val="0"/>
          <w:sz w:val="24"/>
          <w:szCs w:val="24"/>
          <w:highlight w:val="none"/>
        </w:rPr>
        <w:t>成交结果在公告发布网站公示</w:t>
      </w:r>
      <w:r>
        <w:rPr>
          <w:rFonts w:hint="eastAsia" w:ascii="宋体" w:hAnsi="宋体" w:cs="宋体"/>
          <w:kern w:val="0"/>
          <w:sz w:val="24"/>
          <w:szCs w:val="24"/>
          <w:highlight w:val="none"/>
          <w:u w:val="single"/>
        </w:rPr>
        <w:t xml:space="preserve">  </w:t>
      </w:r>
      <w:r>
        <w:rPr>
          <w:rFonts w:ascii="宋体" w:hAnsi="宋体" w:cs="宋体"/>
          <w:b/>
          <w:kern w:val="0"/>
          <w:sz w:val="24"/>
          <w:szCs w:val="24"/>
          <w:highlight w:val="none"/>
          <w:u w:val="single"/>
        </w:rPr>
        <w:t>1</w:t>
      </w:r>
      <w:r>
        <w:rPr>
          <w:rFonts w:hint="eastAsia" w:ascii="宋体" w:hAnsi="宋体" w:cs="宋体"/>
          <w:b/>
          <w:kern w:val="0"/>
          <w:sz w:val="24"/>
          <w:szCs w:val="24"/>
          <w:highlight w:val="none"/>
          <w:u w:val="single"/>
          <w:lang w:val="en-US" w:eastAsia="zh-CN"/>
        </w:rPr>
        <w:t xml:space="preserve"> </w:t>
      </w:r>
      <w:r>
        <w:rPr>
          <w:rFonts w:hint="eastAsia" w:ascii="宋体" w:hAnsi="宋体" w:cs="宋体"/>
          <w:b/>
          <w:kern w:val="0"/>
          <w:sz w:val="24"/>
          <w:szCs w:val="24"/>
          <w:highlight w:val="none"/>
          <w:u w:val="single"/>
        </w:rPr>
        <w:t xml:space="preserve"> </w:t>
      </w:r>
      <w:r>
        <w:rPr>
          <w:rFonts w:hint="eastAsia" w:ascii="宋体" w:hAnsi="宋体" w:cs="宋体"/>
          <w:kern w:val="0"/>
          <w:sz w:val="24"/>
          <w:szCs w:val="24"/>
          <w:highlight w:val="none"/>
        </w:rPr>
        <w:t>个工作日。《成交通知书》一经发出，采购单位改变成交结果，或者中标人放弃成交的，各自承担相应的法律责任。《成交通知书》是采购合同的组成部分。</w:t>
      </w:r>
      <w:bookmarkEnd w:id="55"/>
      <w:bookmarkEnd w:id="56"/>
      <w:bookmarkEnd w:id="57"/>
      <w:bookmarkEnd w:id="58"/>
      <w:bookmarkEnd w:id="59"/>
      <w:bookmarkEnd w:id="60"/>
      <w:bookmarkEnd w:id="61"/>
      <w:bookmarkEnd w:id="62"/>
      <w:bookmarkStart w:id="64" w:name="_Toc363573858"/>
      <w:bookmarkStart w:id="65" w:name="_Toc94585343"/>
    </w:p>
    <w:p w14:paraId="27AD5070">
      <w:pPr>
        <w:pStyle w:val="24"/>
        <w:tabs>
          <w:tab w:val="left" w:pos="1050"/>
          <w:tab w:val="right" w:leader="dot" w:pos="9402"/>
        </w:tabs>
        <w:spacing w:line="520" w:lineRule="exact"/>
        <w:ind w:left="0"/>
        <w:jc w:val="center"/>
        <w:outlineLvl w:val="0"/>
        <w:rPr>
          <w:rFonts w:hint="eastAsia" w:ascii="宋体" w:hAnsi="宋体" w:cs="宋体"/>
          <w:b/>
          <w:i w:val="0"/>
          <w:iCs/>
          <w:w w:val="80"/>
          <w:sz w:val="44"/>
          <w:szCs w:val="44"/>
          <w:highlight w:val="none"/>
        </w:rPr>
      </w:pPr>
    </w:p>
    <w:p w14:paraId="0F91BF0D">
      <w:pPr>
        <w:pStyle w:val="24"/>
        <w:tabs>
          <w:tab w:val="left" w:pos="1050"/>
          <w:tab w:val="right" w:leader="dot" w:pos="9402"/>
        </w:tabs>
        <w:spacing w:line="520" w:lineRule="exact"/>
        <w:ind w:left="0"/>
        <w:jc w:val="center"/>
        <w:outlineLvl w:val="0"/>
        <w:rPr>
          <w:rFonts w:hint="eastAsia" w:ascii="宋体" w:hAnsi="宋体" w:cs="宋体"/>
          <w:b/>
          <w:i w:val="0"/>
          <w:iCs/>
          <w:w w:val="80"/>
          <w:sz w:val="44"/>
          <w:szCs w:val="44"/>
          <w:highlight w:val="none"/>
        </w:rPr>
      </w:pPr>
      <w:r>
        <w:rPr>
          <w:rFonts w:ascii="宋体" w:hAnsi="宋体" w:cs="宋体"/>
          <w:b/>
          <w:i w:val="0"/>
          <w:iCs/>
          <w:w w:val="80"/>
          <w:sz w:val="44"/>
          <w:szCs w:val="44"/>
          <w:highlight w:val="none"/>
        </w:rPr>
        <w:br w:type="page"/>
      </w:r>
      <w:r>
        <w:rPr>
          <w:rFonts w:hint="eastAsia" w:ascii="宋体" w:hAnsi="宋体" w:cs="宋体"/>
          <w:b/>
          <w:i w:val="0"/>
          <w:iCs/>
          <w:w w:val="80"/>
          <w:sz w:val="44"/>
          <w:szCs w:val="44"/>
          <w:highlight w:val="none"/>
        </w:rPr>
        <w:t>第五章   合同授予</w:t>
      </w:r>
    </w:p>
    <w:p w14:paraId="46E8BAEC">
      <w:pPr>
        <w:snapToGrid w:val="0"/>
        <w:spacing w:line="480" w:lineRule="exact"/>
        <w:ind w:firstLine="573"/>
        <w:rPr>
          <w:rFonts w:hint="eastAsia" w:ascii="仿宋_GB2312" w:hAnsi="宋体" w:eastAsia="仿宋_GB2312" w:cs="宋体"/>
          <w:sz w:val="28"/>
          <w:szCs w:val="28"/>
          <w:highlight w:val="none"/>
        </w:rPr>
      </w:pPr>
      <w:r>
        <w:rPr>
          <w:rFonts w:hint="eastAsia" w:ascii="宋体" w:hAnsi="宋体" w:cs="宋体"/>
          <w:sz w:val="24"/>
          <w:szCs w:val="24"/>
          <w:highlight w:val="none"/>
        </w:rPr>
        <w:t>一、中标人在成交通知书发出后</w:t>
      </w:r>
      <w:r>
        <w:rPr>
          <w:rFonts w:hint="eastAsia" w:ascii="宋体" w:hAnsi="宋体" w:cs="宋体"/>
          <w:sz w:val="24"/>
          <w:szCs w:val="24"/>
          <w:highlight w:val="none"/>
          <w:lang w:val="en-US" w:eastAsia="zh-CN"/>
        </w:rPr>
        <w:t>5</w:t>
      </w:r>
      <w:r>
        <w:rPr>
          <w:rFonts w:hint="eastAsia" w:ascii="宋体" w:hAnsi="宋体" w:cs="宋体"/>
          <w:sz w:val="24"/>
          <w:szCs w:val="24"/>
          <w:highlight w:val="none"/>
        </w:rPr>
        <w:t>日内按照磋商文件确定的事项和采购单位签订政府采购合同。所签合同不得对采购文件作实质性修改。采购单位不得向中标人提出不合理的要求作为签订合同的条件，不得与中标人私下订立背离采购文件实质性内容的协议。</w:t>
      </w:r>
      <w:r>
        <w:rPr>
          <w:rFonts w:hint="eastAsia" w:ascii="仿宋_GB2312" w:hAnsi="宋体" w:eastAsia="仿宋_GB2312" w:cs="宋体"/>
          <w:sz w:val="28"/>
          <w:szCs w:val="28"/>
          <w:highlight w:val="none"/>
        </w:rPr>
        <w:t xml:space="preserve"> </w:t>
      </w:r>
    </w:p>
    <w:p w14:paraId="2DDE5B95">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的原则上15个工作日内支付相应款项。</w:t>
      </w:r>
    </w:p>
    <w:p w14:paraId="58BE2504">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53D4326A">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四、中标人出现违约情形，应当及时纠正或补偿；造成损失的，按合同约定追究违约责任；发现有假冒、伪劣、走私产品、商业贿赂等违法情形的，应由采购单位移交工商、质监、公安等行政执法部门依法查处。</w:t>
      </w:r>
    </w:p>
    <w:p w14:paraId="4FB11DC9">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五、按政府采购合同约定支付的货款，实行财政国库直接支付。</w:t>
      </w:r>
    </w:p>
    <w:p w14:paraId="7E1C03F3">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六、不响应付款方式的，视同响应文件无效，按无效响应文件处理。</w:t>
      </w:r>
    </w:p>
    <w:p w14:paraId="2EEB3333">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七、付款方式详见磋商文件第三章。</w:t>
      </w:r>
    </w:p>
    <w:p w14:paraId="4427F14E">
      <w:pPr>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八、以上项目款的支付不计息。</w:t>
      </w:r>
    </w:p>
    <w:p w14:paraId="16EC0FAA">
      <w:pPr>
        <w:snapToGrid w:val="0"/>
        <w:spacing w:line="480" w:lineRule="exact"/>
        <w:ind w:firstLine="573"/>
        <w:rPr>
          <w:rFonts w:hint="eastAsia" w:ascii="宋体" w:hAnsi="宋体" w:cs="宋体"/>
          <w:sz w:val="24"/>
          <w:szCs w:val="24"/>
          <w:highlight w:val="none"/>
        </w:rPr>
      </w:pPr>
    </w:p>
    <w:p w14:paraId="0AA97500">
      <w:pPr>
        <w:spacing w:line="500" w:lineRule="exact"/>
        <w:jc w:val="center"/>
        <w:rPr>
          <w:rFonts w:ascii="仿宋" w:hAnsi="仿宋" w:eastAsia="仿宋"/>
          <w:sz w:val="24"/>
          <w:szCs w:val="24"/>
          <w:highlight w:val="none"/>
        </w:rPr>
      </w:pPr>
      <w:r>
        <w:rPr>
          <w:rFonts w:hint="eastAsia" w:ascii="仿宋" w:hAnsi="仿宋" w:eastAsia="仿宋"/>
          <w:sz w:val="28"/>
          <w:szCs w:val="28"/>
          <w:highlight w:val="none"/>
        </w:rPr>
        <w:t xml:space="preserve">          </w:t>
      </w:r>
      <w:r>
        <w:rPr>
          <w:rFonts w:hint="eastAsia" w:ascii="仿宋" w:hAnsi="仿宋" w:eastAsia="仿宋"/>
          <w:sz w:val="24"/>
          <w:szCs w:val="24"/>
          <w:highlight w:val="none"/>
        </w:rPr>
        <w:t xml:space="preserve"> </w:t>
      </w:r>
    </w:p>
    <w:p w14:paraId="23706DA2">
      <w:pPr>
        <w:tabs>
          <w:tab w:val="left" w:pos="6300"/>
        </w:tabs>
        <w:snapToGrid w:val="0"/>
        <w:spacing w:line="300" w:lineRule="auto"/>
        <w:jc w:val="center"/>
        <w:rPr>
          <w:rFonts w:hint="eastAsia"/>
          <w:highlight w:val="none"/>
        </w:rPr>
      </w:pPr>
      <w:r>
        <w:rPr>
          <w:highlight w:val="none"/>
        </w:rPr>
        <w:br w:type="page"/>
      </w:r>
    </w:p>
    <w:p w14:paraId="607AE45F">
      <w:pPr>
        <w:tabs>
          <w:tab w:val="left" w:pos="6300"/>
        </w:tabs>
        <w:snapToGrid w:val="0"/>
        <w:spacing w:line="300" w:lineRule="auto"/>
        <w:jc w:val="center"/>
        <w:rPr>
          <w:rFonts w:hint="eastAsia"/>
          <w:b/>
          <w:sz w:val="44"/>
          <w:highlight w:val="none"/>
        </w:rPr>
      </w:pPr>
      <w:r>
        <w:rPr>
          <w:rFonts w:hint="eastAsia"/>
          <w:b/>
          <w:sz w:val="44"/>
          <w:highlight w:val="none"/>
        </w:rPr>
        <w:t>拟签订的合同文本格式及条款</w:t>
      </w:r>
    </w:p>
    <w:p w14:paraId="3C4DC25D">
      <w:pPr>
        <w:spacing w:line="400" w:lineRule="exact"/>
        <w:jc w:val="center"/>
        <w:rPr>
          <w:rFonts w:ascii="宋体" w:eastAsia="宋体"/>
          <w:b/>
          <w:bCs/>
          <w:sz w:val="36"/>
          <w:szCs w:val="36"/>
          <w:highlight w:val="none"/>
        </w:rPr>
      </w:pPr>
      <w:bookmarkStart w:id="66" w:name="_Ref451313954"/>
      <w:bookmarkStart w:id="67" w:name="_Toc451664164"/>
      <w:bookmarkStart w:id="68" w:name="_Ref451243616"/>
      <w:bookmarkStart w:id="69" w:name="_Toc451315906"/>
      <w:bookmarkStart w:id="70" w:name="_Toc451315989"/>
      <w:bookmarkStart w:id="71" w:name="_Toc434462225"/>
      <w:bookmarkStart w:id="72" w:name="_Toc434462836"/>
      <w:bookmarkStart w:id="73" w:name="_Toc434460932"/>
      <w:bookmarkStart w:id="74" w:name="_Toc434897340"/>
      <w:r>
        <w:rPr>
          <w:rFonts w:hint="eastAsia" w:ascii="宋体" w:hAnsi="宋体" w:eastAsia="宋体" w:cs="宋体"/>
          <w:b/>
          <w:w w:val="80"/>
          <w:kern w:val="44"/>
          <w:sz w:val="36"/>
          <w:szCs w:val="36"/>
          <w:highlight w:val="none"/>
        </w:rPr>
        <w:t>合同书</w:t>
      </w:r>
      <w:bookmarkEnd w:id="66"/>
      <w:bookmarkEnd w:id="67"/>
      <w:bookmarkEnd w:id="68"/>
      <w:bookmarkEnd w:id="69"/>
      <w:bookmarkEnd w:id="70"/>
      <w:bookmarkEnd w:id="71"/>
      <w:bookmarkEnd w:id="72"/>
      <w:bookmarkEnd w:id="73"/>
      <w:bookmarkEnd w:id="74"/>
    </w:p>
    <w:p w14:paraId="3D5BF671">
      <w:pPr>
        <w:adjustRightInd w:val="0"/>
        <w:spacing w:line="500" w:lineRule="exact"/>
        <w:ind w:firstLine="480" w:firstLineChars="200"/>
        <w:contextualSpacing/>
        <w:jc w:val="left"/>
        <w:rPr>
          <w:rFonts w:ascii="宋体" w:hAnsi="宋体" w:eastAsia="宋体" w:cs="宋体"/>
          <w:sz w:val="24"/>
          <w:szCs w:val="21"/>
          <w:highlight w:val="none"/>
          <w:u w:val="single"/>
        </w:rPr>
      </w:pPr>
      <w:r>
        <w:rPr>
          <w:rFonts w:hint="eastAsia" w:ascii="宋体" w:hAnsi="宋体" w:eastAsia="宋体" w:cs="宋体"/>
          <w:sz w:val="24"/>
          <w:szCs w:val="21"/>
          <w:highlight w:val="none"/>
        </w:rPr>
        <w:t>采购单位（或称甲方）：</w:t>
      </w:r>
      <w:r>
        <w:rPr>
          <w:rFonts w:hint="eastAsia" w:ascii="宋体" w:hAnsi="宋体" w:eastAsia="宋体" w:cs="宋体"/>
          <w:sz w:val="24"/>
          <w:szCs w:val="21"/>
          <w:highlight w:val="none"/>
          <w:u w:val="single"/>
        </w:rPr>
        <w:t xml:space="preserve">                             </w:t>
      </w:r>
    </w:p>
    <w:p w14:paraId="46441CEA">
      <w:pPr>
        <w:adjustRightInd w:val="0"/>
        <w:spacing w:line="500" w:lineRule="exact"/>
        <w:ind w:firstLine="480" w:firstLineChars="200"/>
        <w:contextualSpacing/>
        <w:jc w:val="left"/>
        <w:rPr>
          <w:rFonts w:ascii="宋体" w:hAnsi="宋体" w:eastAsia="宋体" w:cs="宋体"/>
          <w:bCs/>
          <w:sz w:val="24"/>
          <w:szCs w:val="21"/>
          <w:highlight w:val="none"/>
        </w:rPr>
      </w:pPr>
      <w:r>
        <w:rPr>
          <w:rFonts w:hint="eastAsia" w:ascii="宋体" w:hAnsi="宋体" w:eastAsia="宋体" w:cs="宋体"/>
          <w:sz w:val="24"/>
          <w:szCs w:val="21"/>
          <w:highlight w:val="none"/>
        </w:rPr>
        <w:t>中标人（或称乙方）：</w:t>
      </w:r>
      <w:r>
        <w:rPr>
          <w:rFonts w:hint="eastAsia" w:ascii="宋体" w:hAnsi="宋体" w:eastAsia="宋体" w:cs="宋体"/>
          <w:sz w:val="24"/>
          <w:szCs w:val="21"/>
          <w:highlight w:val="none"/>
          <w:u w:val="single"/>
        </w:rPr>
        <w:t xml:space="preserve">                           </w:t>
      </w:r>
    </w:p>
    <w:p w14:paraId="52EAE584">
      <w:pPr>
        <w:adjustRightInd w:val="0"/>
        <w:spacing w:line="500" w:lineRule="exact"/>
        <w:ind w:firstLine="480" w:firstLineChars="200"/>
        <w:contextualSpacing/>
        <w:jc w:val="left"/>
        <w:rPr>
          <w:rFonts w:ascii="宋体" w:hAnsi="宋体" w:eastAsia="宋体" w:cs="宋体"/>
          <w:sz w:val="24"/>
          <w:szCs w:val="21"/>
          <w:highlight w:val="none"/>
        </w:rPr>
      </w:pPr>
      <w:r>
        <w:rPr>
          <w:rFonts w:hint="eastAsia" w:ascii="宋体" w:hAnsi="宋体" w:eastAsia="宋体" w:cs="宋体"/>
          <w:sz w:val="24"/>
          <w:szCs w:val="21"/>
          <w:highlight w:val="none"/>
        </w:rPr>
        <w:t>签订时间：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6010C9C9">
      <w:pPr>
        <w:adjustRightInd w:val="0"/>
        <w:spacing w:line="500" w:lineRule="exact"/>
        <w:ind w:firstLine="480" w:firstLineChars="200"/>
        <w:contextualSpacing/>
        <w:jc w:val="left"/>
        <w:rPr>
          <w:rFonts w:ascii="宋体" w:hAnsi="宋体" w:eastAsia="宋体" w:cs="宋体"/>
          <w:sz w:val="24"/>
          <w:szCs w:val="21"/>
          <w:highlight w:val="none"/>
          <w:u w:val="single"/>
        </w:rPr>
      </w:pPr>
      <w:r>
        <w:rPr>
          <w:rFonts w:hint="eastAsia" w:ascii="宋体" w:hAnsi="宋体" w:eastAsia="宋体" w:cs="宋体"/>
          <w:sz w:val="24"/>
          <w:szCs w:val="21"/>
          <w:highlight w:val="none"/>
        </w:rPr>
        <w:t>签订地点：</w:t>
      </w:r>
      <w:r>
        <w:rPr>
          <w:rFonts w:hint="eastAsia" w:ascii="宋体" w:hAnsi="宋体" w:eastAsia="宋体" w:cs="宋体"/>
          <w:sz w:val="24"/>
          <w:szCs w:val="21"/>
          <w:highlight w:val="none"/>
          <w:u w:val="single"/>
        </w:rPr>
        <w:t xml:space="preserve">                                 </w:t>
      </w:r>
    </w:p>
    <w:p w14:paraId="613E7C1E">
      <w:pPr>
        <w:adjustRightInd w:val="0"/>
        <w:spacing w:line="500" w:lineRule="exact"/>
        <w:ind w:firstLine="480" w:firstLineChars="200"/>
        <w:contextualSpacing/>
        <w:jc w:val="left"/>
        <w:rPr>
          <w:rFonts w:ascii="宋体" w:hAnsi="宋体" w:eastAsia="宋体" w:cs="宋体"/>
          <w:sz w:val="24"/>
          <w:szCs w:val="21"/>
          <w:highlight w:val="none"/>
          <w:u w:val="single"/>
        </w:rPr>
      </w:pPr>
      <w:r>
        <w:rPr>
          <w:rFonts w:hint="eastAsia" w:ascii="宋体" w:hAnsi="宋体" w:eastAsia="宋体" w:cs="宋体"/>
          <w:sz w:val="24"/>
          <w:szCs w:val="21"/>
          <w:highlight w:val="none"/>
        </w:rPr>
        <w:t>根据《政府采购法》、《</w:t>
      </w:r>
      <w:r>
        <w:rPr>
          <w:rFonts w:hint="eastAsia" w:ascii="宋体" w:hAnsi="宋体" w:cs="宋体"/>
          <w:sz w:val="24"/>
          <w:szCs w:val="21"/>
          <w:highlight w:val="none"/>
          <w:lang w:val="en-US" w:eastAsia="zh-CN"/>
        </w:rPr>
        <w:t xml:space="preserve">中华人民共和国民法典 </w:t>
      </w:r>
      <w:r>
        <w:rPr>
          <w:rFonts w:hint="eastAsia" w:ascii="宋体" w:hAnsi="宋体" w:eastAsia="宋体" w:cs="宋体"/>
          <w:sz w:val="24"/>
          <w:szCs w:val="21"/>
          <w:highlight w:val="none"/>
        </w:rPr>
        <w:t>》及（项目名称）</w:t>
      </w:r>
      <w:r>
        <w:rPr>
          <w:rFonts w:hint="eastAsia" w:ascii="宋体" w:hAnsi="宋体" w:eastAsia="宋体" w:cs="宋体"/>
          <w:sz w:val="24"/>
          <w:szCs w:val="21"/>
          <w:highlight w:val="none"/>
          <w:u w:val="single"/>
        </w:rPr>
        <w:t xml:space="preserve">          采购</w:t>
      </w:r>
      <w:r>
        <w:rPr>
          <w:rFonts w:hint="eastAsia" w:ascii="宋体" w:hAnsi="宋体" w:eastAsia="宋体" w:cs="宋体"/>
          <w:sz w:val="24"/>
          <w:szCs w:val="21"/>
          <w:highlight w:val="none"/>
        </w:rPr>
        <w:t>项目的采购结果、采购文件及投标文件，经双方协商一致，签订本合同。</w:t>
      </w:r>
    </w:p>
    <w:p w14:paraId="739E4793">
      <w:pPr>
        <w:adjustRightInd w:val="0"/>
        <w:snapToGrid w:val="0"/>
        <w:spacing w:line="500" w:lineRule="exact"/>
        <w:ind w:firstLine="480" w:firstLineChars="200"/>
        <w:contextualSpacing/>
        <w:jc w:val="left"/>
        <w:rPr>
          <w:rFonts w:ascii="宋体" w:hAnsi="宋体" w:eastAsia="宋体" w:cs="宋体"/>
          <w:sz w:val="24"/>
          <w:szCs w:val="21"/>
          <w:highlight w:val="none"/>
        </w:rPr>
      </w:pPr>
      <w:r>
        <w:rPr>
          <w:rFonts w:hint="eastAsia" w:ascii="宋体" w:hAnsi="宋体" w:eastAsia="宋体" w:cs="宋体"/>
          <w:sz w:val="24"/>
          <w:szCs w:val="21"/>
          <w:highlight w:val="none"/>
        </w:rPr>
        <w:t>一、合同的标的物</w:t>
      </w:r>
    </w:p>
    <w:p w14:paraId="2F087C5A">
      <w:pPr>
        <w:adjustRightInd w:val="0"/>
        <w:snapToGrid w:val="0"/>
        <w:spacing w:line="500" w:lineRule="exact"/>
        <w:ind w:firstLine="480" w:firstLineChars="200"/>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1.1甲方向乙方采购标的物，具体的品种、规格要求详见投标文件：</w:t>
      </w:r>
    </w:p>
    <w:p w14:paraId="71830E28">
      <w:pPr>
        <w:adjustRightInd w:val="0"/>
        <w:snapToGrid w:val="0"/>
        <w:spacing w:line="500" w:lineRule="exact"/>
        <w:ind w:firstLine="480" w:firstLineChars="200"/>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1.2 乙方对提供的标的物应当拥有完整的物权，并且负有保证第三人不得向甲方主张任何权利（包括知识产权）的义务。</w:t>
      </w:r>
    </w:p>
    <w:p w14:paraId="7168A593">
      <w:pPr>
        <w:adjustRightInd w:val="0"/>
        <w:snapToGrid w:val="0"/>
        <w:spacing w:line="500" w:lineRule="exact"/>
        <w:ind w:firstLine="480" w:firstLineChars="200"/>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二、合同价格与支付</w:t>
      </w:r>
    </w:p>
    <w:p w14:paraId="258D73EC">
      <w:pPr>
        <w:adjustRightInd w:val="0"/>
        <w:snapToGrid w:val="0"/>
        <w:spacing w:line="500" w:lineRule="exact"/>
        <w:ind w:firstLine="494" w:firstLineChars="206"/>
        <w:contextualSpacing/>
        <w:rPr>
          <w:rFonts w:hint="eastAsia" w:ascii="Times New Roman" w:hAnsi="Times New Roman" w:eastAsia="宋体" w:cs="Times New Roman"/>
          <w:b/>
          <w:bCs/>
          <w:sz w:val="24"/>
          <w:szCs w:val="24"/>
          <w:highlight w:val="none"/>
        </w:rPr>
      </w:pPr>
      <w:r>
        <w:rPr>
          <w:rFonts w:hint="eastAsia" w:ascii="宋体" w:hAnsi="宋体" w:eastAsia="宋体" w:cs="宋体"/>
          <w:sz w:val="24"/>
          <w:szCs w:val="24"/>
          <w:highlight w:val="none"/>
        </w:rPr>
        <w:t>2.1 合同价格按此次中标价格执行，</w:t>
      </w:r>
      <w:r>
        <w:rPr>
          <w:rFonts w:hint="eastAsia" w:ascii="宋体" w:hAnsi="宋体" w:cs="宋体"/>
          <w:sz w:val="24"/>
          <w:szCs w:val="24"/>
          <w:highlight w:val="none"/>
          <w:lang w:val="en-US" w:eastAsia="zh-CN"/>
        </w:rPr>
        <w:t>固定总价合同，</w:t>
      </w:r>
      <w:r>
        <w:rPr>
          <w:rFonts w:hint="eastAsia" w:ascii="宋体" w:hAnsi="宋体" w:eastAsia="宋体" w:cs="宋体"/>
          <w:sz w:val="24"/>
          <w:szCs w:val="24"/>
          <w:highlight w:val="none"/>
        </w:rPr>
        <w:t>合同总金额为人民币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包含但不限于以下费用：</w:t>
      </w:r>
      <w:r>
        <w:rPr>
          <w:rFonts w:hint="eastAsia" w:ascii="Times New Roman" w:hAnsi="Times New Roman" w:eastAsia="宋体" w:cs="Times New Roman"/>
          <w:b/>
          <w:bCs/>
          <w:sz w:val="24"/>
          <w:szCs w:val="24"/>
          <w:highlight w:val="none"/>
        </w:rPr>
        <w:t>项目需求提供的可能涉及到的设备及其备品、备件和专用工具费用、税费及包装、运至最终目的地的运输、保险、检测验收、物业配合费、安装、调试、水电安装费用（从采购人确定的</w:t>
      </w:r>
      <w:r>
        <w:rPr>
          <w:rFonts w:hint="eastAsia" w:ascii="Times New Roman" w:hAnsi="Times New Roman" w:eastAsia="宋体" w:cs="Times New Roman"/>
          <w:b/>
          <w:bCs/>
          <w:sz w:val="24"/>
          <w:szCs w:val="24"/>
          <w:highlight w:val="none"/>
          <w:lang w:val="en-US" w:eastAsia="zh-CN"/>
        </w:rPr>
        <w:t>电源</w:t>
      </w:r>
      <w:r>
        <w:rPr>
          <w:rFonts w:hint="eastAsia" w:ascii="Times New Roman" w:hAnsi="Times New Roman" w:eastAsia="宋体" w:cs="Times New Roman"/>
          <w:b/>
          <w:bCs/>
          <w:sz w:val="24"/>
          <w:szCs w:val="24"/>
          <w:highlight w:val="none"/>
        </w:rPr>
        <w:t>接入，并按采购人确定的管线走向布置）；安全操作规程、安全警示等上墙宣传牌，以及地面安全引导和警戒线划定费用。技术支持与培训、售后与维保、其他费用及相关劳务支出等工作所发生的全部费用以及供应商企业利润、税金和政策性文件规定及合同包含的所有风险、责任等各项应有费用，即标的物交付使用前的所有费用以及免保期内的服务费用等包含响应招标文件采购要求的所有各项应有费用。</w:t>
      </w:r>
    </w:p>
    <w:p w14:paraId="5EFDFDD0">
      <w:pPr>
        <w:adjustRightInd w:val="0"/>
        <w:snapToGrid w:val="0"/>
        <w:spacing w:line="500" w:lineRule="exact"/>
        <w:ind w:firstLine="494" w:firstLineChars="206"/>
        <w:contextualSpacing/>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乙方已</w:t>
      </w:r>
      <w:r>
        <w:rPr>
          <w:rFonts w:hint="eastAsia" w:ascii="宋体" w:hAnsi="宋体" w:eastAsia="宋体" w:cs="宋体"/>
          <w:kern w:val="0"/>
          <w:sz w:val="24"/>
          <w:szCs w:val="24"/>
          <w:highlight w:val="none"/>
          <w:lang w:val="zh-CN"/>
        </w:rPr>
        <w:t>充分勘察本项目的现场安装条件及现有建筑物、构筑物的现状情况，充分预见可能发生的一切额外费用，安装时间需严格按照</w:t>
      </w:r>
      <w:r>
        <w:rPr>
          <w:rFonts w:hint="eastAsia" w:ascii="宋体" w:hAnsi="宋体" w:cs="宋体"/>
          <w:kern w:val="0"/>
          <w:sz w:val="24"/>
          <w:szCs w:val="24"/>
          <w:highlight w:val="none"/>
          <w:lang w:val="en-US" w:eastAsia="zh-CN"/>
        </w:rPr>
        <w:t>甲方</w:t>
      </w:r>
      <w:r>
        <w:rPr>
          <w:rFonts w:hint="eastAsia" w:ascii="宋体" w:hAnsi="宋体" w:eastAsia="宋体" w:cs="宋体"/>
          <w:kern w:val="0"/>
          <w:sz w:val="24"/>
          <w:szCs w:val="24"/>
          <w:highlight w:val="none"/>
          <w:lang w:val="zh-CN"/>
        </w:rPr>
        <w:t xml:space="preserve">要求进行，因南通市日报大楼办公需要特殊性, </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zh-CN"/>
        </w:rPr>
        <w:t xml:space="preserve">需利用节假日和错开正常办公时间进行施工, </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zh-CN"/>
        </w:rPr>
        <w:t>应配合采购人统一安排管理，精心编制安装施工方案，不得影响工期。因此发生的赶工费、夜间施工费、或临时调配人员所产生的费用</w:t>
      </w:r>
      <w:r>
        <w:rPr>
          <w:rFonts w:hint="eastAsia" w:ascii="宋体" w:hAnsi="宋体" w:cs="宋体"/>
          <w:kern w:val="0"/>
          <w:sz w:val="24"/>
          <w:szCs w:val="24"/>
          <w:highlight w:val="none"/>
          <w:lang w:val="en-US" w:eastAsia="zh-CN"/>
        </w:rPr>
        <w:t>乙方已</w:t>
      </w:r>
      <w:r>
        <w:rPr>
          <w:rFonts w:hint="eastAsia" w:ascii="宋体" w:hAnsi="宋体" w:eastAsia="宋体" w:cs="宋体"/>
          <w:kern w:val="0"/>
          <w:sz w:val="24"/>
          <w:szCs w:val="24"/>
          <w:highlight w:val="none"/>
          <w:lang w:val="zh-CN"/>
        </w:rPr>
        <w:t>考虑，并列入投标报价，在结算时一律不作调整；</w:t>
      </w:r>
    </w:p>
    <w:p w14:paraId="02D5765B">
      <w:pPr>
        <w:widowControl/>
        <w:shd w:val="clear" w:color="auto" w:fill="FFFFFF"/>
        <w:adjustRightInd w:val="0"/>
        <w:snapToGrid w:val="0"/>
        <w:spacing w:after="200" w:line="520" w:lineRule="exact"/>
        <w:ind w:firstLine="360" w:firstLineChars="150"/>
        <w:contextualSpacing/>
        <w:jc w:val="left"/>
        <w:rPr>
          <w:rFonts w:hint="eastAsia"/>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val="en-US" w:eastAsia="zh-CN"/>
        </w:rPr>
        <w:t>乙方</w:t>
      </w:r>
      <w:r>
        <w:rPr>
          <w:rFonts w:hint="eastAsia" w:ascii="宋体" w:hAnsi="宋体" w:eastAsia="宋体" w:cs="宋体"/>
          <w:kern w:val="0"/>
          <w:sz w:val="24"/>
          <w:szCs w:val="24"/>
          <w:highlight w:val="none"/>
          <w:lang w:val="zh-CN"/>
        </w:rPr>
        <w:t>施工期间需做好每日施工场地清理、拉圾清运和保洁工作,上述费用包含在</w:t>
      </w:r>
      <w:r>
        <w:rPr>
          <w:rFonts w:hint="eastAsia" w:ascii="宋体" w:hAnsi="宋体" w:cs="宋体"/>
          <w:kern w:val="0"/>
          <w:sz w:val="24"/>
          <w:szCs w:val="24"/>
          <w:highlight w:val="none"/>
          <w:lang w:val="en-US" w:eastAsia="zh-CN"/>
        </w:rPr>
        <w:t>合同价</w:t>
      </w:r>
      <w:r>
        <w:rPr>
          <w:rFonts w:hint="eastAsia" w:ascii="宋体" w:hAnsi="宋体" w:eastAsia="宋体" w:cs="宋体"/>
          <w:kern w:val="0"/>
          <w:sz w:val="24"/>
          <w:szCs w:val="24"/>
          <w:highlight w:val="none"/>
          <w:lang w:val="zh-CN"/>
        </w:rPr>
        <w:t>中。工程结算时不作调整。其费用</w:t>
      </w:r>
      <w:r>
        <w:rPr>
          <w:rFonts w:hint="eastAsia" w:ascii="宋体" w:hAnsi="宋体" w:cs="宋体"/>
          <w:kern w:val="0"/>
          <w:sz w:val="24"/>
          <w:szCs w:val="24"/>
          <w:highlight w:val="none"/>
          <w:lang w:val="en-US" w:eastAsia="zh-CN"/>
        </w:rPr>
        <w:t>已由乙方</w:t>
      </w:r>
      <w:r>
        <w:rPr>
          <w:rFonts w:hint="eastAsia" w:ascii="宋体" w:hAnsi="宋体" w:eastAsia="宋体" w:cs="宋体"/>
          <w:kern w:val="0"/>
          <w:sz w:val="24"/>
          <w:szCs w:val="24"/>
          <w:highlight w:val="none"/>
          <w:lang w:val="zh-CN"/>
        </w:rPr>
        <w:t>综合考虑，列入</w:t>
      </w:r>
      <w:r>
        <w:rPr>
          <w:rFonts w:hint="eastAsia" w:ascii="宋体" w:hAnsi="宋体" w:cs="宋体"/>
          <w:kern w:val="0"/>
          <w:sz w:val="24"/>
          <w:szCs w:val="24"/>
          <w:highlight w:val="none"/>
          <w:lang w:val="en-US" w:eastAsia="zh-CN"/>
        </w:rPr>
        <w:t>合同价</w:t>
      </w:r>
      <w:r>
        <w:rPr>
          <w:rFonts w:hint="eastAsia" w:ascii="宋体" w:hAnsi="宋体" w:eastAsia="宋体" w:cs="宋体"/>
          <w:kern w:val="0"/>
          <w:sz w:val="24"/>
          <w:szCs w:val="24"/>
          <w:highlight w:val="none"/>
          <w:lang w:val="zh-CN"/>
        </w:rPr>
        <w:t>中，且不得单列，工程结算时不作调整。</w:t>
      </w:r>
    </w:p>
    <w:p w14:paraId="00512AD3">
      <w:pPr>
        <w:adjustRightInd w:val="0"/>
        <w:snapToGrid w:val="0"/>
        <w:spacing w:line="500" w:lineRule="exact"/>
        <w:ind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2.2付款方式：</w:t>
      </w:r>
    </w:p>
    <w:p w14:paraId="1C461448">
      <w:pPr>
        <w:adjustRightInd w:val="0"/>
        <w:snapToGrid w:val="0"/>
        <w:spacing w:line="500" w:lineRule="exact"/>
        <w:ind w:left="-342" w:leftChars="-163" w:firstLine="904" w:firstLineChars="3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经安装调试运行验收合格后15日(收到乙方增值税专用发票)内付至审定价的95%；余款5%作为质量保修金，质保期满三年无质量问题并经书面确认后15日内返还。所有款项由采购人按相关财务支付规定办理支付手续，不得故意拖延支付时间。</w:t>
      </w:r>
    </w:p>
    <w:p w14:paraId="36C0A68B">
      <w:pPr>
        <w:adjustRightInd w:val="0"/>
        <w:snapToGrid w:val="0"/>
        <w:spacing w:line="500" w:lineRule="exact"/>
        <w:ind w:left="-342" w:leftChars="-163" w:firstLine="904" w:firstLineChars="377"/>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三、质量保证</w:t>
      </w:r>
    </w:p>
    <w:p w14:paraId="6923F719">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3.1供应商应保证货物是全新、未使用过的原厂合格产品，并完全符合招标文件及本合同规定的质量、规格和参数的要求。验收过程中发现供货设备价值超过5%的产品不符合上述要求的，将视作不合格产品，使用方有权终止合同，造成的一切损失由供应商承担。</w:t>
      </w:r>
    </w:p>
    <w:p w14:paraId="5611272E">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3.2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24D39F73">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3.3供应商应保证提供的产品不得侵犯第三方专利权、商标权和设计权、版权等。否则，供应商应负全部责任，并承担由此引起的一切后果。</w:t>
      </w:r>
    </w:p>
    <w:p w14:paraId="43BE1170">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3.4供应商应保证其货物在正确安装、正常使用下，在其使用寿命期内应具有满意的性能。</w:t>
      </w:r>
    </w:p>
    <w:p w14:paraId="57BC4F93">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3.5供应商应采取必要的安全措施保证货物的运输及安装的安全，并承担货物的运输及安装过程中产生的风险。</w:t>
      </w:r>
    </w:p>
    <w:p w14:paraId="6FEFF1F9">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3.6供应商必须保证所提供的产品符合国家相应质量要求。</w:t>
      </w:r>
    </w:p>
    <w:p w14:paraId="3E162599">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四、包装</w:t>
      </w:r>
    </w:p>
    <w:p w14:paraId="38B18328">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乙方提供的设备必须为原包装。</w:t>
      </w:r>
    </w:p>
    <w:p w14:paraId="17D3A889">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五、标的物的交付</w:t>
      </w:r>
    </w:p>
    <w:p w14:paraId="1E1C9AD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5.1 标的物的所有权自标的物交付时转移。</w:t>
      </w:r>
    </w:p>
    <w:p w14:paraId="4A1550B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5.2 乙方应当按照约定的期限和约定的地点交付标的物。</w:t>
      </w:r>
    </w:p>
    <w:p w14:paraId="18368F40">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5.3 乙方应当按照约定或者交易习惯向甲方交付提取标的物单证以外的有关单证和资料。</w:t>
      </w:r>
    </w:p>
    <w:p w14:paraId="1884E245">
      <w:pPr>
        <w:adjustRightIn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bCs/>
          <w:sz w:val="24"/>
          <w:szCs w:val="24"/>
          <w:highlight w:val="none"/>
        </w:rPr>
        <w:t>产品设备交货、安装固定服务</w:t>
      </w:r>
    </w:p>
    <w:p w14:paraId="7E771DD1">
      <w:pPr>
        <w:adjustRightInd w:val="0"/>
        <w:spacing w:line="500" w:lineRule="exact"/>
        <w:ind w:firstLine="480" w:firstLineChars="200"/>
        <w:contextualSpacing/>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5.4.1产品设备交付： </w:t>
      </w:r>
    </w:p>
    <w:p w14:paraId="6D08F686">
      <w:pPr>
        <w:numPr>
          <w:ilvl w:val="0"/>
          <w:numId w:val="0"/>
        </w:numPr>
        <w:adjustRightInd w:val="0"/>
        <w:spacing w:line="500" w:lineRule="exact"/>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①</w:t>
      </w:r>
      <w:r>
        <w:rPr>
          <w:rFonts w:hint="eastAsia" w:ascii="宋体" w:hAnsi="宋体" w:eastAsia="宋体" w:cs="宋体"/>
          <w:sz w:val="24"/>
          <w:szCs w:val="24"/>
          <w:highlight w:val="none"/>
        </w:rPr>
        <w:t>交货地点：产品设备送至采购单位指定的地点并负责安装。</w:t>
      </w:r>
      <w:r>
        <w:rPr>
          <w:rFonts w:hint="eastAsia" w:ascii="宋体" w:hAnsi="宋体" w:cs="宋体"/>
          <w:sz w:val="24"/>
          <w:szCs w:val="24"/>
          <w:highlight w:val="none"/>
          <w:lang w:val="en-US" w:eastAsia="zh-CN"/>
        </w:rPr>
        <w:t>安装要求：</w:t>
      </w:r>
    </w:p>
    <w:p w14:paraId="4687F61F">
      <w:pPr>
        <w:spacing w:line="360" w:lineRule="auto"/>
        <w:ind w:firstLine="560"/>
        <w:rPr>
          <w:rFonts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乙方</w:t>
      </w:r>
      <w:r>
        <w:rPr>
          <w:rFonts w:hint="eastAsia" w:ascii="宋体" w:hAnsi="宋体" w:eastAsia="宋体" w:cs="宋体"/>
          <w:bCs/>
          <w:sz w:val="24"/>
          <w:szCs w:val="24"/>
          <w:highlight w:val="none"/>
        </w:rPr>
        <w:t>必须按供货计划安排，派出专业技术人员到安装现场进行安装和调试工作。</w:t>
      </w:r>
    </w:p>
    <w:p w14:paraId="46076488">
      <w:pPr>
        <w:spacing w:line="360" w:lineRule="auto"/>
        <w:ind w:firstLine="560"/>
        <w:rPr>
          <w:rFonts w:ascii="宋体" w:hAnsi="宋体" w:eastAsia="宋体" w:cs="宋体"/>
          <w:b/>
          <w:bCs w:val="0"/>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乙方</w:t>
      </w:r>
      <w:r>
        <w:rPr>
          <w:rFonts w:hint="eastAsia" w:ascii="宋体" w:hAnsi="宋体" w:eastAsia="宋体" w:cs="宋体"/>
          <w:bCs/>
          <w:sz w:val="24"/>
          <w:szCs w:val="24"/>
          <w:highlight w:val="none"/>
        </w:rPr>
        <w:t>应严格按国家及行业安全生产的有关管理规定，采取安全措施组织安装施工。</w:t>
      </w:r>
      <w:r>
        <w:rPr>
          <w:rFonts w:hint="eastAsia" w:ascii="宋体" w:hAnsi="宋体" w:eastAsia="宋体" w:cs="宋体"/>
          <w:b/>
          <w:bCs w:val="0"/>
          <w:sz w:val="24"/>
          <w:szCs w:val="24"/>
          <w:highlight w:val="none"/>
        </w:rPr>
        <w:t>若发生安全事故，一切责任由供应商承担。</w:t>
      </w:r>
    </w:p>
    <w:p w14:paraId="30038E8B">
      <w:pPr>
        <w:spacing w:line="360" w:lineRule="auto"/>
        <w:ind w:firstLine="560"/>
        <w:rPr>
          <w:rFonts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乙方</w:t>
      </w:r>
      <w:r>
        <w:rPr>
          <w:rFonts w:hint="eastAsia" w:ascii="宋体" w:hAnsi="宋体" w:eastAsia="宋体" w:cs="宋体"/>
          <w:bCs/>
          <w:sz w:val="24"/>
          <w:szCs w:val="24"/>
          <w:highlight w:val="none"/>
        </w:rPr>
        <w:t>进场施工需遵守</w:t>
      </w:r>
      <w:r>
        <w:rPr>
          <w:rFonts w:hint="eastAsia" w:ascii="宋体" w:hAnsi="宋体" w:cs="宋体"/>
          <w:bCs/>
          <w:sz w:val="24"/>
          <w:szCs w:val="24"/>
          <w:highlight w:val="none"/>
          <w:lang w:val="en-US" w:eastAsia="zh-CN"/>
        </w:rPr>
        <w:t>南通</w:t>
      </w:r>
      <w:r>
        <w:rPr>
          <w:rFonts w:hint="eastAsia" w:ascii="宋体" w:hAnsi="宋体" w:eastAsia="宋体" w:cs="宋体"/>
          <w:bCs/>
          <w:sz w:val="24"/>
          <w:szCs w:val="24"/>
          <w:highlight w:val="none"/>
        </w:rPr>
        <w:t>日报</w:t>
      </w:r>
      <w:r>
        <w:rPr>
          <w:rFonts w:hint="eastAsia" w:ascii="宋体" w:hAnsi="宋体" w:cs="宋体"/>
          <w:bCs/>
          <w:sz w:val="24"/>
          <w:szCs w:val="24"/>
          <w:highlight w:val="none"/>
          <w:lang w:val="en-US" w:eastAsia="zh-CN"/>
        </w:rPr>
        <w:t>社（集团）相关</w:t>
      </w:r>
      <w:r>
        <w:rPr>
          <w:rFonts w:hint="eastAsia" w:ascii="宋体" w:hAnsi="宋体" w:eastAsia="宋体" w:cs="宋体"/>
          <w:bCs/>
          <w:sz w:val="24"/>
          <w:szCs w:val="24"/>
          <w:highlight w:val="none"/>
        </w:rPr>
        <w:t>管理</w:t>
      </w:r>
      <w:r>
        <w:rPr>
          <w:rFonts w:hint="eastAsia" w:ascii="宋体" w:hAnsi="宋体" w:cs="宋体"/>
          <w:bCs/>
          <w:sz w:val="24"/>
          <w:szCs w:val="24"/>
          <w:highlight w:val="none"/>
          <w:lang w:val="en-US" w:eastAsia="zh-CN"/>
        </w:rPr>
        <w:t>办法</w:t>
      </w:r>
    </w:p>
    <w:p w14:paraId="1561C7D1">
      <w:pPr>
        <w:spacing w:line="360" w:lineRule="auto"/>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（4）安装、调试及保修全过程中，</w:t>
      </w:r>
      <w:r>
        <w:rPr>
          <w:rFonts w:hint="eastAsia" w:ascii="宋体" w:hAnsi="宋体" w:cs="宋体"/>
          <w:bCs/>
          <w:sz w:val="24"/>
          <w:szCs w:val="24"/>
          <w:highlight w:val="none"/>
          <w:lang w:val="en-US" w:eastAsia="zh-CN"/>
        </w:rPr>
        <w:t>乙方</w:t>
      </w:r>
      <w:r>
        <w:rPr>
          <w:rFonts w:hint="eastAsia" w:ascii="宋体" w:hAnsi="宋体" w:eastAsia="宋体" w:cs="宋体"/>
          <w:bCs/>
          <w:sz w:val="24"/>
          <w:szCs w:val="24"/>
          <w:highlight w:val="none"/>
        </w:rPr>
        <w:t>负责每日及时清理垃圾，并将包装物及垃圾清运出场，清理标准达到</w:t>
      </w:r>
      <w:r>
        <w:rPr>
          <w:rFonts w:hint="eastAsia" w:ascii="宋体" w:hAnsi="宋体" w:cs="宋体"/>
          <w:bCs/>
          <w:sz w:val="24"/>
          <w:szCs w:val="24"/>
          <w:highlight w:val="none"/>
          <w:lang w:val="en-US" w:eastAsia="zh-CN"/>
        </w:rPr>
        <w:t>甲方</w:t>
      </w:r>
      <w:r>
        <w:rPr>
          <w:rFonts w:hint="eastAsia" w:ascii="宋体" w:hAnsi="宋体" w:eastAsia="宋体" w:cs="宋体"/>
          <w:bCs/>
          <w:sz w:val="24"/>
          <w:szCs w:val="24"/>
          <w:highlight w:val="none"/>
        </w:rPr>
        <w:t>要求。</w:t>
      </w:r>
    </w:p>
    <w:p w14:paraId="502AF07A">
      <w:pPr>
        <w:spacing w:line="360" w:lineRule="auto"/>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cs="宋体"/>
          <w:bCs/>
          <w:sz w:val="24"/>
          <w:szCs w:val="24"/>
          <w:highlight w:val="none"/>
          <w:lang w:val="en-US" w:eastAsia="zh-CN"/>
        </w:rPr>
        <w:t>乙方</w:t>
      </w:r>
      <w:r>
        <w:rPr>
          <w:rFonts w:hint="eastAsia" w:ascii="宋体" w:hAnsi="宋体" w:eastAsia="宋体" w:cs="宋体"/>
          <w:bCs/>
          <w:sz w:val="24"/>
          <w:szCs w:val="24"/>
          <w:highlight w:val="none"/>
        </w:rPr>
        <w:t>自行承担选派专业人员的住宿、就餐和交通等费用。</w:t>
      </w:r>
    </w:p>
    <w:p w14:paraId="22262EC1">
      <w:pPr>
        <w:spacing w:line="360" w:lineRule="auto"/>
        <w:ind w:firstLine="560"/>
        <w:rPr>
          <w:rFonts w:hint="eastAsia" w:ascii="宋体" w:hAnsi="宋体" w:cs="宋体"/>
          <w:bCs/>
          <w:sz w:val="24"/>
          <w:szCs w:val="24"/>
          <w:highlight w:val="none"/>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现场拆除安装人员均需持有高空作业证，乙方应为其缴纳意外险。</w:t>
      </w:r>
    </w:p>
    <w:p w14:paraId="1C2AE234">
      <w:pPr>
        <w:spacing w:line="360" w:lineRule="auto"/>
        <w:ind w:firstLine="560"/>
        <w:rPr>
          <w:highlight w:val="none"/>
        </w:rPr>
      </w:pPr>
      <w:r>
        <w:rPr>
          <w:rFonts w:hint="eastAsia" w:ascii="宋体" w:hAnsi="宋体" w:cs="宋体"/>
          <w:bCs/>
          <w:sz w:val="24"/>
          <w:szCs w:val="24"/>
          <w:highlight w:val="none"/>
          <w:lang w:val="en-US" w:eastAsia="zh-CN"/>
        </w:rPr>
        <w:t>（7）每日现场施工时，将主动出示证书给甲方查看。</w:t>
      </w:r>
    </w:p>
    <w:p w14:paraId="67B76AAB">
      <w:pPr>
        <w:adjustRightIn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② 货物装卸、运输涉及到的保险，其费用包含在合同总价中。</w:t>
      </w:r>
    </w:p>
    <w:p w14:paraId="180D6316">
      <w:pPr>
        <w:adjustRightInd w:val="0"/>
        <w:snapToGrid w:val="0"/>
        <w:spacing w:line="500" w:lineRule="exact"/>
        <w:ind w:firstLine="482" w:firstLineChars="200"/>
        <w:contextualSpacing/>
        <w:rPr>
          <w:rFonts w:ascii="宋体" w:hAnsi="宋体" w:eastAsia="宋体" w:cs="宋体"/>
          <w:b/>
          <w:bCs/>
          <w:sz w:val="24"/>
          <w:szCs w:val="24"/>
          <w:highlight w:val="none"/>
        </w:rPr>
      </w:pPr>
      <w:r>
        <w:rPr>
          <w:rFonts w:hint="eastAsia" w:ascii="宋体" w:hAnsi="宋体" w:eastAsia="宋体" w:cs="宋体"/>
          <w:b/>
          <w:bCs/>
          <w:sz w:val="24"/>
          <w:szCs w:val="24"/>
          <w:highlight w:val="none"/>
        </w:rPr>
        <w:t>5.4.2产品设备交付及安装调试服务日期：合同签订生效后</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日历天完成设备安装调试</w:t>
      </w:r>
      <w:r>
        <w:rPr>
          <w:rFonts w:hint="eastAsia" w:ascii="宋体" w:hAnsi="宋体" w:cs="宋体"/>
          <w:b/>
          <w:bCs/>
          <w:sz w:val="24"/>
          <w:szCs w:val="24"/>
          <w:highlight w:val="none"/>
          <w:lang w:eastAsia="zh-CN"/>
        </w:rPr>
        <w:t>，并通过采购人验收</w:t>
      </w:r>
      <w:r>
        <w:rPr>
          <w:rFonts w:hint="eastAsia" w:ascii="宋体" w:hAnsi="宋体" w:eastAsia="宋体" w:cs="宋体"/>
          <w:b/>
          <w:bCs/>
          <w:sz w:val="24"/>
          <w:szCs w:val="24"/>
          <w:highlight w:val="none"/>
        </w:rPr>
        <w:t>。</w:t>
      </w:r>
    </w:p>
    <w:p w14:paraId="50A01304">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5.4.3中标人发货到采购人指定地点前应先告知采购人。</w:t>
      </w:r>
    </w:p>
    <w:p w14:paraId="7CC3F870">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5.4.4全部货物的外包装必须采用防漏、防潮、防震、防锈、防盗和考虑到可能会发生的野蛮装卸等长途运输及多次装卸之需要。如因供方包装不当以及其它原因造成损坏或丢失，应由供方负一切责任。</w:t>
      </w:r>
    </w:p>
    <w:p w14:paraId="212018AF">
      <w:pPr>
        <w:adjustRightInd w:val="0"/>
        <w:spacing w:line="500" w:lineRule="exact"/>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 交货及安装地点：</w:t>
      </w:r>
      <w:r>
        <w:rPr>
          <w:rFonts w:hint="eastAsia" w:ascii="宋体" w:hAnsi="宋体" w:eastAsia="宋体" w:cs="宋体"/>
          <w:kern w:val="0"/>
          <w:sz w:val="24"/>
          <w:szCs w:val="24"/>
          <w:highlight w:val="none"/>
          <w:u w:val="single"/>
        </w:rPr>
        <w:t>甲方指定地点</w:t>
      </w:r>
      <w:r>
        <w:rPr>
          <w:rFonts w:hint="eastAsia" w:ascii="宋体" w:hAnsi="宋体" w:eastAsia="宋体" w:cs="宋体"/>
          <w:kern w:val="0"/>
          <w:sz w:val="24"/>
          <w:szCs w:val="24"/>
          <w:highlight w:val="none"/>
        </w:rPr>
        <w:t>。</w:t>
      </w:r>
    </w:p>
    <w:p w14:paraId="588570DC">
      <w:pPr>
        <w:pStyle w:val="16"/>
        <w:ind w:left="0" w:leftChars="0" w:firstLine="0" w:firstLineChars="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效果图：</w:t>
      </w:r>
    </w:p>
    <w:p w14:paraId="1F96AF0B">
      <w:pPr>
        <w:pStyle w:val="16"/>
        <w:ind w:left="0" w:leftChars="0" w:firstLine="0" w:firstLineChars="0"/>
        <w:rPr>
          <w:rFonts w:hint="default"/>
          <w:highlight w:val="none"/>
          <w:lang w:val="en-US" w:eastAsia="zh-CN"/>
        </w:rPr>
      </w:pPr>
      <w:r>
        <w:rPr>
          <w:rFonts w:hint="default"/>
          <w:highlight w:val="none"/>
          <w:lang w:val="en-US" w:eastAsia="zh-CN"/>
        </w:rPr>
        <w:drawing>
          <wp:inline distT="0" distB="0" distL="114300" distR="114300">
            <wp:extent cx="4445635" cy="4672965"/>
            <wp:effectExtent l="0" t="0" r="12065" b="13335"/>
            <wp:docPr id="5" name="图片 5" descr="0369e9541d7aa528c2de2a06ee35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369e9541d7aa528c2de2a06ee35af4"/>
                    <pic:cNvPicPr>
                      <a:picLocks noChangeAspect="1"/>
                    </pic:cNvPicPr>
                  </pic:nvPicPr>
                  <pic:blipFill>
                    <a:blip r:embed="rId9"/>
                    <a:stretch>
                      <a:fillRect/>
                    </a:stretch>
                  </pic:blipFill>
                  <pic:spPr>
                    <a:xfrm>
                      <a:off x="0" y="0"/>
                      <a:ext cx="4445635" cy="4672965"/>
                    </a:xfrm>
                    <a:prstGeom prst="rect">
                      <a:avLst/>
                    </a:prstGeom>
                  </pic:spPr>
                </pic:pic>
              </a:graphicData>
            </a:graphic>
          </wp:inline>
        </w:drawing>
      </w:r>
    </w:p>
    <w:p w14:paraId="7093D799">
      <w:pPr>
        <w:pStyle w:val="2"/>
        <w:rPr>
          <w:highlight w:val="none"/>
        </w:rPr>
      </w:pPr>
    </w:p>
    <w:p w14:paraId="03C40E0F">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六、伴随服务</w:t>
      </w:r>
    </w:p>
    <w:p w14:paraId="0BFB1577">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6.1 乙方除应履行按期按量交付合格标的物的义务外，还应当提供下列服务：</w:t>
      </w:r>
    </w:p>
    <w:p w14:paraId="203F13AA">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6.1.1 标的物的现场安装、启动、调试、监督（如果必须安装、调试的话）；</w:t>
      </w:r>
    </w:p>
    <w:p w14:paraId="58F6E5F4">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6.1.2 提供标的物组装和一般维修所必需的工具；</w:t>
      </w:r>
    </w:p>
    <w:p w14:paraId="392A785B">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6.1.3 在合同规定的期限内对所提供的标的物实行运行监督、维修服务的前提条件是该服务并不能免除乙方在质量保证期内所承担的义务；</w:t>
      </w:r>
    </w:p>
    <w:p w14:paraId="0F4FFA7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6.1.4 对甲方技术人员的技术指导或培训。</w:t>
      </w:r>
    </w:p>
    <w:p w14:paraId="357CA4C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6.2 除合同另有规定之外，伴随服务的费用均已含在合同价款中，甲方不再另行支付。</w:t>
      </w:r>
    </w:p>
    <w:p w14:paraId="3434234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七、标的物的检验和验收</w:t>
      </w:r>
    </w:p>
    <w:p w14:paraId="71172BE8">
      <w:pPr>
        <w:adjustRightInd w:val="0"/>
        <w:snapToGrid w:val="0"/>
        <w:spacing w:line="500" w:lineRule="exact"/>
        <w:ind w:firstLine="480" w:firstLineChars="200"/>
        <w:contextualSpacing/>
        <w:rPr>
          <w:rFonts w:ascii="宋体" w:hAnsi="宋体" w:eastAsia="宋体" w:cs="宋体"/>
          <w:bCs/>
          <w:sz w:val="24"/>
          <w:szCs w:val="24"/>
          <w:highlight w:val="none"/>
        </w:rPr>
      </w:pPr>
      <w:r>
        <w:rPr>
          <w:rFonts w:hint="eastAsia" w:ascii="宋体" w:hAnsi="宋体" w:eastAsia="宋体" w:cs="宋体"/>
          <w:sz w:val="24"/>
          <w:szCs w:val="24"/>
          <w:highlight w:val="none"/>
        </w:rPr>
        <w:t>使用方有权在产品制造过程中进行中期验收和交付后抽样检测，如验收不合格，</w:t>
      </w:r>
      <w:r>
        <w:rPr>
          <w:rFonts w:hint="eastAsia" w:ascii="宋体" w:hAnsi="宋体" w:eastAsia="宋体" w:cs="宋体"/>
          <w:b/>
          <w:bCs/>
          <w:sz w:val="24"/>
          <w:szCs w:val="24"/>
          <w:highlight w:val="none"/>
        </w:rPr>
        <w:t>使用方有权中止合同、履约保证金不予退还并进行相关违约金处理。</w:t>
      </w:r>
      <w:r>
        <w:rPr>
          <w:rFonts w:hint="eastAsia" w:ascii="宋体" w:hAnsi="宋体" w:eastAsia="宋体" w:cs="宋体"/>
          <w:sz w:val="24"/>
          <w:szCs w:val="24"/>
          <w:highlight w:val="none"/>
        </w:rPr>
        <w:t>验收所发生的费用由供应商承担。</w:t>
      </w:r>
    </w:p>
    <w:p w14:paraId="41933E86">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八、售后服务</w:t>
      </w:r>
    </w:p>
    <w:p w14:paraId="1C71E728">
      <w:pPr>
        <w:adjustRightInd w:val="0"/>
        <w:spacing w:line="500" w:lineRule="exact"/>
        <w:ind w:firstLine="480" w:firstLineChars="200"/>
        <w:contextualSpacing/>
        <w:rPr>
          <w:rFonts w:ascii="宋体" w:hAnsi="宋体" w:eastAsia="宋体" w:cs="宋体"/>
          <w:kern w:val="0"/>
          <w:sz w:val="24"/>
          <w:szCs w:val="24"/>
          <w:highlight w:val="none"/>
        </w:rPr>
      </w:pPr>
      <w:r>
        <w:rPr>
          <w:rFonts w:hint="eastAsia" w:ascii="宋体" w:hAnsi="宋体" w:eastAsia="宋体" w:cs="宋体"/>
          <w:sz w:val="24"/>
          <w:szCs w:val="24"/>
          <w:highlight w:val="none"/>
        </w:rPr>
        <w:t>8.1</w:t>
      </w:r>
      <w:r>
        <w:rPr>
          <w:rFonts w:hint="eastAsia" w:ascii="宋体" w:hAnsi="宋体" w:eastAsia="宋体" w:cs="宋体"/>
          <w:kern w:val="0"/>
          <w:sz w:val="24"/>
          <w:szCs w:val="24"/>
          <w:highlight w:val="none"/>
        </w:rPr>
        <w:t>供应商应提供</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年的免费维修承诺（质保期</w:t>
      </w:r>
      <w:r>
        <w:rPr>
          <w:rFonts w:hint="eastAsia" w:ascii="宋体" w:hAnsi="宋体" w:eastAsia="宋体" w:cs="宋体"/>
          <w:sz w:val="24"/>
          <w:szCs w:val="24"/>
          <w:highlight w:val="none"/>
        </w:rPr>
        <w:t>从项目通过验收之日起计）</w:t>
      </w:r>
      <w:r>
        <w:rPr>
          <w:rFonts w:hint="eastAsia" w:ascii="宋体" w:hAnsi="宋体" w:eastAsia="宋体" w:cs="宋体"/>
          <w:kern w:val="0"/>
          <w:sz w:val="24"/>
          <w:szCs w:val="24"/>
          <w:highlight w:val="none"/>
        </w:rPr>
        <w:t xml:space="preserve">，投标人维修人员应在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小时内响应，需达到现场处理的，需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小时内到达现场并解决一般问题；现场解决不了的重大故障，按国家及行业标准进行处理。设备应具备故障自动检测报警系统。发生故障时，工程师可远程操控诊断并维修设备（更换硬件除外）。不能兑现质保承诺的，采购人将扣除质保金，并由相关部门酌情进行信誉度处罚。</w:t>
      </w:r>
    </w:p>
    <w:p w14:paraId="07FD8B87">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8.2零备件更换：在免费质量保证期内，因设备制造原因出现的任何质量问题，</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应负责及时更换或维修，由此产生的一切费用由</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承担。</w:t>
      </w:r>
    </w:p>
    <w:p w14:paraId="02474678">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8.3</w:t>
      </w:r>
      <w:r>
        <w:rPr>
          <w:rFonts w:hint="eastAsia" w:ascii="宋体" w:hAnsi="宋体" w:eastAsia="宋体" w:cs="宋体"/>
          <w:sz w:val="24"/>
          <w:szCs w:val="24"/>
          <w:highlight w:val="none"/>
        </w:rPr>
        <w:t>设备故障率：设备在日常正确使用当中机械部分、控制部分故障率不得超过5%，如故障率超过5%，</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可要求</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更换新的设备。</w:t>
      </w:r>
    </w:p>
    <w:p w14:paraId="220096DB">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8.4</w:t>
      </w:r>
      <w:r>
        <w:rPr>
          <w:rFonts w:hint="eastAsia" w:ascii="宋体" w:hAnsi="宋体" w:eastAsia="宋体" w:cs="宋体"/>
          <w:sz w:val="24"/>
          <w:szCs w:val="24"/>
          <w:highlight w:val="none"/>
        </w:rPr>
        <w:t>设备说明书：</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须提供整套设备及主要部件中文操作说明书。</w:t>
      </w:r>
    </w:p>
    <w:p w14:paraId="0BE2439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九、违约责任</w:t>
      </w:r>
    </w:p>
    <w:p w14:paraId="733D4621">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合同一方不履行合同义务或者履行合同义务不符合约定的，应当承担继续履行、采取补救措施或赔偿损失等违约责任。</w:t>
      </w:r>
    </w:p>
    <w:p w14:paraId="324522E8">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9.1 甲方违约责任</w:t>
      </w:r>
    </w:p>
    <w:p w14:paraId="69A3F2EF">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9.1.1在合同生效后，非乙方原因甲方要求退货的，应向乙方偿付合同总价款的</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%，作为违约金，违约金不足以补偿损失的，乙方有权要求甲方补足。</w:t>
      </w:r>
    </w:p>
    <w:p w14:paraId="0377B9DC">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9.1.2 甲方逾期支付货款的应按照逾期付款金额的每天</w:t>
      </w:r>
      <w:r>
        <w:rPr>
          <w:rFonts w:hint="eastAsia" w:ascii="宋体" w:hAnsi="宋体" w:eastAsia="宋体" w:cs="宋体"/>
          <w:sz w:val="24"/>
          <w:szCs w:val="24"/>
          <w:highlight w:val="none"/>
          <w:u w:val="single"/>
        </w:rPr>
        <w:t>0. 1%</w:t>
      </w:r>
      <w:r>
        <w:rPr>
          <w:rFonts w:hint="eastAsia" w:ascii="宋体" w:hAnsi="宋体" w:eastAsia="宋体" w:cs="宋体"/>
          <w:sz w:val="24"/>
          <w:szCs w:val="24"/>
          <w:highlight w:val="none"/>
        </w:rPr>
        <w:t>支付逾期付款违约金。</w:t>
      </w:r>
    </w:p>
    <w:p w14:paraId="69E25530">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9.1.3 甲方违反合同规定，拒绝接收乙方交付的合格标的物，应当承担乙方由此造成的损失。</w:t>
      </w:r>
    </w:p>
    <w:p w14:paraId="5D13706E">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9.2 乙方违约责任</w:t>
      </w:r>
    </w:p>
    <w:p w14:paraId="545BAFC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9.2.1 乙方不能交货，或交货不合格从而影响甲方按期正常使用的，应向甲方偿付合同总价款</w:t>
      </w:r>
      <w:r>
        <w:rPr>
          <w:rFonts w:hint="eastAsia" w:ascii="宋体" w:hAnsi="宋体" w:eastAsia="宋体" w:cs="宋体"/>
          <w:sz w:val="24"/>
          <w:szCs w:val="24"/>
          <w:highlight w:val="none"/>
          <w:u w:val="single"/>
        </w:rPr>
        <w:t xml:space="preserve">  10 </w:t>
      </w:r>
      <w:r>
        <w:rPr>
          <w:rFonts w:hint="eastAsia" w:ascii="宋体" w:hAnsi="宋体" w:eastAsia="宋体" w:cs="宋体"/>
          <w:sz w:val="24"/>
          <w:szCs w:val="24"/>
          <w:highlight w:val="none"/>
        </w:rPr>
        <w:t>%的违约金，违约金不足以补偿损失的，甲方有权要求乙方补足。</w:t>
      </w:r>
    </w:p>
    <w:p w14:paraId="22FB796E">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9.2.2 乙方逾期交货的 ，应在发货前与甲方和政府采购管理部门协商，甲方仍需求的，乙方应立即发货，按照逾期交货部分货款的每天</w:t>
      </w:r>
      <w:r>
        <w:rPr>
          <w:rFonts w:hint="eastAsia" w:ascii="宋体" w:hAnsi="宋体" w:eastAsia="宋体" w:cs="宋体"/>
          <w:sz w:val="24"/>
          <w:szCs w:val="24"/>
          <w:highlight w:val="none"/>
          <w:u w:val="single"/>
        </w:rPr>
        <w:t xml:space="preserve"> 0.1% </w:t>
      </w:r>
      <w:r>
        <w:rPr>
          <w:rFonts w:hint="eastAsia" w:ascii="宋体" w:hAnsi="宋体" w:eastAsia="宋体" w:cs="宋体"/>
          <w:sz w:val="24"/>
          <w:szCs w:val="24"/>
          <w:highlight w:val="none"/>
        </w:rPr>
        <w:t>支付逾期交货违约金，同时承担甲方因此遭致的损失费用。</w:t>
      </w:r>
    </w:p>
    <w:p w14:paraId="447077C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十、不可抗力</w:t>
      </w:r>
    </w:p>
    <w:p w14:paraId="1BF6E098">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10.1 因不可抗力不能履行合同的，根据不可抗力的影响，部分或者全部免除责任。但合同一方延迟履行后发生不可抗力的，不能免除责任。</w:t>
      </w:r>
    </w:p>
    <w:p w14:paraId="28DA07F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10.2 合同一方因不可抗力不能履行合同的，应当及时通知对方，以减轻可能给对方造成的损失，并应当在合理期限内提供证明。</w:t>
      </w:r>
    </w:p>
    <w:p w14:paraId="31F11140">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十一、索赔</w:t>
      </w:r>
    </w:p>
    <w:p w14:paraId="02A82E6E">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11.1 甲方有权根据当地产品质量检验机构或其他有权部门出具的检验证书向乙方提出索赔。</w:t>
      </w:r>
    </w:p>
    <w:p w14:paraId="17AA0BA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11.2 在本合同规定的检验期限和质量保证期内，如果乙方对甲方提出的索赔或差异有责任，则乙方应按甲方同意的下列一种或多种方式解决索赔事宜：</w:t>
      </w:r>
    </w:p>
    <w:p w14:paraId="2E27886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11.2.1 乙方同意退货，并按合同规定的货币将货款退还给甲方，并且承担由此发生的一切损失和费用，包括利息、银行手续费、运费、保险费、检验费、仓储费、装卸费以及为保护退回标的物所需的其他必要费用。</w:t>
      </w:r>
    </w:p>
    <w:p w14:paraId="1964130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11.2.2 根据标的物的低劣程度、损坏程度以及甲方遭受损失的数额，经双方协商确定降低标的物的价格。</w:t>
      </w:r>
    </w:p>
    <w:p w14:paraId="246D3361">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2D7A0C6E">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 xml:space="preserve">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305B404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十二、合同的解除和转让</w:t>
      </w:r>
    </w:p>
    <w:p w14:paraId="51C56EBE">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12.1 甲方和乙方协商一致，可以解除合同。</w:t>
      </w:r>
    </w:p>
    <w:p w14:paraId="39ED2B8F">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12.2 有下列情形之一，合同一方可以解除合同：</w:t>
      </w:r>
    </w:p>
    <w:p w14:paraId="6E758473">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12.2.1 因不可抗力致使不能实现合同目的，未受不可抗力影响的一方有权解除合同；</w:t>
      </w:r>
    </w:p>
    <w:p w14:paraId="7512BC70">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12.2.2 因合同一方违约导致合同不能履行，另一方有权解除合同</w:t>
      </w:r>
    </w:p>
    <w:p w14:paraId="569F12B4">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12.2.3 有权解除合同的一方，应当在违约事实或不可抗力发生之后三十天内书面通知对方以主张解除合同，合同在书面通知到达对方时解除。</w:t>
      </w:r>
    </w:p>
    <w:p w14:paraId="190FC47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12.3 合同的部分和全部都不得转让。</w:t>
      </w:r>
    </w:p>
    <w:p w14:paraId="44FF3A5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十三、合同的生效及备案</w:t>
      </w:r>
    </w:p>
    <w:p w14:paraId="4F0F9AA1">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本合同在乙方缴纳履约保证金，甲乙双方签字盖章后生效。</w:t>
      </w:r>
    </w:p>
    <w:p w14:paraId="72021069">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十四、争议的解决</w:t>
      </w:r>
    </w:p>
    <w:p w14:paraId="06CC3A61">
      <w:pPr>
        <w:adjustRightInd w:val="0"/>
        <w:snapToGrid w:val="0"/>
        <w:spacing w:line="500" w:lineRule="exact"/>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甲乙双方因合同发生争议，应在采购人的主持下进行调解，协商不成，任何一方可以向甲方所在地人民法院起诉。</w:t>
      </w:r>
    </w:p>
    <w:p w14:paraId="36F205A3">
      <w:pPr>
        <w:numPr>
          <w:ilvl w:val="0"/>
          <w:numId w:val="0"/>
        </w:numPr>
        <w:adjustRightInd w:val="0"/>
        <w:snapToGrid w:val="0"/>
        <w:spacing w:line="500" w:lineRule="exact"/>
        <w:ind w:firstLine="480" w:firstLineChars="200"/>
        <w:contextualSpacing/>
        <w:rPr>
          <w:rFonts w:hint="eastAsia" w:ascii="宋体" w:hAnsi="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十五、</w:t>
      </w:r>
      <w:r>
        <w:rPr>
          <w:rFonts w:hint="eastAsia" w:ascii="宋体" w:hAnsi="宋体" w:cs="宋体"/>
          <w:sz w:val="24"/>
          <w:szCs w:val="24"/>
          <w:highlight w:val="none"/>
          <w:lang w:val="en-US" w:eastAsia="zh-CN"/>
        </w:rPr>
        <w:t>其他</w:t>
      </w:r>
    </w:p>
    <w:p w14:paraId="02407C40">
      <w:pPr>
        <w:pStyle w:val="2"/>
        <w:numPr>
          <w:ilvl w:val="0"/>
          <w:numId w:val="0"/>
        </w:numPr>
        <w:rPr>
          <w:rFonts w:hint="default"/>
          <w:highlight w:val="none"/>
          <w:lang w:val="en-US" w:eastAsia="zh-CN"/>
        </w:rPr>
      </w:pPr>
    </w:p>
    <w:p w14:paraId="4C1E7712">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rPr>
        <w:t>、附则</w:t>
      </w:r>
    </w:p>
    <w:p w14:paraId="67CE4968">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.1 合同份数：本合同一式陆份，</w:t>
      </w:r>
      <w:r>
        <w:rPr>
          <w:rFonts w:ascii="宋体" w:hAnsi="宋体" w:eastAsia="宋体"/>
          <w:sz w:val="24"/>
          <w:szCs w:val="21"/>
          <w:highlight w:val="none"/>
        </w:rPr>
        <w:t>采购人、供应商各</w:t>
      </w:r>
      <w:r>
        <w:rPr>
          <w:rFonts w:hint="eastAsia" w:ascii="宋体" w:hAnsi="宋体" w:eastAsia="宋体"/>
          <w:sz w:val="24"/>
          <w:szCs w:val="21"/>
          <w:highlight w:val="none"/>
        </w:rPr>
        <w:t>叁</w:t>
      </w:r>
      <w:r>
        <w:rPr>
          <w:rFonts w:ascii="宋体" w:hAnsi="宋体" w:eastAsia="宋体"/>
          <w:sz w:val="24"/>
          <w:szCs w:val="21"/>
          <w:highlight w:val="none"/>
        </w:rPr>
        <w:t>份</w:t>
      </w:r>
      <w:r>
        <w:rPr>
          <w:rFonts w:hint="eastAsia" w:ascii="宋体" w:hAnsi="宋体" w:eastAsia="宋体" w:cs="宋体"/>
          <w:sz w:val="24"/>
          <w:szCs w:val="24"/>
          <w:highlight w:val="none"/>
        </w:rPr>
        <w:t>。</w:t>
      </w:r>
    </w:p>
    <w:p w14:paraId="41A8AE55">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.2 本合同文件使用中文书写、解释和说明。</w:t>
      </w:r>
    </w:p>
    <w:p w14:paraId="44959E36">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.3 本合同履行过程中产生的纪要、协议以及中标通知书、采购响应文件和采购文件为本合同的附件，与合同具有同等效力。</w:t>
      </w:r>
    </w:p>
    <w:p w14:paraId="01EA1788">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.4 未尽事宜</w:t>
      </w:r>
    </w:p>
    <w:p w14:paraId="7B76A4B7">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本合同未尽事宜应按照《</w:t>
      </w:r>
      <w:r>
        <w:rPr>
          <w:rFonts w:hint="eastAsia" w:ascii="宋体" w:hAnsi="宋体" w:cs="宋体"/>
          <w:sz w:val="24"/>
          <w:szCs w:val="24"/>
          <w:highlight w:val="none"/>
          <w:lang w:eastAsia="zh-CN"/>
        </w:rPr>
        <w:t xml:space="preserve">中华人民共和国民法典 </w:t>
      </w:r>
      <w:r>
        <w:rPr>
          <w:rFonts w:hint="eastAsia" w:ascii="宋体" w:hAnsi="宋体" w:eastAsia="宋体" w:cs="宋体"/>
          <w:sz w:val="24"/>
          <w:szCs w:val="24"/>
          <w:highlight w:val="none"/>
        </w:rPr>
        <w:t>》、《中华人民共和国政府采购法》及其相关配套法律法规之规定解释。</w:t>
      </w:r>
    </w:p>
    <w:p w14:paraId="09DC6049">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采购单位（盖章）：                中标供应商（盖章）：</w:t>
      </w:r>
    </w:p>
    <w:p w14:paraId="3F95B216">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法定代表人（签字）：              法定代表人（签字）：</w:t>
      </w:r>
    </w:p>
    <w:p w14:paraId="01C61461">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委托代理人（签字）：              委托代理人（签字）：</w:t>
      </w:r>
    </w:p>
    <w:p w14:paraId="24C7FD0D">
      <w:pPr>
        <w:adjustRightInd w:val="0"/>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8A3CDF9">
      <w:pPr>
        <w:snapToGrid w:val="0"/>
        <w:spacing w:line="480" w:lineRule="exact"/>
        <w:jc w:val="center"/>
        <w:rPr>
          <w:rFonts w:hint="eastAsia" w:ascii="宋体" w:hAnsi="宋体" w:cs="宋体"/>
          <w:b/>
          <w:kern w:val="44"/>
          <w:sz w:val="44"/>
          <w:szCs w:val="44"/>
          <w:highlight w:val="none"/>
        </w:rPr>
      </w:pPr>
      <w:r>
        <w:rPr>
          <w:rFonts w:ascii="宋体" w:hAnsi="宋体" w:cs="宋体"/>
          <w:b/>
          <w:i/>
          <w:kern w:val="44"/>
          <w:sz w:val="44"/>
          <w:szCs w:val="44"/>
          <w:highlight w:val="none"/>
        </w:rPr>
        <w:br w:type="page"/>
      </w:r>
      <w:r>
        <w:rPr>
          <w:rFonts w:hint="eastAsia" w:ascii="宋体" w:hAnsi="宋体" w:cs="宋体"/>
          <w:b/>
          <w:kern w:val="44"/>
          <w:sz w:val="44"/>
          <w:szCs w:val="44"/>
          <w:highlight w:val="none"/>
        </w:rPr>
        <w:t>第六章 质疑提出和处理</w:t>
      </w:r>
    </w:p>
    <w:p w14:paraId="5EB136EE">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格式请在南通政府采购网“下载中心--有关质疑资料”下载</w:t>
      </w:r>
    </w:p>
    <w:p w14:paraId="70C0BCA3">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一、质疑的提出</w:t>
      </w:r>
    </w:p>
    <w:p w14:paraId="4D9FC2A5">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1、质疑人必须是直接参加本次磋商活动的当事人。</w:t>
      </w:r>
    </w:p>
    <w:p w14:paraId="0DD91BC0">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下载磋商文件的供应商应根据第二章“投标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14:paraId="2F3342A4">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提出质疑时，必须坚持“谁主张，谁举证”、“实事求是”的原则，不能臆测。属于须由法定部门调查、侦查或先行作出相关认定的事项，质疑人应当依法申请具有法定职权的部门查清、认定，并将相关结果提供给采购单位或采购单位。采购单位或采购单位不具有法定调查、认定权限。</w:t>
      </w:r>
    </w:p>
    <w:p w14:paraId="5B8737D8">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240E06A7">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对不能提供相关佐证材料的、涉及商业秘密的、非书面形式的、非送达的、匿名的《质疑函》将不予受理。</w:t>
      </w:r>
    </w:p>
    <w:p w14:paraId="345A382B">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6、相关佐证材料要具备客观性、关联性、合法性，无法查实的（如宣传册、媒体报道、猜测、推理等）不能作为佐证材料。</w:t>
      </w:r>
    </w:p>
    <w:p w14:paraId="38B41AF3">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7、采购单位或采购单位不负责搜集相关佐证材料等工作。</w:t>
      </w:r>
    </w:p>
    <w:p w14:paraId="237035F8">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二、《质疑函》的受理和回复</w:t>
      </w:r>
    </w:p>
    <w:p w14:paraId="2F8840BD">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1、《质疑函》须由质疑人的法定代表人或参加本次磋商被授权人送达采购单位和采购单位。</w:t>
      </w:r>
    </w:p>
    <w:p w14:paraId="640F5E59">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对符合提出质疑要求的，采购单位、采购单位签收并出具《质疑受理通知书》。在处理过程中，发现需要质疑人进一步补充相关佐证材料的，请质疑人在规定的时间内提供，质疑回复时间相应顺延。质疑人不能按时提供相关佐证材料的，视同放弃质疑。</w:t>
      </w:r>
    </w:p>
    <w:p w14:paraId="3A6AB856">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3、对不符合提出质疑要求的，出具《质疑退回通知书》并提出相关补充材料要求，质疑人未在规定的时间内提供补充佐证材料的，视同放弃质疑。</w:t>
      </w:r>
    </w:p>
    <w:p w14:paraId="492FF8C3">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4、采购单位、采购单位负责将质疑人提出的质疑相关材料提供给相关专家或评审小组审核，并将审核意见回复质疑人。</w:t>
      </w:r>
    </w:p>
    <w:p w14:paraId="73ED2AC7">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秘密的、非书面形式的、非送达的、匿名的《质疑函》将不予受理。</w:t>
      </w:r>
    </w:p>
    <w:p w14:paraId="78D80D87">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2A9901F">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5、因质疑情况复杂，组织论证或审查时间较长的，采购单位、采购单位以书面形式通知质疑人，可适当延长质疑回复处理时间。</w:t>
      </w:r>
    </w:p>
    <w:p w14:paraId="3077391D">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三、质疑处理</w:t>
      </w:r>
    </w:p>
    <w:p w14:paraId="425070CC">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1、质疑成立的处理。采购单位或采购单位终止采购，并建议有关部门给相关当事人予以处理。</w:t>
      </w:r>
    </w:p>
    <w:p w14:paraId="55110040">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2、质疑不成立的处理。</w:t>
      </w:r>
    </w:p>
    <w:p w14:paraId="07C78BEB">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1）质疑人书面《申请撤回质疑函》的，不作违约处理。</w:t>
      </w:r>
    </w:p>
    <w:p w14:paraId="21EBD9AA">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2）质疑人在规定的时间内不配合进行质疑调查处理的，按自动撤回《质疑函》处理。</w:t>
      </w:r>
    </w:p>
    <w:p w14:paraId="0968FD67">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3）质疑人不按《质疑函》格式就提出质疑的，作违约处理。同时，视情列入不良供应商名单。</w:t>
      </w:r>
    </w:p>
    <w:p w14:paraId="55230EC5">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4）质疑人虽提供了相关佐证材料，但不能证明其质疑成立的，采购单位或采购单位请质疑人补充相关佐证材料，仍不能证明其质疑成立的，作违约处理。并将其列入不良供应商名单。</w:t>
      </w:r>
    </w:p>
    <w:p w14:paraId="60E777F5">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5）质疑人不能提供相关佐证材料的，采购单位、采购单位已指出，质疑人仍然坚持提出质疑的，作违约处理。同时，列入不良供应商名单。</w:t>
      </w:r>
    </w:p>
    <w:p w14:paraId="6BFE32E4">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5B7784BB">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7）质疑人承担使用虚假材料或恶意方式质疑的法律责任。</w:t>
      </w:r>
    </w:p>
    <w:p w14:paraId="616932BA">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307EE3F2">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0CFD69CC">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六、《质疑函》、《质疑回复函》，质疑、举报、投诉不成立的等相关情况，视情在南通政府采购网、省、国家级等相关媒体予以披露。并建议相关政府采购机构对该供应商同步实施1至3年内禁入。</w:t>
      </w:r>
    </w:p>
    <w:p w14:paraId="08A99B6D">
      <w:pPr>
        <w:adjustRightInd w:val="0"/>
        <w:snapToGrid w:val="0"/>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七、质疑供应商对采购单位或单位的答复不满意或者采购单位或单位未在规定的时间内作出答复的，可以在答复期满后15个工作日内向政府采购监督管理部门投诉。</w:t>
      </w:r>
    </w:p>
    <w:bookmarkEnd w:id="64"/>
    <w:bookmarkEnd w:id="65"/>
    <w:p w14:paraId="1B3F0E9E">
      <w:pPr>
        <w:pStyle w:val="3"/>
        <w:keepNext w:val="0"/>
        <w:keepLines w:val="0"/>
        <w:numPr>
          <w:ilvl w:val="0"/>
          <w:numId w:val="0"/>
        </w:numPr>
        <w:snapToGrid w:val="0"/>
        <w:spacing w:before="0" w:after="120" w:afterLines="50" w:line="520" w:lineRule="exact"/>
        <w:ind w:left="420"/>
        <w:jc w:val="center"/>
        <w:rPr>
          <w:rFonts w:hint="eastAsia" w:ascii="仿宋_GB2312" w:hAnsi="宋体" w:eastAsia="仿宋_GB2312" w:cs="宋体"/>
          <w:b w:val="0"/>
          <w:szCs w:val="44"/>
          <w:highlight w:val="none"/>
        </w:rPr>
      </w:pPr>
      <w:bookmarkStart w:id="75" w:name="_Toc363573860"/>
      <w:r>
        <w:rPr>
          <w:rFonts w:ascii="宋体" w:hAnsi="宋体" w:cs="宋体"/>
          <w:w w:val="80"/>
          <w:sz w:val="24"/>
          <w:szCs w:val="24"/>
          <w:highlight w:val="none"/>
        </w:rPr>
        <w:br w:type="page"/>
      </w:r>
      <w:bookmarkEnd w:id="75"/>
      <w:r>
        <w:rPr>
          <w:rFonts w:hint="eastAsia" w:ascii="宋体" w:hAnsi="宋体" w:cs="宋体"/>
          <w:szCs w:val="44"/>
          <w:highlight w:val="none"/>
        </w:rPr>
        <w:t>第七章  响应文件组成及格式</w:t>
      </w:r>
    </w:p>
    <w:p w14:paraId="0E59754B">
      <w:pPr>
        <w:adjustRightInd w:val="0"/>
        <w:snapToGrid w:val="0"/>
        <w:spacing w:line="480" w:lineRule="exact"/>
        <w:ind w:firstLine="487" w:firstLineChars="202"/>
        <w:jc w:val="left"/>
        <w:rPr>
          <w:rFonts w:hint="eastAsia" w:ascii="宋体" w:hAnsi="宋体" w:cs="宋体"/>
          <w:b/>
          <w:bCs/>
          <w:sz w:val="24"/>
          <w:szCs w:val="24"/>
          <w:highlight w:val="none"/>
        </w:rPr>
      </w:pPr>
      <w:r>
        <w:rPr>
          <w:rFonts w:hint="eastAsia" w:ascii="宋体" w:hAnsi="宋体" w:cs="宋体"/>
          <w:b/>
          <w:bCs/>
          <w:sz w:val="24"/>
          <w:szCs w:val="24"/>
          <w:highlight w:val="none"/>
        </w:rPr>
        <w:t xml:space="preserve">响应文件由①资格审查文件、②技术响应文件、③商务报价响应文件共四部分组成。本次竞争性磋商采用资格后审方式，供应商须将资格审查文件作为响应文件组成部分，按磋商文件要求装订密封后一起递交。 </w:t>
      </w:r>
    </w:p>
    <w:p w14:paraId="6ED2D245">
      <w:pPr>
        <w:adjustRightInd w:val="0"/>
        <w:snapToGrid w:val="0"/>
        <w:spacing w:line="480" w:lineRule="exact"/>
        <w:ind w:firstLine="487" w:firstLineChars="202"/>
        <w:jc w:val="left"/>
        <w:outlineLvl w:val="1"/>
        <w:rPr>
          <w:rFonts w:hint="eastAsia" w:ascii="宋体" w:hAnsi="宋体" w:cs="宋体"/>
          <w:b/>
          <w:bCs/>
          <w:sz w:val="24"/>
          <w:szCs w:val="24"/>
          <w:highlight w:val="none"/>
        </w:rPr>
      </w:pPr>
      <w:r>
        <w:rPr>
          <w:rFonts w:hint="eastAsia" w:ascii="宋体" w:hAnsi="宋体" w:cs="宋体"/>
          <w:b/>
          <w:bCs/>
          <w:sz w:val="24"/>
          <w:szCs w:val="24"/>
          <w:highlight w:val="none"/>
        </w:rPr>
        <w:t>一、资格审查文件（单独密封）：</w:t>
      </w:r>
    </w:p>
    <w:p w14:paraId="03321B54">
      <w:pPr>
        <w:adjustRightInd w:val="0"/>
        <w:snapToGrid w:val="0"/>
        <w:spacing w:line="48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sz w:val="24"/>
          <w:szCs w:val="24"/>
          <w:highlight w:val="none"/>
        </w:rPr>
        <w:t>法定代表人参加投标的，必须提供法定代表人身份证明及法定代表人本人身份证复印件；非法定代表人参加投标的，必须提供法定代表人签名或盖章的授权委托书及法定代</w:t>
      </w:r>
      <w:r>
        <w:rPr>
          <w:rFonts w:hint="eastAsia" w:ascii="宋体" w:hAnsi="宋体" w:cs="宋体"/>
          <w:kern w:val="0"/>
          <w:sz w:val="24"/>
          <w:szCs w:val="24"/>
          <w:highlight w:val="none"/>
        </w:rPr>
        <w:t>表人和被授权人两个人的身份证复印件（格式参见附件）；</w:t>
      </w:r>
    </w:p>
    <w:p w14:paraId="53137F17">
      <w:pPr>
        <w:adjustRightInd w:val="0"/>
        <w:snapToGrid w:val="0"/>
        <w:spacing w:line="48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2、提供投标供应商企业营业执照（副本）的复印件（需加盖公章）；</w:t>
      </w:r>
    </w:p>
    <w:p w14:paraId="61324F70">
      <w:pPr>
        <w:pStyle w:val="2"/>
        <w:spacing w:line="480" w:lineRule="exact"/>
        <w:ind w:firstLine="480" w:firstLineChars="200"/>
        <w:rPr>
          <w:rFonts w:hint="eastAsia" w:ascii="宋体" w:hAnsi="宋体" w:cs="宋体"/>
          <w:kern w:val="0"/>
          <w:szCs w:val="24"/>
          <w:highlight w:val="none"/>
        </w:rPr>
      </w:pPr>
      <w:r>
        <w:rPr>
          <w:rFonts w:hint="eastAsia" w:ascii="宋体" w:hAnsi="宋体" w:cs="宋体"/>
          <w:kern w:val="0"/>
          <w:szCs w:val="24"/>
          <w:highlight w:val="none"/>
        </w:rPr>
        <w:t>3、投标人符合《政府采购法》第二十二条规定条件的承诺函；</w:t>
      </w:r>
    </w:p>
    <w:p w14:paraId="3B035BA4">
      <w:pPr>
        <w:spacing w:line="480" w:lineRule="exact"/>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、投标人须提供参与本次项目政府采购活动前三年内在经营活动中没有重大违法记录的书面《无重大违法记录声明函》原件。</w:t>
      </w:r>
    </w:p>
    <w:p w14:paraId="5B38F89C">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7、供应商近一年内内任意一个月依法缴纳税收和社会保障资金的记录（依法享受缓缴、免缴税收、社会保障资金的提供证明材料）；</w:t>
      </w:r>
    </w:p>
    <w:p w14:paraId="29D0935B">
      <w:pPr>
        <w:pStyle w:val="2"/>
        <w:spacing w:line="480" w:lineRule="exact"/>
        <w:ind w:firstLine="482" w:firstLineChars="200"/>
        <w:rPr>
          <w:rFonts w:hint="eastAsia" w:ascii="宋体" w:hAnsi="宋体" w:cs="宋体"/>
          <w:b/>
          <w:bCs/>
          <w:szCs w:val="24"/>
          <w:highlight w:val="none"/>
          <w:lang w:val="en-US" w:eastAsia="zh-CN"/>
        </w:rPr>
      </w:pPr>
      <w:r>
        <w:rPr>
          <w:rFonts w:hint="eastAsia" w:ascii="宋体" w:hAnsi="宋体" w:cs="宋体"/>
          <w:b/>
          <w:bCs/>
          <w:szCs w:val="24"/>
          <w:highlight w:val="none"/>
          <w:lang w:val="en-US" w:eastAsia="zh-CN"/>
        </w:rPr>
        <w:t>8、磋商响应供应商必须具有有效的城市及道路照明工程专业承包叁级及以上资质或钢结构工程专业承包叁级及以上资质，提供有效的资质证书复印件。</w:t>
      </w:r>
    </w:p>
    <w:p w14:paraId="01E1A25F">
      <w:pPr>
        <w:pStyle w:val="2"/>
        <w:spacing w:line="480" w:lineRule="exact"/>
        <w:ind w:firstLine="482" w:firstLineChars="200"/>
        <w:rPr>
          <w:rFonts w:hint="eastAsia" w:ascii="宋体" w:hAnsi="宋体" w:eastAsia="宋体" w:cs="宋体"/>
          <w:b/>
          <w:bCs/>
          <w:szCs w:val="24"/>
          <w:highlight w:val="none"/>
          <w:lang w:val="en-US" w:eastAsia="zh-CN"/>
        </w:rPr>
      </w:pPr>
      <w:r>
        <w:rPr>
          <w:rFonts w:hint="eastAsia" w:ascii="宋体" w:hAnsi="宋体" w:cs="宋体"/>
          <w:b/>
          <w:bCs/>
          <w:szCs w:val="24"/>
          <w:highlight w:val="none"/>
          <w:lang w:val="en-US" w:eastAsia="zh-CN"/>
        </w:rPr>
        <w:t>9、磋商响应供应商具有有效的安全生产许可证，提供有效的安全许可证复印件。</w:t>
      </w:r>
    </w:p>
    <w:p w14:paraId="29E8F79F">
      <w:pPr>
        <w:pStyle w:val="2"/>
        <w:spacing w:line="480" w:lineRule="exact"/>
        <w:ind w:firstLine="482" w:firstLineChars="200"/>
        <w:rPr>
          <w:rFonts w:hint="eastAsia" w:ascii="宋体" w:hAnsi="宋体" w:cs="宋体"/>
          <w:b/>
          <w:bCs/>
          <w:szCs w:val="24"/>
          <w:highlight w:val="none"/>
        </w:rPr>
      </w:pPr>
      <w:r>
        <w:rPr>
          <w:rFonts w:hint="eastAsia" w:ascii="宋体" w:hAnsi="宋体" w:cs="宋体"/>
          <w:b/>
          <w:bCs/>
          <w:szCs w:val="24"/>
          <w:highlight w:val="none"/>
          <w:lang w:val="en-US" w:eastAsia="zh-CN"/>
        </w:rPr>
        <w:t>10、</w:t>
      </w:r>
      <w:r>
        <w:rPr>
          <w:rFonts w:hint="eastAsia" w:ascii="宋体" w:hAnsi="宋体" w:cs="宋体"/>
          <w:b/>
          <w:bCs/>
          <w:szCs w:val="24"/>
          <w:highlight w:val="none"/>
        </w:rPr>
        <w:t>现场勘查证明（格式参见附件）</w:t>
      </w:r>
    </w:p>
    <w:p w14:paraId="62F80D6C">
      <w:pPr>
        <w:pStyle w:val="2"/>
        <w:spacing w:line="480" w:lineRule="exact"/>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lang w:val="en-US" w:eastAsia="zh-CN"/>
        </w:rPr>
        <w:t>11</w:t>
      </w:r>
      <w:r>
        <w:rPr>
          <w:rFonts w:hint="eastAsia" w:ascii="宋体" w:hAnsi="宋体" w:cs="宋体"/>
          <w:szCs w:val="24"/>
          <w:highlight w:val="none"/>
        </w:rPr>
        <w:t>、根据《省住房城乡建设关于开展建筑业企业资质动态监管工作的公告》(〔2018〕第 6 号)、《关于在我省国有资金投资工程建设项目招标投标中应用建筑企业资质动态监管结果有关要求的通知》（苏建招办〔2022〕2号）文件要求，投标人（或联合体中的施工单位）在投标文件递交截止时间当日，资质动态监管结果处于不合格状态的，将作为资格审查不通过处理。(企业动态资质查询信息以“江苏省建筑市场监管与诚信信息一体化平台”发布的信息为准)。资质动态监管执行苏建函建管〔2019〕233号“对资质核查结果为不达标的企业，不能参加招投标、合同备案等经营活动”的规定，仅对企业某项被核查为不达标的资质进行限制，不影响该企业其他核查达标的资质参加招投标、合同备案等经营活动。</w:t>
      </w:r>
      <w:r>
        <w:rPr>
          <w:rFonts w:hint="eastAsia" w:ascii="宋体" w:hAnsi="宋体" w:cs="宋体"/>
          <w:szCs w:val="24"/>
          <w:highlight w:val="none"/>
          <w:lang w:eastAsia="zh-CN"/>
        </w:rPr>
        <w:t>（</w:t>
      </w:r>
      <w:r>
        <w:rPr>
          <w:rFonts w:hint="eastAsia" w:ascii="宋体" w:hAnsi="宋体" w:cs="宋体"/>
          <w:szCs w:val="24"/>
          <w:highlight w:val="none"/>
          <w:lang w:val="en-US" w:eastAsia="zh-CN"/>
        </w:rPr>
        <w:t>招标代理在开标后在</w:t>
      </w:r>
      <w:r>
        <w:rPr>
          <w:rFonts w:hint="eastAsia" w:ascii="宋体" w:hAnsi="宋体" w:cs="宋体"/>
          <w:szCs w:val="24"/>
          <w:highlight w:val="none"/>
        </w:rPr>
        <w:t>江苏省建筑市场监管与诚信信息一体化平台</w:t>
      </w:r>
      <w:r>
        <w:rPr>
          <w:rFonts w:hint="eastAsia" w:ascii="宋体" w:hAnsi="宋体" w:cs="宋体"/>
          <w:szCs w:val="24"/>
          <w:highlight w:val="none"/>
          <w:lang w:val="en-US" w:eastAsia="zh-CN"/>
        </w:rPr>
        <w:t>查询</w:t>
      </w:r>
      <w:r>
        <w:rPr>
          <w:rFonts w:hint="eastAsia" w:ascii="宋体" w:hAnsi="宋体" w:cs="宋体"/>
          <w:szCs w:val="24"/>
          <w:highlight w:val="none"/>
          <w:lang w:eastAsia="zh-CN"/>
        </w:rPr>
        <w:t>）</w:t>
      </w:r>
    </w:p>
    <w:p w14:paraId="10A04DA2">
      <w:pPr>
        <w:pStyle w:val="2"/>
        <w:spacing w:line="480" w:lineRule="exact"/>
        <w:ind w:firstLine="480" w:firstLineChars="200"/>
        <w:rPr>
          <w:rFonts w:ascii="宋体" w:hAnsi="宋体" w:cs="宋体"/>
          <w:szCs w:val="24"/>
          <w:highlight w:val="none"/>
        </w:rPr>
      </w:pPr>
      <w:r>
        <w:rPr>
          <w:rFonts w:hint="eastAsia" w:ascii="宋体" w:hAnsi="宋体" w:cs="宋体"/>
          <w:szCs w:val="24"/>
          <w:highlight w:val="none"/>
          <w:lang w:val="en-US" w:eastAsia="zh-CN"/>
        </w:rPr>
        <w:t>12、</w:t>
      </w:r>
      <w:r>
        <w:rPr>
          <w:rFonts w:hint="eastAsia" w:ascii="宋体" w:hAnsi="宋体" w:cs="宋体"/>
          <w:szCs w:val="24"/>
          <w:highlight w:val="none"/>
        </w:rPr>
        <w:t>资格审查要求提供的其他材料。</w:t>
      </w:r>
    </w:p>
    <w:p w14:paraId="3DE921E8">
      <w:pPr>
        <w:spacing w:line="48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注：以上材料如为复印件均需加盖供应商单位公章。</w:t>
      </w:r>
    </w:p>
    <w:p w14:paraId="29175EBA">
      <w:pPr>
        <w:spacing w:line="48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（二）技术响应文件（单独密封）：</w:t>
      </w:r>
    </w:p>
    <w:p w14:paraId="28901FF0">
      <w:pPr>
        <w:spacing w:line="48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1、商务部分正负偏离表（</w:t>
      </w:r>
      <w:r>
        <w:rPr>
          <w:rFonts w:hint="eastAsia" w:ascii="宋体" w:hAnsi="宋体" w:cs="宋体"/>
          <w:sz w:val="24"/>
          <w:szCs w:val="24"/>
          <w:highlight w:val="none"/>
        </w:rPr>
        <w:t>格式参见附件</w:t>
      </w:r>
      <w:r>
        <w:rPr>
          <w:rFonts w:hint="eastAsia" w:ascii="宋体" w:hAnsi="宋体" w:cs="宋体"/>
          <w:bCs/>
          <w:sz w:val="24"/>
          <w:szCs w:val="24"/>
          <w:highlight w:val="none"/>
        </w:rPr>
        <w:t>）；</w:t>
      </w:r>
    </w:p>
    <w:p w14:paraId="2FF54FAF">
      <w:pPr>
        <w:spacing w:line="48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、技术部分正负偏离表（</w:t>
      </w:r>
      <w:r>
        <w:rPr>
          <w:rFonts w:hint="eastAsia" w:ascii="宋体" w:hAnsi="宋体" w:cs="宋体"/>
          <w:sz w:val="24"/>
          <w:szCs w:val="24"/>
          <w:highlight w:val="none"/>
        </w:rPr>
        <w:t>格式参见附件</w:t>
      </w:r>
      <w:r>
        <w:rPr>
          <w:rFonts w:hint="eastAsia" w:ascii="宋体" w:hAnsi="宋体" w:cs="宋体"/>
          <w:bCs/>
          <w:sz w:val="24"/>
          <w:szCs w:val="24"/>
          <w:highlight w:val="none"/>
        </w:rPr>
        <w:t>）；</w:t>
      </w:r>
    </w:p>
    <w:p w14:paraId="65808CCA">
      <w:pPr>
        <w:spacing w:line="480" w:lineRule="exact"/>
        <w:ind w:firstLine="480" w:firstLineChars="200"/>
        <w:rPr>
          <w:rFonts w:hint="eastAsia" w:eastAsia="宋体"/>
          <w:highlight w:val="none"/>
          <w:lang w:val="en-US" w:eastAsia="zh-CN"/>
        </w:rPr>
      </w:pPr>
      <w:r>
        <w:rPr>
          <w:rFonts w:hint="eastAsia" w:ascii="宋体" w:hAnsi="宋体" w:cs="宋体"/>
          <w:bCs/>
          <w:sz w:val="24"/>
          <w:szCs w:val="24"/>
          <w:highlight w:val="none"/>
          <w:lang w:val="en-US" w:eastAsia="zh-CN"/>
        </w:rPr>
        <w:t>3、承诺函</w:t>
      </w:r>
      <w:r>
        <w:rPr>
          <w:rFonts w:hint="eastAsia" w:ascii="宋体" w:hAnsi="宋体" w:cs="宋体"/>
          <w:bCs/>
          <w:sz w:val="24"/>
          <w:szCs w:val="24"/>
          <w:highlight w:val="none"/>
        </w:rPr>
        <w:t>（</w:t>
      </w:r>
      <w:r>
        <w:rPr>
          <w:rFonts w:hint="eastAsia" w:ascii="宋体" w:hAnsi="宋体" w:cs="宋体"/>
          <w:sz w:val="24"/>
          <w:szCs w:val="24"/>
          <w:highlight w:val="none"/>
        </w:rPr>
        <w:t>格式参见附件</w:t>
      </w:r>
      <w:r>
        <w:rPr>
          <w:rFonts w:hint="eastAsia" w:ascii="宋体" w:hAnsi="宋体" w:cs="宋体"/>
          <w:bCs/>
          <w:sz w:val="24"/>
          <w:szCs w:val="24"/>
          <w:highlight w:val="none"/>
        </w:rPr>
        <w:t>）</w:t>
      </w:r>
    </w:p>
    <w:p w14:paraId="5906ACEA">
      <w:pPr>
        <w:spacing w:line="48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技术标评标办法中所涉及的事项需提供的所有资料；</w:t>
      </w:r>
    </w:p>
    <w:p w14:paraId="479B4829">
      <w:pPr>
        <w:adjustRightInd w:val="0"/>
        <w:snapToGrid w:val="0"/>
        <w:spacing w:line="480" w:lineRule="exact"/>
        <w:ind w:firstLine="484" w:firstLineChars="202"/>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、磋商文件中所涉及的事项需提供的所有资料；</w:t>
      </w:r>
    </w:p>
    <w:p w14:paraId="1A43130D">
      <w:pPr>
        <w:adjustRightInd w:val="0"/>
        <w:snapToGrid w:val="0"/>
        <w:spacing w:line="480" w:lineRule="exact"/>
        <w:ind w:firstLine="484" w:firstLineChars="202"/>
        <w:jc w:val="left"/>
        <w:rPr>
          <w:rFonts w:hint="eastAsia"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、磋商文件中未涉及的事项，投标供应商认为需要提交的其他资料。</w:t>
      </w:r>
    </w:p>
    <w:p w14:paraId="3709EBCB">
      <w:pPr>
        <w:adjustRightInd w:val="0"/>
        <w:snapToGrid w:val="0"/>
        <w:spacing w:line="480" w:lineRule="exact"/>
        <w:ind w:firstLine="487" w:firstLineChars="202"/>
        <w:jc w:val="left"/>
        <w:rPr>
          <w:rFonts w:hint="eastAsia" w:ascii="宋体" w:hAnsi="宋体" w:cs="宋体"/>
          <w:b/>
          <w:bCs/>
          <w:sz w:val="24"/>
          <w:szCs w:val="24"/>
          <w:highlight w:val="none"/>
        </w:rPr>
      </w:pPr>
      <w:r>
        <w:rPr>
          <w:rFonts w:hint="eastAsia" w:ascii="宋体" w:hAnsi="宋体" w:cs="宋体"/>
          <w:b/>
          <w:bCs/>
          <w:sz w:val="24"/>
          <w:szCs w:val="24"/>
          <w:highlight w:val="none"/>
        </w:rPr>
        <w:t xml:space="preserve">特别提醒：“资格审查文件”、“技术响应文件”所须提供的材料按磋商文件要求装订，密封，递交。“资格审查文件”、“技术响应文件”涉及的相关原件请带至开标现场备查。未携带原件或因携带原件不全所引起的后果由投标人自行承担。 </w:t>
      </w:r>
    </w:p>
    <w:p w14:paraId="17A10D7B">
      <w:pPr>
        <w:adjustRightInd w:val="0"/>
        <w:snapToGrid w:val="0"/>
        <w:spacing w:line="480" w:lineRule="exact"/>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（三）商务报价响应文件（单独密封）</w:t>
      </w:r>
    </w:p>
    <w:p w14:paraId="5759BF95">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1.竞争性磋商响应函（格式参见附件）；</w:t>
      </w:r>
    </w:p>
    <w:p w14:paraId="54BD8CBE">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2.磋商响应报价总表（格式参见附件）；</w:t>
      </w:r>
    </w:p>
    <w:p w14:paraId="2541FB72">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3.磋商响应报价清单明细表</w:t>
      </w:r>
    </w:p>
    <w:p w14:paraId="13EDD03D">
      <w:pPr>
        <w:pStyle w:val="2"/>
        <w:rPr>
          <w:rFonts w:hint="eastAsia"/>
          <w:highlight w:val="none"/>
        </w:rPr>
      </w:pPr>
    </w:p>
    <w:p w14:paraId="29503561">
      <w:pPr>
        <w:spacing w:line="480" w:lineRule="exact"/>
        <w:rPr>
          <w:rFonts w:hint="eastAsia" w:ascii="仿宋_GB2312" w:hAnsi="宋体" w:eastAsia="仿宋_GB2312" w:cs="宋体"/>
          <w:b/>
          <w:bCs/>
          <w:sz w:val="28"/>
          <w:szCs w:val="28"/>
          <w:highlight w:val="none"/>
        </w:rPr>
      </w:pPr>
      <w:r>
        <w:rPr>
          <w:rFonts w:hint="eastAsia"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附件：</w:t>
      </w:r>
    </w:p>
    <w:p w14:paraId="0BF2A019">
      <w:pPr>
        <w:snapToGrid w:val="0"/>
        <w:spacing w:line="520" w:lineRule="exact"/>
        <w:jc w:val="center"/>
        <w:outlineLvl w:val="3"/>
        <w:rPr>
          <w:rFonts w:hint="eastAsia" w:ascii="仿宋_GB2312" w:hAnsi="宋体" w:eastAsia="仿宋_GB2312" w:cs="宋体"/>
          <w:b/>
          <w:sz w:val="28"/>
          <w:szCs w:val="28"/>
          <w:highlight w:val="none"/>
        </w:rPr>
      </w:pPr>
      <w:r>
        <w:rPr>
          <w:rFonts w:hint="eastAsia" w:ascii="仿宋_GB2312" w:hAnsi="宋体" w:eastAsia="仿宋_GB2312" w:cs="宋体"/>
          <w:b/>
          <w:sz w:val="28"/>
          <w:szCs w:val="28"/>
          <w:highlight w:val="none"/>
        </w:rPr>
        <w:t>1、法定代表人身份证明</w:t>
      </w:r>
    </w:p>
    <w:p w14:paraId="17BCE6AD">
      <w:pPr>
        <w:snapToGrid w:val="0"/>
        <w:spacing w:line="520" w:lineRule="exact"/>
        <w:jc w:val="center"/>
        <w:rPr>
          <w:rFonts w:hint="eastAsia" w:ascii="仿宋_GB2312" w:hAnsi="宋体" w:eastAsia="仿宋_GB2312" w:cs="宋体"/>
          <w:sz w:val="28"/>
          <w:szCs w:val="28"/>
          <w:highlight w:val="none"/>
        </w:rPr>
      </w:pPr>
    </w:p>
    <w:p w14:paraId="62C3E7BD">
      <w:pPr>
        <w:snapToGrid w:val="0"/>
        <w:spacing w:line="520" w:lineRule="exact"/>
        <w:jc w:val="left"/>
        <w:rPr>
          <w:rFonts w:hint="eastAsia" w:ascii="仿宋_GB2312" w:hAnsi="宋体" w:eastAsia="等线" w:cs="宋体"/>
          <w:b/>
          <w:sz w:val="28"/>
          <w:szCs w:val="28"/>
          <w:highlight w:val="none"/>
          <w:u w:val="single"/>
        </w:rPr>
      </w:pPr>
      <w:r>
        <w:rPr>
          <w:rFonts w:hint="eastAsia" w:ascii="仿宋_GB2312" w:hAnsi="宋体" w:eastAsia="等线" w:cs="宋体"/>
          <w:b/>
          <w:sz w:val="28"/>
          <w:szCs w:val="28"/>
          <w:highlight w:val="none"/>
          <w:u w:val="single"/>
        </w:rPr>
        <w:t xml:space="preserve">                           </w:t>
      </w:r>
      <w:r>
        <w:rPr>
          <w:rFonts w:hint="eastAsia" w:ascii="仿宋_GB2312" w:hAnsi="宋体" w:eastAsia="仿宋_GB2312" w:cs="宋体"/>
          <w:b/>
          <w:sz w:val="28"/>
          <w:szCs w:val="28"/>
          <w:highlight w:val="none"/>
          <w:u w:val="single"/>
        </w:rPr>
        <w:t>:</w:t>
      </w:r>
    </w:p>
    <w:p w14:paraId="7804E139">
      <w:pPr>
        <w:snapToGrid w:val="0"/>
        <w:spacing w:line="520" w:lineRule="exact"/>
        <w:ind w:firstLine="560" w:firstLineChars="2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我公司法定代表人</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参加贵单位组织的</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（竞争性磋商项目名称)项目的磋商活动，全权代表我公司处理竞争性磋商的有关事宜。</w:t>
      </w:r>
    </w:p>
    <w:p w14:paraId="47FD94C4">
      <w:pPr>
        <w:snapToGrid w:val="0"/>
        <w:spacing w:line="52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附：法定代表人情况：</w:t>
      </w:r>
    </w:p>
    <w:p w14:paraId="4897E6C5">
      <w:pPr>
        <w:snapToGrid w:val="0"/>
        <w:spacing w:line="520" w:lineRule="exact"/>
        <w:rPr>
          <w:rFonts w:hint="eastAsia" w:ascii="仿宋_GB2312" w:hAnsi="宋体" w:eastAsia="仿宋_GB2312" w:cs="宋体"/>
          <w:sz w:val="28"/>
          <w:szCs w:val="28"/>
          <w:highlight w:val="none"/>
          <w:u w:val="single"/>
        </w:rPr>
      </w:pPr>
      <w:r>
        <w:rPr>
          <w:rFonts w:hint="eastAsia" w:ascii="仿宋_GB2312" w:hAnsi="宋体" w:eastAsia="仿宋_GB2312" w:cs="宋体"/>
          <w:sz w:val="28"/>
          <w:szCs w:val="28"/>
          <w:highlight w:val="none"/>
        </w:rPr>
        <w:t>姓名：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性别：</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年龄：</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职务：</w:t>
      </w:r>
      <w:r>
        <w:rPr>
          <w:rFonts w:hint="eastAsia" w:ascii="仿宋_GB2312" w:hAnsi="宋体" w:eastAsia="仿宋_GB2312" w:cs="宋体"/>
          <w:sz w:val="28"/>
          <w:szCs w:val="28"/>
          <w:highlight w:val="none"/>
          <w:u w:val="single"/>
        </w:rPr>
        <w:t xml:space="preserve">          </w:t>
      </w:r>
    </w:p>
    <w:p w14:paraId="0F3A0BB9">
      <w:pPr>
        <w:snapToGrid w:val="0"/>
        <w:spacing w:line="52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身份证号码：</w:t>
      </w:r>
      <w:r>
        <w:rPr>
          <w:rFonts w:hint="eastAsia" w:ascii="仿宋_GB2312" w:hAnsi="宋体" w:eastAsia="仿宋_GB2312" w:cs="宋体"/>
          <w:sz w:val="28"/>
          <w:szCs w:val="28"/>
          <w:highlight w:val="none"/>
          <w:u w:val="single"/>
        </w:rPr>
        <w:t xml:space="preserve">                                         </w:t>
      </w:r>
    </w:p>
    <w:p w14:paraId="33C0CCFB">
      <w:pPr>
        <w:snapToGrid w:val="0"/>
        <w:spacing w:line="52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手机：</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传真：</w:t>
      </w:r>
      <w:r>
        <w:rPr>
          <w:rFonts w:hint="eastAsia" w:ascii="仿宋_GB2312" w:hAnsi="宋体" w:eastAsia="仿宋_GB2312" w:cs="宋体"/>
          <w:sz w:val="28"/>
          <w:szCs w:val="28"/>
          <w:highlight w:val="none"/>
          <w:u w:val="single"/>
        </w:rPr>
        <w:t xml:space="preserve">                       </w:t>
      </w:r>
    </w:p>
    <w:p w14:paraId="2543C35C">
      <w:pPr>
        <w:snapToGrid w:val="0"/>
        <w:spacing w:line="520" w:lineRule="exact"/>
        <w:rPr>
          <w:rFonts w:hint="eastAsia" w:ascii="仿宋_GB2312" w:hAnsi="宋体" w:eastAsia="仿宋_GB2312" w:cs="宋体"/>
          <w:sz w:val="28"/>
          <w:szCs w:val="28"/>
          <w:highlight w:val="none"/>
        </w:rPr>
      </w:pPr>
      <w:r>
        <w:rPr>
          <w:rFonts w:hint="eastAsia" w:ascii="宋体" w:hAnsi="宋体" w:eastAsia="仿宋_GB2312" w:cs="宋体"/>
          <w:sz w:val="28"/>
          <w:szCs w:val="28"/>
          <w:highlight w:val="none"/>
        </w:rPr>
        <w:t> </w:t>
      </w:r>
    </w:p>
    <w:p w14:paraId="79342281">
      <w:pPr>
        <w:snapToGrid w:val="0"/>
        <w:spacing w:line="520" w:lineRule="exact"/>
        <w:rPr>
          <w:rFonts w:hint="eastAsia" w:ascii="仿宋_GB2312" w:hAnsi="宋体" w:eastAsia="仿宋_GB2312" w:cs="宋体"/>
          <w:sz w:val="28"/>
          <w:szCs w:val="28"/>
          <w:highlight w:val="none"/>
        </w:rPr>
      </w:pPr>
    </w:p>
    <w:p w14:paraId="4A702904">
      <w:pPr>
        <w:snapToGrid w:val="0"/>
        <w:spacing w:line="52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单位名称（公章）             法定代表人（签字或盖章）</w:t>
      </w:r>
    </w:p>
    <w:p w14:paraId="078CD22C">
      <w:pPr>
        <w:snapToGrid w:val="0"/>
        <w:spacing w:line="520" w:lineRule="exact"/>
        <w:ind w:firstLine="1400" w:firstLineChars="5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年   月   日                 年   月    日  </w:t>
      </w:r>
    </w:p>
    <w:p w14:paraId="77F16510">
      <w:pPr>
        <w:snapToGrid w:val="0"/>
        <w:spacing w:line="520" w:lineRule="exact"/>
        <w:rPr>
          <w:rFonts w:hint="eastAsia" w:ascii="仿宋_GB2312" w:hAnsi="宋体" w:eastAsia="仿宋_GB2312" w:cs="宋体"/>
          <w:sz w:val="28"/>
          <w:szCs w:val="28"/>
          <w:highlight w:val="none"/>
        </w:rPr>
      </w:pPr>
    </w:p>
    <w:p w14:paraId="1CF6BF50">
      <w:pPr>
        <w:snapToGrid w:val="0"/>
        <w:spacing w:line="52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法定代表人身份证复印件</w:t>
      </w:r>
    </w:p>
    <w:p w14:paraId="5AE11C5A">
      <w:pPr>
        <w:snapToGrid w:val="0"/>
        <w:spacing w:line="520" w:lineRule="exact"/>
        <w:rPr>
          <w:rFonts w:hint="eastAsia" w:ascii="仿宋_GB2312" w:hAnsi="宋体" w:eastAsia="仿宋_GB2312" w:cs="宋体"/>
          <w:sz w:val="28"/>
          <w:szCs w:val="28"/>
          <w:highlight w:val="none"/>
        </w:rPr>
      </w:pPr>
    </w:p>
    <w:p w14:paraId="5A03840B">
      <w:pPr>
        <w:snapToGrid w:val="0"/>
        <w:spacing w:line="520" w:lineRule="exact"/>
        <w:ind w:firstLine="2660" w:firstLineChars="95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（粘贴此处）</w:t>
      </w:r>
    </w:p>
    <w:p w14:paraId="62C6D285">
      <w:pPr>
        <w:snapToGrid w:val="0"/>
        <w:spacing w:line="520" w:lineRule="exact"/>
        <w:ind w:firstLine="562" w:firstLineChars="200"/>
        <w:rPr>
          <w:rFonts w:hint="eastAsia"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注:参加磋商时法定代表人将身份证原件带至磋商现场备查。</w:t>
      </w:r>
    </w:p>
    <w:p w14:paraId="7A57FB14">
      <w:pPr>
        <w:snapToGrid w:val="0"/>
        <w:spacing w:line="520" w:lineRule="exact"/>
        <w:jc w:val="center"/>
        <w:outlineLvl w:val="3"/>
        <w:rPr>
          <w:rFonts w:hint="eastAsia" w:ascii="仿宋_GB2312" w:hAnsi="宋体" w:eastAsia="仿宋_GB2312" w:cs="宋体"/>
          <w:b/>
          <w:sz w:val="28"/>
          <w:szCs w:val="28"/>
          <w:highlight w:val="none"/>
        </w:rPr>
      </w:pPr>
      <w:r>
        <w:rPr>
          <w:rFonts w:hint="eastAsia"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2、授权委托书</w:t>
      </w:r>
    </w:p>
    <w:p w14:paraId="6105AF3D">
      <w:pPr>
        <w:snapToGrid w:val="0"/>
        <w:spacing w:line="520" w:lineRule="exact"/>
        <w:jc w:val="center"/>
        <w:rPr>
          <w:rFonts w:hint="eastAsia" w:ascii="仿宋_GB2312" w:hAnsi="宋体" w:eastAsia="仿宋_GB2312" w:cs="宋体"/>
          <w:bCs/>
          <w:sz w:val="28"/>
          <w:szCs w:val="28"/>
          <w:highlight w:val="none"/>
        </w:rPr>
      </w:pPr>
    </w:p>
    <w:p w14:paraId="6929F2D0">
      <w:pPr>
        <w:snapToGrid w:val="0"/>
        <w:spacing w:line="520" w:lineRule="exact"/>
        <w:jc w:val="left"/>
        <w:rPr>
          <w:rFonts w:hint="eastAsia" w:ascii="仿宋_GB2312" w:hAnsi="宋体" w:eastAsia="仿宋_GB2312" w:cs="宋体"/>
          <w:sz w:val="28"/>
          <w:szCs w:val="28"/>
          <w:highlight w:val="none"/>
          <w:u w:val="single"/>
        </w:rPr>
      </w:pPr>
      <w:r>
        <w:rPr>
          <w:rFonts w:hint="eastAsia" w:ascii="仿宋_GB2312" w:hAnsi="宋体" w:eastAsia="等线" w:cs="宋体"/>
          <w:b/>
          <w:sz w:val="28"/>
          <w:szCs w:val="28"/>
          <w:highlight w:val="none"/>
          <w:u w:val="single"/>
        </w:rPr>
        <w:t xml:space="preserve">                        </w:t>
      </w:r>
      <w:r>
        <w:rPr>
          <w:rFonts w:hint="eastAsia" w:ascii="仿宋_GB2312" w:hAnsi="宋体" w:eastAsia="仿宋_GB2312" w:cs="宋体"/>
          <w:sz w:val="28"/>
          <w:szCs w:val="28"/>
          <w:highlight w:val="none"/>
          <w:u w:val="single"/>
        </w:rPr>
        <w:t>:</w:t>
      </w:r>
    </w:p>
    <w:p w14:paraId="33B9614D">
      <w:pPr>
        <w:snapToGrid w:val="0"/>
        <w:spacing w:line="480" w:lineRule="exact"/>
        <w:ind w:firstLine="560" w:firstLineChars="2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兹授权</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被授权人的姓名）代表我公司参加</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 xml:space="preserve">（竞争性磋商项目名称)项目的政府采购活动，全权处理一切与该项目招标有关的事务。其在办理上述事宜过程中所签署的所有文件我公司均予以承认。  </w:t>
      </w:r>
    </w:p>
    <w:p w14:paraId="4B0C0988">
      <w:pPr>
        <w:adjustRightInd w:val="0"/>
        <w:snapToGrid w:val="0"/>
        <w:spacing w:line="500" w:lineRule="exact"/>
        <w:ind w:firstLine="560" w:firstLineChars="200"/>
        <w:jc w:val="left"/>
        <w:rPr>
          <w:rFonts w:hint="eastAsia" w:ascii="仿宋_GB2312" w:hAnsi="宋体" w:eastAsia="仿宋_GB2312" w:cs="宋体"/>
          <w:kern w:val="0"/>
          <w:sz w:val="28"/>
          <w:szCs w:val="28"/>
          <w:highlight w:val="none"/>
        </w:rPr>
      </w:pPr>
    </w:p>
    <w:p w14:paraId="41BC32F5">
      <w:pPr>
        <w:adjustRightInd w:val="0"/>
        <w:snapToGrid w:val="0"/>
        <w:spacing w:line="500" w:lineRule="exact"/>
        <w:ind w:firstLine="560" w:firstLineChars="200"/>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被授权人无转委托权，特此委托。</w:t>
      </w:r>
    </w:p>
    <w:p w14:paraId="396CEF10">
      <w:pPr>
        <w:adjustRightInd w:val="0"/>
        <w:snapToGrid w:val="0"/>
        <w:spacing w:line="500" w:lineRule="exact"/>
        <w:ind w:firstLine="560" w:firstLineChars="200"/>
        <w:jc w:val="left"/>
        <w:rPr>
          <w:rFonts w:hint="eastAsia" w:ascii="仿宋_GB2312" w:hAnsi="宋体" w:eastAsia="仿宋_GB2312" w:cs="宋体"/>
          <w:kern w:val="0"/>
          <w:sz w:val="28"/>
          <w:szCs w:val="28"/>
          <w:highlight w:val="none"/>
        </w:rPr>
      </w:pPr>
    </w:p>
    <w:p w14:paraId="68F74487">
      <w:pPr>
        <w:spacing w:line="48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附：被授权人情况：</w:t>
      </w:r>
    </w:p>
    <w:p w14:paraId="6BC2B5AB">
      <w:pPr>
        <w:spacing w:line="480" w:lineRule="exact"/>
        <w:rPr>
          <w:rFonts w:hint="eastAsia" w:ascii="仿宋_GB2312" w:hAnsi="宋体" w:eastAsia="仿宋_GB2312" w:cs="宋体"/>
          <w:sz w:val="28"/>
          <w:szCs w:val="28"/>
          <w:highlight w:val="none"/>
          <w:u w:val="single"/>
        </w:rPr>
      </w:pPr>
      <w:r>
        <w:rPr>
          <w:rFonts w:hint="eastAsia" w:ascii="仿宋_GB2312" w:hAnsi="宋体" w:eastAsia="仿宋_GB2312" w:cs="宋体"/>
          <w:sz w:val="28"/>
          <w:szCs w:val="28"/>
          <w:highlight w:val="none"/>
        </w:rPr>
        <w:t>姓名：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 xml:space="preserve"> 性别：</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年龄：</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职务：</w:t>
      </w:r>
      <w:r>
        <w:rPr>
          <w:rFonts w:hint="eastAsia" w:ascii="仿宋_GB2312" w:hAnsi="宋体" w:eastAsia="仿宋_GB2312" w:cs="宋体"/>
          <w:sz w:val="28"/>
          <w:szCs w:val="28"/>
          <w:highlight w:val="none"/>
          <w:u w:val="single"/>
        </w:rPr>
        <w:t xml:space="preserve">          </w:t>
      </w:r>
    </w:p>
    <w:p w14:paraId="3E673E2F">
      <w:pPr>
        <w:spacing w:line="48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身份证号码：</w:t>
      </w:r>
      <w:r>
        <w:rPr>
          <w:rFonts w:hint="eastAsia" w:ascii="仿宋_GB2312" w:hAnsi="宋体" w:eastAsia="仿宋_GB2312" w:cs="宋体"/>
          <w:sz w:val="28"/>
          <w:szCs w:val="28"/>
          <w:highlight w:val="none"/>
          <w:u w:val="single"/>
        </w:rPr>
        <w:t xml:space="preserve">                                          </w:t>
      </w:r>
    </w:p>
    <w:p w14:paraId="34E16614">
      <w:pPr>
        <w:spacing w:line="48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手机：</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传真：</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 xml:space="preserve"> </w:t>
      </w:r>
    </w:p>
    <w:p w14:paraId="7B1488E1">
      <w:pPr>
        <w:spacing w:line="48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单位名称（公章）             法定代表人（签字或盖章）</w:t>
      </w:r>
    </w:p>
    <w:p w14:paraId="381ED3EC">
      <w:pPr>
        <w:spacing w:line="480" w:lineRule="exact"/>
        <w:ind w:firstLine="1400" w:firstLineChars="50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年   月   日                 年   月    日  </w:t>
      </w:r>
    </w:p>
    <w:p w14:paraId="7E4D2C94">
      <w:pPr>
        <w:spacing w:line="480" w:lineRule="exact"/>
        <w:rPr>
          <w:rFonts w:hint="eastAsia" w:ascii="仿宋_GB2312" w:hAnsi="宋体" w:eastAsia="仿宋_GB2312" w:cs="宋体"/>
          <w:sz w:val="28"/>
          <w:szCs w:val="28"/>
          <w:highlight w:val="none"/>
        </w:rPr>
      </w:pPr>
    </w:p>
    <w:p w14:paraId="68C1D2C2">
      <w:pPr>
        <w:spacing w:line="48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法定代表人身份证复印件</w:t>
      </w:r>
    </w:p>
    <w:p w14:paraId="4AE0F4E3">
      <w:pPr>
        <w:spacing w:line="480" w:lineRule="exact"/>
        <w:rPr>
          <w:rFonts w:hint="eastAsia" w:ascii="仿宋_GB2312" w:hAnsi="宋体" w:eastAsia="仿宋_GB2312" w:cs="宋体"/>
          <w:sz w:val="28"/>
          <w:szCs w:val="28"/>
          <w:highlight w:val="none"/>
        </w:rPr>
      </w:pPr>
    </w:p>
    <w:p w14:paraId="78566F91">
      <w:pPr>
        <w:spacing w:line="480" w:lineRule="exact"/>
        <w:ind w:firstLine="2660" w:firstLineChars="950"/>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（粘贴此处）</w:t>
      </w:r>
    </w:p>
    <w:p w14:paraId="4E91F985">
      <w:pPr>
        <w:spacing w:line="480" w:lineRule="exact"/>
        <w:rPr>
          <w:rFonts w:hint="eastAsia" w:ascii="仿宋_GB2312" w:hAnsi="宋体" w:eastAsia="仿宋_GB2312" w:cs="宋体"/>
          <w:sz w:val="28"/>
          <w:szCs w:val="28"/>
          <w:highlight w:val="none"/>
        </w:rPr>
      </w:pPr>
    </w:p>
    <w:p w14:paraId="769C9BC3">
      <w:pPr>
        <w:spacing w:line="480" w:lineRule="exact"/>
        <w:rPr>
          <w:rFonts w:hint="eastAsia" w:ascii="仿宋_GB2312" w:hAnsi="宋体" w:eastAsia="仿宋_GB2312" w:cs="宋体"/>
          <w:sz w:val="28"/>
          <w:szCs w:val="28"/>
          <w:highlight w:val="none"/>
        </w:rPr>
      </w:pPr>
    </w:p>
    <w:p w14:paraId="4E484924">
      <w:pPr>
        <w:spacing w:line="480" w:lineRule="exac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被授权人身份证复印件</w:t>
      </w:r>
    </w:p>
    <w:p w14:paraId="5F8BC564">
      <w:pPr>
        <w:spacing w:line="480" w:lineRule="exact"/>
        <w:rPr>
          <w:rFonts w:hint="eastAsia" w:ascii="仿宋_GB2312" w:hAnsi="宋体" w:eastAsia="仿宋_GB2312" w:cs="宋体"/>
          <w:sz w:val="28"/>
          <w:szCs w:val="28"/>
          <w:highlight w:val="none"/>
        </w:rPr>
      </w:pPr>
    </w:p>
    <w:p w14:paraId="3AF6BA5F">
      <w:pPr>
        <w:spacing w:line="480" w:lineRule="exact"/>
        <w:ind w:firstLine="2660" w:firstLineChars="950"/>
        <w:rPr>
          <w:rFonts w:hint="eastAsia" w:ascii="仿宋_GB2312" w:hAnsi="宋体" w:eastAsia="仿宋_GB2312" w:cs="宋体"/>
          <w:b/>
          <w:bCs/>
          <w:sz w:val="28"/>
          <w:szCs w:val="28"/>
          <w:highlight w:val="none"/>
        </w:rPr>
      </w:pPr>
      <w:r>
        <w:rPr>
          <w:rFonts w:hint="eastAsia" w:ascii="仿宋_GB2312" w:hAnsi="宋体" w:eastAsia="仿宋_GB2312" w:cs="宋体"/>
          <w:sz w:val="28"/>
          <w:szCs w:val="28"/>
          <w:highlight w:val="none"/>
        </w:rPr>
        <w:t>（粘贴此处）</w:t>
      </w:r>
    </w:p>
    <w:p w14:paraId="5FF989AB">
      <w:pPr>
        <w:spacing w:line="480" w:lineRule="exact"/>
        <w:ind w:firstLine="562" w:firstLineChars="200"/>
        <w:rPr>
          <w:rFonts w:hint="eastAsia"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t>注:参加磋商时被授权人将身份证原件带至现场备查。</w:t>
      </w:r>
    </w:p>
    <w:p w14:paraId="3C6573DA">
      <w:pPr>
        <w:spacing w:line="360" w:lineRule="auto"/>
        <w:jc w:val="center"/>
        <w:rPr>
          <w:rFonts w:hint="eastAsia" w:ascii="宋体" w:hAnsi="宋体" w:cs="仿宋_GB2312"/>
          <w:b/>
          <w:bCs/>
          <w:sz w:val="30"/>
          <w:szCs w:val="30"/>
          <w:highlight w:val="none"/>
        </w:rPr>
      </w:pPr>
      <w:r>
        <w:rPr>
          <w:rFonts w:hint="eastAsia" w:ascii="仿宋_GB2312" w:hAnsi="宋体" w:eastAsia="仿宋_GB2312" w:cs="宋体"/>
          <w:b/>
          <w:sz w:val="28"/>
          <w:szCs w:val="28"/>
          <w:highlight w:val="none"/>
        </w:rPr>
        <w:br w:type="page"/>
      </w:r>
      <w:r>
        <w:rPr>
          <w:rFonts w:hint="eastAsia" w:ascii="仿宋_GB2312" w:hAnsi="宋体" w:eastAsia="仿宋_GB2312" w:cs="宋体"/>
          <w:b/>
          <w:bCs/>
          <w:sz w:val="28"/>
          <w:szCs w:val="28"/>
          <w:highlight w:val="none"/>
        </w:rPr>
        <w:t>3、投标人符合《政府采购法》第二十二条规定条件的声明函</w:t>
      </w:r>
    </w:p>
    <w:p w14:paraId="30A45230">
      <w:pPr>
        <w:snapToGrid w:val="0"/>
        <w:spacing w:line="360" w:lineRule="auto"/>
        <w:jc w:val="left"/>
        <w:rPr>
          <w:rFonts w:ascii="宋体" w:hAnsi="宋体" w:cs="仿宋_GB2312"/>
          <w:bCs/>
          <w:sz w:val="32"/>
          <w:szCs w:val="32"/>
          <w:highlight w:val="none"/>
        </w:rPr>
      </w:pPr>
      <w:r>
        <w:rPr>
          <w:rFonts w:ascii="宋体" w:hAnsi="宋体" w:cs="仿宋_GB2312"/>
          <w:bCs/>
          <w:sz w:val="32"/>
          <w:szCs w:val="32"/>
          <w:highlight w:val="none"/>
        </w:rPr>
        <w:t xml:space="preserve">                          </w:t>
      </w:r>
    </w:p>
    <w:p w14:paraId="3E552AC0">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我单位参加________________ （项目名称），__________（项目编号）投标活动。针对《中华人民共和国政府采购法》第二十二条规定做出如下声明：</w:t>
      </w:r>
    </w:p>
    <w:p w14:paraId="10D9E450">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1.我单位具有独立承担民事责任的能力；</w:t>
      </w:r>
    </w:p>
    <w:p w14:paraId="04DE668B">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2.我单位具有良好的商业信誉和健全的财务会计制度；</w:t>
      </w:r>
    </w:p>
    <w:p w14:paraId="76E87CCD">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3.我单位具有履行合同所必需的设备和专业技术能力；</w:t>
      </w:r>
    </w:p>
    <w:p w14:paraId="46E52F2F">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4.我单位有依法缴纳税收和社会保障资金的良好记录；</w:t>
      </w:r>
    </w:p>
    <w:p w14:paraId="44646087">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4C541DD">
      <w:pPr>
        <w:snapToGrid w:val="0"/>
        <w:spacing w:line="360" w:lineRule="auto"/>
        <w:ind w:firstLine="560" w:firstLineChars="200"/>
        <w:jc w:val="left"/>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6.我单位满足法律、行政法规规定的其他条件。</w:t>
      </w:r>
    </w:p>
    <w:p w14:paraId="54783556">
      <w:pPr>
        <w:snapToGrid w:val="0"/>
        <w:spacing w:line="360" w:lineRule="auto"/>
        <w:jc w:val="center"/>
        <w:rPr>
          <w:rFonts w:hint="eastAsia" w:ascii="仿宋_GB2312" w:hAnsi="仿宋" w:eastAsia="仿宋_GB2312" w:cs="仿宋_GB2312"/>
          <w:bCs/>
          <w:sz w:val="28"/>
          <w:szCs w:val="28"/>
          <w:highlight w:val="none"/>
        </w:rPr>
      </w:pPr>
    </w:p>
    <w:p w14:paraId="790C3F61">
      <w:pPr>
        <w:snapToGrid w:val="0"/>
        <w:spacing w:line="360" w:lineRule="auto"/>
        <w:jc w:val="center"/>
        <w:rPr>
          <w:rFonts w:ascii="仿宋" w:hAnsi="仿宋" w:eastAsia="仿宋" w:cs="仿宋_GB2312"/>
          <w:bCs/>
          <w:sz w:val="24"/>
          <w:szCs w:val="24"/>
          <w:highlight w:val="none"/>
        </w:rPr>
      </w:pPr>
    </w:p>
    <w:p w14:paraId="26E650E2">
      <w:pPr>
        <w:snapToGrid w:val="0"/>
        <w:spacing w:line="360" w:lineRule="auto"/>
        <w:jc w:val="center"/>
        <w:rPr>
          <w:rFonts w:ascii="仿宋" w:hAnsi="仿宋" w:eastAsia="仿宋" w:cs="仿宋_GB2312"/>
          <w:bCs/>
          <w:sz w:val="24"/>
          <w:szCs w:val="24"/>
          <w:highlight w:val="none"/>
        </w:rPr>
      </w:pPr>
    </w:p>
    <w:p w14:paraId="4E027A7B">
      <w:pPr>
        <w:snapToGrid w:val="0"/>
        <w:spacing w:line="360" w:lineRule="auto"/>
        <w:jc w:val="center"/>
        <w:rPr>
          <w:rFonts w:ascii="仿宋" w:hAnsi="仿宋" w:eastAsia="仿宋" w:cs="仿宋_GB2312"/>
          <w:bCs/>
          <w:sz w:val="24"/>
          <w:szCs w:val="24"/>
          <w:highlight w:val="none"/>
        </w:rPr>
      </w:pPr>
    </w:p>
    <w:p w14:paraId="332B0A29">
      <w:pPr>
        <w:snapToGrid w:val="0"/>
        <w:spacing w:line="360" w:lineRule="auto"/>
        <w:jc w:val="center"/>
        <w:rPr>
          <w:rFonts w:ascii="仿宋" w:hAnsi="仿宋" w:eastAsia="仿宋" w:cs="仿宋_GB2312"/>
          <w:bCs/>
          <w:sz w:val="24"/>
          <w:szCs w:val="24"/>
          <w:highlight w:val="none"/>
        </w:rPr>
      </w:pPr>
    </w:p>
    <w:p w14:paraId="40E8F6FB">
      <w:pPr>
        <w:snapToGrid w:val="0"/>
        <w:spacing w:line="360" w:lineRule="auto"/>
        <w:jc w:val="center"/>
        <w:rPr>
          <w:rFonts w:hint="eastAsia" w:ascii="仿宋_GB2312" w:hAnsi="仿宋" w:eastAsia="仿宋_GB2312" w:cs="仿宋_GB2312"/>
          <w:bCs/>
          <w:sz w:val="28"/>
          <w:szCs w:val="28"/>
          <w:highlight w:val="none"/>
        </w:rPr>
      </w:pPr>
      <w:r>
        <w:rPr>
          <w:rFonts w:hint="eastAsia" w:ascii="仿宋" w:hAnsi="仿宋" w:eastAsia="仿宋" w:cs="仿宋_GB2312"/>
          <w:bCs/>
          <w:sz w:val="24"/>
          <w:szCs w:val="24"/>
          <w:highlight w:val="none"/>
        </w:rPr>
        <w:t xml:space="preserve">              </w:t>
      </w:r>
      <w:r>
        <w:rPr>
          <w:rFonts w:hint="eastAsia" w:ascii="仿宋_GB2312" w:hAnsi="仿宋" w:eastAsia="仿宋_GB2312" w:cs="仿宋_GB2312"/>
          <w:bCs/>
          <w:sz w:val="28"/>
          <w:szCs w:val="28"/>
          <w:highlight w:val="none"/>
        </w:rPr>
        <w:t xml:space="preserve">    承诺人名称（公章）：</w:t>
      </w:r>
    </w:p>
    <w:p w14:paraId="0E3EF5BA">
      <w:pPr>
        <w:snapToGrid w:val="0"/>
        <w:spacing w:line="360" w:lineRule="auto"/>
        <w:jc w:val="center"/>
        <w:rPr>
          <w:rFonts w:ascii="仿宋_GB2312" w:hAnsi="仿宋" w:eastAsia="仿宋_GB2312" w:cs="仿宋_GB2312"/>
          <w:bCs/>
          <w:sz w:val="28"/>
          <w:szCs w:val="28"/>
          <w:highlight w:val="none"/>
        </w:rPr>
      </w:pPr>
      <w:r>
        <w:rPr>
          <w:rFonts w:ascii="仿宋_GB2312" w:hAnsi="仿宋" w:eastAsia="仿宋_GB2312" w:cs="仿宋_GB2312"/>
          <w:bCs/>
          <w:sz w:val="28"/>
          <w:szCs w:val="28"/>
          <w:highlight w:val="none"/>
        </w:rPr>
        <w:t xml:space="preserve">    </w:t>
      </w:r>
    </w:p>
    <w:p w14:paraId="03269CED">
      <w:pPr>
        <w:snapToGrid w:val="0"/>
        <w:spacing w:line="360" w:lineRule="auto"/>
        <w:jc w:val="center"/>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 xml:space="preserve">                          日期：______年    月    日</w:t>
      </w:r>
    </w:p>
    <w:p w14:paraId="65871E2C">
      <w:pPr>
        <w:snapToGrid w:val="0"/>
        <w:spacing w:line="360" w:lineRule="auto"/>
        <w:jc w:val="center"/>
        <w:rPr>
          <w:rFonts w:hint="eastAsia" w:ascii="仿宋" w:hAnsi="仿宋" w:eastAsia="仿宋" w:cs="仿宋_GB2312"/>
          <w:bCs/>
          <w:sz w:val="32"/>
          <w:szCs w:val="32"/>
          <w:highlight w:val="none"/>
        </w:rPr>
      </w:pPr>
    </w:p>
    <w:p w14:paraId="048AAB40">
      <w:pPr>
        <w:snapToGrid w:val="0"/>
        <w:spacing w:line="360" w:lineRule="auto"/>
        <w:jc w:val="center"/>
        <w:rPr>
          <w:rFonts w:hint="eastAsia" w:ascii="宋体" w:hAnsi="宋体" w:cs="仿宋_GB2312"/>
          <w:bCs/>
          <w:sz w:val="32"/>
          <w:szCs w:val="32"/>
          <w:highlight w:val="none"/>
        </w:rPr>
      </w:pPr>
    </w:p>
    <w:p w14:paraId="7938B402">
      <w:pPr>
        <w:spacing w:line="360" w:lineRule="auto"/>
        <w:ind w:firstLine="2670" w:firstLineChars="950"/>
        <w:jc w:val="left"/>
        <w:rPr>
          <w:rFonts w:hint="eastAsia" w:ascii="仿宋_GB2312" w:hAnsi="宋体" w:eastAsia="仿宋_GB2312" w:cs="宋体"/>
          <w:b/>
          <w:bCs/>
          <w:sz w:val="28"/>
          <w:szCs w:val="28"/>
          <w:highlight w:val="none"/>
        </w:rPr>
      </w:pPr>
      <w:r>
        <w:rPr>
          <w:rFonts w:ascii="仿宋_GB2312" w:hAnsi="宋体" w:eastAsia="仿宋_GB2312" w:cs="宋体"/>
          <w:b/>
          <w:sz w:val="28"/>
          <w:szCs w:val="28"/>
          <w:highlight w:val="none"/>
        </w:rPr>
        <w:br w:type="page"/>
      </w:r>
      <w:r>
        <w:rPr>
          <w:rFonts w:hint="eastAsia" w:ascii="仿宋_GB2312" w:hAnsi="宋体" w:eastAsia="仿宋_GB2312" w:cs="宋体"/>
          <w:b/>
          <w:bCs/>
          <w:sz w:val="28"/>
          <w:szCs w:val="28"/>
          <w:highlight w:val="none"/>
        </w:rPr>
        <w:t>4、无重大违法记录声明</w:t>
      </w:r>
    </w:p>
    <w:p w14:paraId="428B9F40">
      <w:pPr>
        <w:spacing w:line="360" w:lineRule="auto"/>
        <w:jc w:val="left"/>
        <w:rPr>
          <w:rFonts w:hint="eastAsia" w:ascii="仿宋_GB2312" w:hAnsi="宋体" w:eastAsia="仿宋_GB2312" w:cs="宋体"/>
          <w:b/>
          <w:bCs/>
          <w:sz w:val="28"/>
          <w:szCs w:val="28"/>
          <w:highlight w:val="none"/>
        </w:rPr>
      </w:pPr>
      <w:r>
        <w:rPr>
          <w:rFonts w:hint="eastAsia" w:ascii="仿宋_GB2312" w:hAnsi="宋体" w:eastAsia="等线" w:cs="宋体"/>
          <w:b/>
          <w:sz w:val="28"/>
          <w:szCs w:val="28"/>
          <w:highlight w:val="none"/>
          <w:u w:val="single"/>
        </w:rPr>
        <w:t xml:space="preserve">                        </w:t>
      </w:r>
      <w:r>
        <w:rPr>
          <w:rFonts w:hint="eastAsia" w:ascii="仿宋_GB2312" w:hAnsi="宋体" w:eastAsia="仿宋_GB2312" w:cs="宋体"/>
          <w:sz w:val="28"/>
          <w:szCs w:val="28"/>
          <w:highlight w:val="none"/>
          <w:u w:val="single"/>
        </w:rPr>
        <w:t>:</w:t>
      </w:r>
    </w:p>
    <w:p w14:paraId="54D8FDF7">
      <w:pPr>
        <w:spacing w:line="360" w:lineRule="auto"/>
        <w:jc w:val="lef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我单位</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（供应商名称）郑重声明：</w:t>
      </w:r>
    </w:p>
    <w:p w14:paraId="26B03D27">
      <w:pPr>
        <w:spacing w:line="360" w:lineRule="auto"/>
        <w:jc w:val="lef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参加政府采购活动前3年内在经营活动中</w:t>
      </w:r>
      <w:r>
        <w:rPr>
          <w:rFonts w:hint="eastAsia" w:ascii="仿宋_GB2312" w:hAnsi="宋体" w:eastAsia="仿宋_GB2312" w:cs="宋体"/>
          <w:sz w:val="28"/>
          <w:szCs w:val="28"/>
          <w:highlight w:val="none"/>
          <w:u w:val="single"/>
        </w:rPr>
        <w:t xml:space="preserve">        </w:t>
      </w:r>
      <w:r>
        <w:rPr>
          <w:rFonts w:hint="eastAsia" w:ascii="仿宋_GB2312" w:hAnsi="宋体" w:eastAsia="仿宋_GB2312" w:cs="宋体"/>
          <w:sz w:val="28"/>
          <w:szCs w:val="28"/>
          <w:highlight w:val="none"/>
        </w:rPr>
        <w:t>（在下划线上如实填写：有或没有）重大违法记录。</w:t>
      </w:r>
    </w:p>
    <w:p w14:paraId="7D7D3707">
      <w:pPr>
        <w:spacing w:line="360" w:lineRule="auto"/>
        <w:jc w:val="left"/>
        <w:rPr>
          <w:rFonts w:hint="eastAsia"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 （说明：政府采购法第二十二条第一款第五项所称重大违法记录，是指供应商因违法经营受到刑事处罚或者责令停产停业、吊销许可证或者执照、较大数额罚款等行政处罚。）</w:t>
      </w:r>
    </w:p>
    <w:p w14:paraId="35F0EB0A">
      <w:pPr>
        <w:spacing w:line="360" w:lineRule="auto"/>
        <w:ind w:firstLine="2670" w:firstLineChars="950"/>
        <w:jc w:val="right"/>
        <w:rPr>
          <w:rFonts w:hint="eastAsia" w:ascii="仿宋_GB2312" w:hAnsi="宋体" w:eastAsia="仿宋_GB2312" w:cs="宋体"/>
          <w:b/>
          <w:sz w:val="28"/>
          <w:szCs w:val="28"/>
          <w:highlight w:val="none"/>
        </w:rPr>
      </w:pPr>
      <w:r>
        <w:rPr>
          <w:rFonts w:hint="eastAsia" w:ascii="仿宋_GB2312" w:hAnsi="宋体" w:eastAsia="仿宋_GB2312" w:cs="宋体"/>
          <w:b/>
          <w:sz w:val="28"/>
          <w:szCs w:val="28"/>
          <w:highlight w:val="none"/>
        </w:rPr>
        <w:t xml:space="preserve">                                                        声明人：（公章）</w:t>
      </w:r>
    </w:p>
    <w:p w14:paraId="380B36D5">
      <w:pPr>
        <w:spacing w:line="360" w:lineRule="auto"/>
        <w:ind w:firstLine="2670" w:firstLineChars="950"/>
        <w:jc w:val="right"/>
        <w:rPr>
          <w:rFonts w:ascii="仿宋_GB2312" w:hAnsi="宋体" w:eastAsia="仿宋_GB2312" w:cs="宋体"/>
          <w:b/>
          <w:sz w:val="28"/>
          <w:szCs w:val="28"/>
          <w:highlight w:val="none"/>
        </w:rPr>
      </w:pPr>
      <w:r>
        <w:rPr>
          <w:rFonts w:hint="eastAsia" w:ascii="仿宋_GB2312" w:hAnsi="宋体" w:eastAsia="仿宋_GB2312" w:cs="宋体"/>
          <w:b/>
          <w:sz w:val="28"/>
          <w:szCs w:val="28"/>
          <w:highlight w:val="none"/>
        </w:rPr>
        <w:t xml:space="preserve">                                                   年     月    日</w:t>
      </w:r>
    </w:p>
    <w:p w14:paraId="3D4BD80D">
      <w:pPr>
        <w:spacing w:line="360" w:lineRule="auto"/>
        <w:ind w:firstLine="2670" w:firstLineChars="950"/>
        <w:jc w:val="left"/>
        <w:rPr>
          <w:rFonts w:hint="eastAsia" w:ascii="仿宋_GB2312" w:hAnsi="宋体" w:eastAsia="仿宋_GB2312" w:cs="宋体"/>
          <w:b/>
          <w:sz w:val="28"/>
          <w:szCs w:val="28"/>
          <w:highlight w:val="none"/>
        </w:rPr>
      </w:pPr>
    </w:p>
    <w:p w14:paraId="7D9AD876">
      <w:pPr>
        <w:spacing w:line="360" w:lineRule="auto"/>
        <w:ind w:firstLine="2670" w:firstLineChars="950"/>
        <w:jc w:val="left"/>
        <w:rPr>
          <w:rFonts w:hint="eastAsia" w:ascii="仿宋_GB2312" w:hAnsi="宋体" w:eastAsia="仿宋_GB2312" w:cs="宋体"/>
          <w:b/>
          <w:sz w:val="28"/>
          <w:szCs w:val="28"/>
          <w:highlight w:val="none"/>
        </w:rPr>
      </w:pPr>
    </w:p>
    <w:p w14:paraId="015ECECE">
      <w:pPr>
        <w:spacing w:line="360" w:lineRule="auto"/>
        <w:ind w:firstLine="2670" w:firstLineChars="950"/>
        <w:jc w:val="left"/>
        <w:rPr>
          <w:rFonts w:hint="eastAsia" w:ascii="仿宋_GB2312" w:hAnsi="宋体" w:eastAsia="仿宋_GB2312" w:cs="宋体"/>
          <w:b/>
          <w:sz w:val="28"/>
          <w:szCs w:val="28"/>
          <w:highlight w:val="none"/>
        </w:rPr>
      </w:pPr>
    </w:p>
    <w:p w14:paraId="155EB521">
      <w:pPr>
        <w:spacing w:line="360" w:lineRule="auto"/>
        <w:ind w:firstLine="2670" w:firstLineChars="950"/>
        <w:jc w:val="left"/>
        <w:rPr>
          <w:rFonts w:hint="eastAsia" w:ascii="仿宋_GB2312" w:hAnsi="宋体" w:eastAsia="仿宋_GB2312" w:cs="宋体"/>
          <w:b/>
          <w:sz w:val="28"/>
          <w:szCs w:val="28"/>
          <w:highlight w:val="none"/>
        </w:rPr>
      </w:pPr>
    </w:p>
    <w:p w14:paraId="0C6A0F67">
      <w:pPr>
        <w:spacing w:line="360" w:lineRule="auto"/>
        <w:ind w:firstLine="2670" w:firstLineChars="950"/>
        <w:jc w:val="left"/>
        <w:rPr>
          <w:rFonts w:hint="eastAsia" w:ascii="仿宋_GB2312" w:hAnsi="宋体" w:eastAsia="仿宋_GB2312" w:cs="宋体"/>
          <w:b/>
          <w:sz w:val="28"/>
          <w:szCs w:val="28"/>
          <w:highlight w:val="none"/>
        </w:rPr>
      </w:pPr>
    </w:p>
    <w:p w14:paraId="6F45DF7B">
      <w:pPr>
        <w:spacing w:line="360" w:lineRule="auto"/>
        <w:jc w:val="left"/>
        <w:rPr>
          <w:rFonts w:ascii="仿宋_GB2312" w:hAnsi="宋体" w:eastAsia="仿宋_GB2312" w:cs="宋体"/>
          <w:b/>
          <w:sz w:val="28"/>
          <w:szCs w:val="28"/>
          <w:highlight w:val="none"/>
        </w:rPr>
      </w:pPr>
    </w:p>
    <w:p w14:paraId="11E21211">
      <w:pPr>
        <w:jc w:val="center"/>
        <w:rPr>
          <w:rFonts w:hint="eastAsia" w:ascii="方正仿宋_GB2312" w:hAnsi="方正仿宋_GB2312" w:eastAsia="方正仿宋_GB2312" w:cs="方正仿宋_GB2312"/>
          <w:b/>
          <w:sz w:val="28"/>
          <w:szCs w:val="28"/>
          <w:highlight w:val="none"/>
        </w:rPr>
      </w:pPr>
      <w:r>
        <w:rPr>
          <w:rFonts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rPr>
        <w:t>5</w:t>
      </w:r>
      <w:r>
        <w:rPr>
          <w:rFonts w:hint="eastAsia" w:ascii="仿宋_GB2312" w:hAnsi="宋体" w:eastAsia="仿宋_GB2312" w:cs="宋体"/>
          <w:b/>
          <w:bCs/>
          <w:sz w:val="28"/>
          <w:szCs w:val="28"/>
          <w:highlight w:val="none"/>
        </w:rPr>
        <w:t>、</w:t>
      </w:r>
      <w:r>
        <w:rPr>
          <w:rFonts w:hint="eastAsia" w:ascii="方正仿宋_GB2312" w:hAnsi="方正仿宋_GB2312" w:eastAsia="方正仿宋_GB2312" w:cs="方正仿宋_GB2312"/>
          <w:b/>
          <w:sz w:val="28"/>
          <w:szCs w:val="28"/>
          <w:highlight w:val="none"/>
        </w:rPr>
        <w:t>商务部分正负偏离表</w:t>
      </w:r>
    </w:p>
    <w:p w14:paraId="6C84687E">
      <w:pPr>
        <w:jc w:val="center"/>
        <w:rPr>
          <w:rFonts w:hint="eastAsia" w:ascii="方正仿宋_GB2312" w:hAnsi="方正仿宋_GB2312" w:eastAsia="方正仿宋_GB2312" w:cs="方正仿宋_GB2312"/>
          <w:sz w:val="28"/>
          <w:szCs w:val="28"/>
          <w:highlight w:val="none"/>
        </w:rPr>
      </w:pPr>
    </w:p>
    <w:p w14:paraId="28DBE2C1">
      <w:pPr>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（由供应商据实提交，表格不够自行添加）</w:t>
      </w:r>
    </w:p>
    <w:tbl>
      <w:tblPr>
        <w:tblStyle w:val="5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86"/>
        <w:gridCol w:w="2976"/>
        <w:gridCol w:w="2450"/>
        <w:gridCol w:w="1235"/>
      </w:tblGrid>
      <w:tr w14:paraId="250B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6" w:type="dxa"/>
            <w:tcBorders>
              <w:top w:val="single" w:color="auto" w:sz="4" w:space="0"/>
              <w:left w:val="single" w:color="auto" w:sz="4" w:space="0"/>
              <w:bottom w:val="single" w:color="auto" w:sz="4" w:space="0"/>
              <w:right w:val="single" w:color="auto" w:sz="4" w:space="0"/>
            </w:tcBorders>
            <w:vAlign w:val="center"/>
          </w:tcPr>
          <w:p w14:paraId="1696D205">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3303BD5E">
            <w:pPr>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货物或服务名称</w:t>
            </w:r>
          </w:p>
        </w:tc>
        <w:tc>
          <w:tcPr>
            <w:tcW w:w="2976" w:type="dxa"/>
            <w:tcBorders>
              <w:top w:val="single" w:color="auto" w:sz="4" w:space="0"/>
              <w:left w:val="single" w:color="auto" w:sz="4" w:space="0"/>
              <w:bottom w:val="single" w:color="auto" w:sz="4" w:space="0"/>
              <w:right w:val="single" w:color="auto" w:sz="4" w:space="0"/>
            </w:tcBorders>
            <w:vAlign w:val="center"/>
          </w:tcPr>
          <w:p w14:paraId="318497CA">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询价文件要求的商务条款</w:t>
            </w:r>
          </w:p>
        </w:tc>
        <w:tc>
          <w:tcPr>
            <w:tcW w:w="2450" w:type="dxa"/>
            <w:tcBorders>
              <w:top w:val="single" w:color="auto" w:sz="4" w:space="0"/>
              <w:left w:val="single" w:color="auto" w:sz="4" w:space="0"/>
              <w:bottom w:val="single" w:color="auto" w:sz="4" w:space="0"/>
              <w:right w:val="single" w:color="auto" w:sz="4" w:space="0"/>
            </w:tcBorders>
            <w:vAlign w:val="center"/>
          </w:tcPr>
          <w:p w14:paraId="46BFF5A7">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响应文件响应情况</w:t>
            </w:r>
          </w:p>
        </w:tc>
        <w:tc>
          <w:tcPr>
            <w:tcW w:w="1235" w:type="dxa"/>
            <w:tcBorders>
              <w:top w:val="single" w:color="auto" w:sz="4" w:space="0"/>
              <w:left w:val="single" w:color="auto" w:sz="4" w:space="0"/>
              <w:bottom w:val="single" w:color="auto" w:sz="4" w:space="0"/>
              <w:right w:val="single" w:color="auto" w:sz="4" w:space="0"/>
            </w:tcBorders>
            <w:vAlign w:val="center"/>
          </w:tcPr>
          <w:p w14:paraId="4D3FD644">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偏离说明</w:t>
            </w:r>
          </w:p>
        </w:tc>
      </w:tr>
      <w:tr w14:paraId="7E95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6" w:type="dxa"/>
            <w:tcBorders>
              <w:top w:val="single" w:color="auto" w:sz="4" w:space="0"/>
              <w:left w:val="single" w:color="auto" w:sz="4" w:space="0"/>
              <w:bottom w:val="single" w:color="auto" w:sz="4" w:space="0"/>
              <w:right w:val="single" w:color="auto" w:sz="4" w:space="0"/>
            </w:tcBorders>
          </w:tcPr>
          <w:p w14:paraId="53358A58">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p>
        </w:tc>
        <w:tc>
          <w:tcPr>
            <w:tcW w:w="1586" w:type="dxa"/>
            <w:tcBorders>
              <w:top w:val="single" w:color="auto" w:sz="4" w:space="0"/>
              <w:left w:val="single" w:color="auto" w:sz="4" w:space="0"/>
              <w:bottom w:val="single" w:color="auto" w:sz="4" w:space="0"/>
              <w:right w:val="single" w:color="auto" w:sz="4" w:space="0"/>
            </w:tcBorders>
            <w:vAlign w:val="center"/>
          </w:tcPr>
          <w:p w14:paraId="480934B9">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2438867C">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278BFE64">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40AB16C6">
            <w:pPr>
              <w:spacing w:line="360" w:lineRule="auto"/>
              <w:rPr>
                <w:rFonts w:hint="eastAsia" w:ascii="方正仿宋_GB2312" w:hAnsi="方正仿宋_GB2312" w:eastAsia="方正仿宋_GB2312" w:cs="方正仿宋_GB2312"/>
                <w:sz w:val="28"/>
                <w:szCs w:val="28"/>
                <w:highlight w:val="none"/>
              </w:rPr>
            </w:pPr>
          </w:p>
        </w:tc>
      </w:tr>
      <w:tr w14:paraId="5862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6" w:type="dxa"/>
            <w:tcBorders>
              <w:top w:val="single" w:color="auto" w:sz="4" w:space="0"/>
              <w:left w:val="single" w:color="auto" w:sz="4" w:space="0"/>
              <w:bottom w:val="single" w:color="auto" w:sz="4" w:space="0"/>
              <w:right w:val="single" w:color="auto" w:sz="4" w:space="0"/>
            </w:tcBorders>
          </w:tcPr>
          <w:p w14:paraId="4740A182">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p>
        </w:tc>
        <w:tc>
          <w:tcPr>
            <w:tcW w:w="1586" w:type="dxa"/>
            <w:tcBorders>
              <w:top w:val="single" w:color="auto" w:sz="4" w:space="0"/>
              <w:left w:val="single" w:color="auto" w:sz="4" w:space="0"/>
              <w:bottom w:val="single" w:color="auto" w:sz="4" w:space="0"/>
              <w:right w:val="single" w:color="auto" w:sz="4" w:space="0"/>
            </w:tcBorders>
            <w:vAlign w:val="center"/>
          </w:tcPr>
          <w:p w14:paraId="1580D1EB">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A01E81C">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06323572">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4F38FD87">
            <w:pPr>
              <w:spacing w:line="360" w:lineRule="auto"/>
              <w:rPr>
                <w:rFonts w:hint="eastAsia" w:ascii="方正仿宋_GB2312" w:hAnsi="方正仿宋_GB2312" w:eastAsia="方正仿宋_GB2312" w:cs="方正仿宋_GB2312"/>
                <w:sz w:val="28"/>
                <w:szCs w:val="28"/>
                <w:highlight w:val="none"/>
              </w:rPr>
            </w:pPr>
          </w:p>
        </w:tc>
      </w:tr>
      <w:tr w14:paraId="0890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6" w:type="dxa"/>
            <w:tcBorders>
              <w:top w:val="single" w:color="auto" w:sz="4" w:space="0"/>
              <w:left w:val="single" w:color="auto" w:sz="4" w:space="0"/>
              <w:bottom w:val="single" w:color="auto" w:sz="4" w:space="0"/>
              <w:right w:val="single" w:color="auto" w:sz="4" w:space="0"/>
            </w:tcBorders>
          </w:tcPr>
          <w:p w14:paraId="67A464EE">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w:t>
            </w:r>
          </w:p>
        </w:tc>
        <w:tc>
          <w:tcPr>
            <w:tcW w:w="1586" w:type="dxa"/>
            <w:tcBorders>
              <w:top w:val="single" w:color="auto" w:sz="4" w:space="0"/>
              <w:left w:val="single" w:color="auto" w:sz="4" w:space="0"/>
              <w:bottom w:val="single" w:color="auto" w:sz="4" w:space="0"/>
              <w:right w:val="single" w:color="auto" w:sz="4" w:space="0"/>
            </w:tcBorders>
            <w:vAlign w:val="center"/>
          </w:tcPr>
          <w:p w14:paraId="28C0DB99">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9B54DF5">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0B7C6D86">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3F826607">
            <w:pPr>
              <w:spacing w:line="360" w:lineRule="auto"/>
              <w:rPr>
                <w:rFonts w:hint="eastAsia" w:ascii="方正仿宋_GB2312" w:hAnsi="方正仿宋_GB2312" w:eastAsia="方正仿宋_GB2312" w:cs="方正仿宋_GB2312"/>
                <w:sz w:val="28"/>
                <w:szCs w:val="28"/>
                <w:highlight w:val="none"/>
              </w:rPr>
            </w:pPr>
          </w:p>
        </w:tc>
      </w:tr>
      <w:tr w14:paraId="5698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6" w:type="dxa"/>
            <w:tcBorders>
              <w:top w:val="single" w:color="auto" w:sz="4" w:space="0"/>
              <w:left w:val="single" w:color="auto" w:sz="4" w:space="0"/>
              <w:bottom w:val="single" w:color="auto" w:sz="4" w:space="0"/>
              <w:right w:val="single" w:color="auto" w:sz="4" w:space="0"/>
            </w:tcBorders>
          </w:tcPr>
          <w:p w14:paraId="39A6402D">
            <w:pPr>
              <w:spacing w:line="360" w:lineRule="auto"/>
              <w:jc w:val="center"/>
              <w:rPr>
                <w:rFonts w:hint="eastAsia" w:ascii="方正仿宋_GB2312" w:hAnsi="方正仿宋_GB2312" w:eastAsia="方正仿宋_GB2312" w:cs="方正仿宋_GB2312"/>
                <w:sz w:val="28"/>
                <w:szCs w:val="28"/>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39F8BE90">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16B36757">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7B9043F4">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688BCF30">
            <w:pPr>
              <w:spacing w:line="360" w:lineRule="auto"/>
              <w:rPr>
                <w:rFonts w:hint="eastAsia" w:ascii="方正仿宋_GB2312" w:hAnsi="方正仿宋_GB2312" w:eastAsia="方正仿宋_GB2312" w:cs="方正仿宋_GB2312"/>
                <w:sz w:val="28"/>
                <w:szCs w:val="28"/>
                <w:highlight w:val="none"/>
              </w:rPr>
            </w:pPr>
          </w:p>
        </w:tc>
      </w:tr>
    </w:tbl>
    <w:p w14:paraId="2F87B72F">
      <w:pP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注：</w:t>
      </w:r>
    </w:p>
    <w:p w14:paraId="048B43E5">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1.供应商提交的响应文件中与询价文件第三部分“项目需求”中商务部分的要求有不同时，应逐条填列在偏离表中，否则将认为供应商接受询价文件的所有要求。</w:t>
      </w:r>
      <w:r>
        <w:rPr>
          <w:rFonts w:hint="eastAsia" w:ascii="方正仿宋_GB2312" w:hAnsi="方正仿宋_GB2312" w:eastAsia="方正仿宋_GB2312" w:cs="方正仿宋_GB2312"/>
          <w:b/>
          <w:bCs/>
          <w:sz w:val="28"/>
          <w:szCs w:val="28"/>
          <w:highlight w:val="none"/>
        </w:rPr>
        <w:t>完全响应可以空白表列示。</w:t>
      </w:r>
    </w:p>
    <w:p w14:paraId="6DB8560C">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2.“偏离说明”一栏选择“正偏离”、“负偏离”进行填写。正偏离的确认和负偏离是否响应询价文件，经三分之二评委认定。</w:t>
      </w:r>
      <w:r>
        <w:rPr>
          <w:rFonts w:hint="eastAsia" w:ascii="方正仿宋_GB2312" w:hAnsi="方正仿宋_GB2312" w:eastAsia="方正仿宋_GB2312" w:cs="方正仿宋_GB2312"/>
          <w:b/>
          <w:bCs/>
          <w:sz w:val="28"/>
          <w:szCs w:val="28"/>
          <w:highlight w:val="none"/>
        </w:rPr>
        <w:t>本项目需完全响应，只接受正偏离不接受负偏离。</w:t>
      </w:r>
    </w:p>
    <w:p w14:paraId="53C9EA7E">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3.供应商如果虚假响应，将承担被暂停参加采购人组织政府采购活动的风险。</w:t>
      </w:r>
    </w:p>
    <w:p w14:paraId="0435BF6A">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4.供应商若提供其他增值服务，可以在表中自行据实填写。</w:t>
      </w:r>
      <w:bookmarkStart w:id="76" w:name="_Toc105579206"/>
    </w:p>
    <w:bookmarkEnd w:id="76"/>
    <w:p w14:paraId="1CFCFE9B">
      <w:pPr>
        <w:ind w:firstLine="420" w:firstLineChars="200"/>
        <w:rPr>
          <w:rFonts w:hint="eastAsia" w:ascii="宋体" w:hAnsi="宋体" w:eastAsia="宋体"/>
          <w:szCs w:val="24"/>
          <w:highlight w:val="none"/>
        </w:rPr>
      </w:pPr>
    </w:p>
    <w:p w14:paraId="30C04385">
      <w:pPr>
        <w:rPr>
          <w:rFonts w:hint="eastAsia" w:ascii="宋体" w:hAnsi="宋体" w:eastAsia="宋体"/>
          <w:szCs w:val="24"/>
          <w:highlight w:val="none"/>
        </w:rPr>
      </w:pPr>
    </w:p>
    <w:p w14:paraId="5AEB1C88">
      <w:pPr>
        <w:autoSpaceDE w:val="0"/>
        <w:autoSpaceDN w:val="0"/>
        <w:snapToGrid w:val="0"/>
        <w:ind w:left="105" w:leftChars="50" w:firstLine="420" w:firstLineChars="200"/>
        <w:rPr>
          <w:rFonts w:hint="eastAsia" w:ascii="宋体" w:hAnsi="宋体" w:eastAsia="宋体"/>
          <w:szCs w:val="24"/>
          <w:highlight w:val="none"/>
        </w:rPr>
      </w:pPr>
    </w:p>
    <w:p w14:paraId="08B277BC">
      <w:pPr>
        <w:keepNext/>
        <w:keepLines/>
        <w:spacing w:before="260" w:after="260" w:line="416" w:lineRule="auto"/>
        <w:outlineLvl w:val="9"/>
        <w:rPr>
          <w:rFonts w:hint="eastAsia" w:ascii="宋体" w:hAnsi="宋体" w:eastAsia="宋体"/>
          <w:b/>
          <w:bCs/>
          <w:kern w:val="0"/>
          <w:sz w:val="32"/>
          <w:szCs w:val="32"/>
          <w:highlight w:val="none"/>
        </w:rPr>
      </w:pPr>
    </w:p>
    <w:p w14:paraId="41A8111B">
      <w:pPr>
        <w:rPr>
          <w:rFonts w:hint="eastAsia" w:ascii="宋体" w:hAnsi="宋体" w:eastAsia="宋体"/>
          <w:szCs w:val="22"/>
          <w:highlight w:val="none"/>
        </w:rPr>
      </w:pPr>
    </w:p>
    <w:p w14:paraId="67A52048">
      <w:pPr>
        <w:widowControl/>
        <w:shd w:val="clear" w:color="auto" w:fill="FFFFFF"/>
        <w:jc w:val="left"/>
        <w:rPr>
          <w:rFonts w:hint="eastAsia" w:ascii="宋体" w:hAnsi="宋体" w:eastAsia="宋体"/>
          <w:b/>
          <w:szCs w:val="24"/>
          <w:highlight w:val="none"/>
        </w:rPr>
      </w:pPr>
    </w:p>
    <w:p w14:paraId="44D46470">
      <w:pPr>
        <w:widowControl/>
        <w:shd w:val="clear" w:color="auto" w:fill="FFFFFF"/>
        <w:jc w:val="left"/>
        <w:rPr>
          <w:rFonts w:hint="eastAsia" w:ascii="宋体" w:hAnsi="宋体" w:eastAsia="宋体"/>
          <w:b/>
          <w:szCs w:val="24"/>
          <w:highlight w:val="none"/>
        </w:rPr>
      </w:pPr>
    </w:p>
    <w:p w14:paraId="231E0750">
      <w:pPr>
        <w:widowControl/>
        <w:shd w:val="clear" w:color="auto" w:fill="FFFFFF"/>
        <w:jc w:val="left"/>
        <w:rPr>
          <w:rFonts w:hint="eastAsia" w:ascii="宋体" w:hAnsi="宋体" w:eastAsia="宋体"/>
          <w:b/>
          <w:szCs w:val="24"/>
          <w:highlight w:val="none"/>
        </w:rPr>
      </w:pPr>
    </w:p>
    <w:p w14:paraId="520B4DBF">
      <w:pPr>
        <w:widowControl/>
        <w:shd w:val="clear" w:color="auto" w:fill="FFFFFF"/>
        <w:jc w:val="left"/>
        <w:rPr>
          <w:rFonts w:hint="eastAsia" w:ascii="宋体" w:hAnsi="宋体" w:eastAsia="宋体"/>
          <w:bCs/>
          <w:sz w:val="24"/>
          <w:szCs w:val="24"/>
          <w:highlight w:val="none"/>
        </w:rPr>
      </w:pPr>
      <w:r>
        <w:rPr>
          <w:rFonts w:ascii="宋体" w:hAnsi="宋体" w:eastAsia="宋体"/>
          <w:bCs/>
          <w:sz w:val="30"/>
          <w:szCs w:val="30"/>
          <w:highlight w:val="none"/>
        </w:rPr>
        <w:br w:type="page"/>
      </w:r>
    </w:p>
    <w:p w14:paraId="16B26F62">
      <w:pPr>
        <w:jc w:val="center"/>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sz w:val="28"/>
          <w:szCs w:val="28"/>
          <w:highlight w:val="none"/>
          <w:lang w:val="en-US" w:eastAsia="zh-CN"/>
        </w:rPr>
        <w:t>6、</w:t>
      </w:r>
      <w:r>
        <w:rPr>
          <w:rFonts w:hint="eastAsia" w:ascii="方正仿宋_GB2312" w:hAnsi="方正仿宋_GB2312" w:eastAsia="方正仿宋_GB2312" w:cs="方正仿宋_GB2312"/>
          <w:b/>
          <w:sz w:val="28"/>
          <w:szCs w:val="28"/>
          <w:highlight w:val="none"/>
        </w:rPr>
        <w:t>技术部分正负偏离表</w:t>
      </w:r>
    </w:p>
    <w:p w14:paraId="7C450F6F">
      <w:pPr>
        <w:jc w:val="center"/>
        <w:rPr>
          <w:rFonts w:hint="eastAsia" w:ascii="方正仿宋_GB2312" w:hAnsi="方正仿宋_GB2312" w:eastAsia="方正仿宋_GB2312" w:cs="方正仿宋_GB2312"/>
          <w:sz w:val="28"/>
          <w:szCs w:val="28"/>
          <w:highlight w:val="none"/>
        </w:rPr>
      </w:pPr>
    </w:p>
    <w:p w14:paraId="5667B1A8">
      <w:pPr>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（由供应商据实提交，表格不够自行添加）</w:t>
      </w:r>
    </w:p>
    <w:tbl>
      <w:tblPr>
        <w:tblStyle w:val="5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86"/>
        <w:gridCol w:w="2976"/>
        <w:gridCol w:w="2450"/>
        <w:gridCol w:w="1235"/>
      </w:tblGrid>
      <w:tr w14:paraId="0A7F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6" w:type="dxa"/>
            <w:tcBorders>
              <w:top w:val="single" w:color="auto" w:sz="4" w:space="0"/>
              <w:left w:val="single" w:color="auto" w:sz="4" w:space="0"/>
              <w:bottom w:val="single" w:color="auto" w:sz="4" w:space="0"/>
              <w:right w:val="single" w:color="auto" w:sz="4" w:space="0"/>
            </w:tcBorders>
            <w:vAlign w:val="center"/>
          </w:tcPr>
          <w:p w14:paraId="63175691">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1160DF08">
            <w:pPr>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货物或服务名称</w:t>
            </w:r>
          </w:p>
        </w:tc>
        <w:tc>
          <w:tcPr>
            <w:tcW w:w="2976" w:type="dxa"/>
            <w:tcBorders>
              <w:top w:val="single" w:color="auto" w:sz="4" w:space="0"/>
              <w:left w:val="single" w:color="auto" w:sz="4" w:space="0"/>
              <w:bottom w:val="single" w:color="auto" w:sz="4" w:space="0"/>
              <w:right w:val="single" w:color="auto" w:sz="4" w:space="0"/>
            </w:tcBorders>
            <w:vAlign w:val="center"/>
          </w:tcPr>
          <w:p w14:paraId="4C58EE07">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询价文件要求的技术条款</w:t>
            </w:r>
          </w:p>
        </w:tc>
        <w:tc>
          <w:tcPr>
            <w:tcW w:w="2450" w:type="dxa"/>
            <w:tcBorders>
              <w:top w:val="single" w:color="auto" w:sz="4" w:space="0"/>
              <w:left w:val="single" w:color="auto" w:sz="4" w:space="0"/>
              <w:bottom w:val="single" w:color="auto" w:sz="4" w:space="0"/>
              <w:right w:val="single" w:color="auto" w:sz="4" w:space="0"/>
            </w:tcBorders>
            <w:vAlign w:val="center"/>
          </w:tcPr>
          <w:p w14:paraId="0AB05E42">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响应文件响应情况</w:t>
            </w:r>
          </w:p>
        </w:tc>
        <w:tc>
          <w:tcPr>
            <w:tcW w:w="1235" w:type="dxa"/>
            <w:tcBorders>
              <w:top w:val="single" w:color="auto" w:sz="4" w:space="0"/>
              <w:left w:val="single" w:color="auto" w:sz="4" w:space="0"/>
              <w:bottom w:val="single" w:color="auto" w:sz="4" w:space="0"/>
              <w:right w:val="single" w:color="auto" w:sz="4" w:space="0"/>
            </w:tcBorders>
            <w:vAlign w:val="center"/>
          </w:tcPr>
          <w:p w14:paraId="2B1CCA0B">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偏离说明</w:t>
            </w:r>
          </w:p>
        </w:tc>
      </w:tr>
      <w:tr w14:paraId="520B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6" w:type="dxa"/>
            <w:tcBorders>
              <w:top w:val="single" w:color="auto" w:sz="4" w:space="0"/>
              <w:left w:val="single" w:color="auto" w:sz="4" w:space="0"/>
              <w:bottom w:val="single" w:color="auto" w:sz="4" w:space="0"/>
              <w:right w:val="single" w:color="auto" w:sz="4" w:space="0"/>
            </w:tcBorders>
          </w:tcPr>
          <w:p w14:paraId="63056E95">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w:t>
            </w:r>
          </w:p>
        </w:tc>
        <w:tc>
          <w:tcPr>
            <w:tcW w:w="1586" w:type="dxa"/>
            <w:tcBorders>
              <w:top w:val="single" w:color="auto" w:sz="4" w:space="0"/>
              <w:left w:val="single" w:color="auto" w:sz="4" w:space="0"/>
              <w:bottom w:val="single" w:color="auto" w:sz="4" w:space="0"/>
              <w:right w:val="single" w:color="auto" w:sz="4" w:space="0"/>
            </w:tcBorders>
            <w:vAlign w:val="center"/>
          </w:tcPr>
          <w:p w14:paraId="627030EE">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0511FC65">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1E0C71AE">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5E71E285">
            <w:pPr>
              <w:spacing w:line="360" w:lineRule="auto"/>
              <w:rPr>
                <w:rFonts w:hint="eastAsia" w:ascii="方正仿宋_GB2312" w:hAnsi="方正仿宋_GB2312" w:eastAsia="方正仿宋_GB2312" w:cs="方正仿宋_GB2312"/>
                <w:sz w:val="28"/>
                <w:szCs w:val="28"/>
                <w:highlight w:val="none"/>
              </w:rPr>
            </w:pPr>
          </w:p>
        </w:tc>
      </w:tr>
      <w:tr w14:paraId="4FB9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6" w:type="dxa"/>
            <w:tcBorders>
              <w:top w:val="single" w:color="auto" w:sz="4" w:space="0"/>
              <w:left w:val="single" w:color="auto" w:sz="4" w:space="0"/>
              <w:bottom w:val="single" w:color="auto" w:sz="4" w:space="0"/>
              <w:right w:val="single" w:color="auto" w:sz="4" w:space="0"/>
            </w:tcBorders>
          </w:tcPr>
          <w:p w14:paraId="3142986A">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w:t>
            </w:r>
          </w:p>
        </w:tc>
        <w:tc>
          <w:tcPr>
            <w:tcW w:w="1586" w:type="dxa"/>
            <w:tcBorders>
              <w:top w:val="single" w:color="auto" w:sz="4" w:space="0"/>
              <w:left w:val="single" w:color="auto" w:sz="4" w:space="0"/>
              <w:bottom w:val="single" w:color="auto" w:sz="4" w:space="0"/>
              <w:right w:val="single" w:color="auto" w:sz="4" w:space="0"/>
            </w:tcBorders>
            <w:vAlign w:val="center"/>
          </w:tcPr>
          <w:p w14:paraId="62DDE62F">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75D48472">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74E9EE6A">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4D6C5304">
            <w:pPr>
              <w:spacing w:line="360" w:lineRule="auto"/>
              <w:rPr>
                <w:rFonts w:hint="eastAsia" w:ascii="方正仿宋_GB2312" w:hAnsi="方正仿宋_GB2312" w:eastAsia="方正仿宋_GB2312" w:cs="方正仿宋_GB2312"/>
                <w:sz w:val="28"/>
                <w:szCs w:val="28"/>
                <w:highlight w:val="none"/>
              </w:rPr>
            </w:pPr>
          </w:p>
        </w:tc>
      </w:tr>
      <w:tr w14:paraId="56A3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6" w:type="dxa"/>
            <w:tcBorders>
              <w:top w:val="single" w:color="auto" w:sz="4" w:space="0"/>
              <w:left w:val="single" w:color="auto" w:sz="4" w:space="0"/>
              <w:bottom w:val="single" w:color="auto" w:sz="4" w:space="0"/>
              <w:right w:val="single" w:color="auto" w:sz="4" w:space="0"/>
            </w:tcBorders>
          </w:tcPr>
          <w:p w14:paraId="1E4A01F4">
            <w:pPr>
              <w:spacing w:line="36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w:t>
            </w:r>
          </w:p>
        </w:tc>
        <w:tc>
          <w:tcPr>
            <w:tcW w:w="1586" w:type="dxa"/>
            <w:tcBorders>
              <w:top w:val="single" w:color="auto" w:sz="4" w:space="0"/>
              <w:left w:val="single" w:color="auto" w:sz="4" w:space="0"/>
              <w:bottom w:val="single" w:color="auto" w:sz="4" w:space="0"/>
              <w:right w:val="single" w:color="auto" w:sz="4" w:space="0"/>
            </w:tcBorders>
            <w:vAlign w:val="center"/>
          </w:tcPr>
          <w:p w14:paraId="1839C1A3">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7AC65571">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25C8B7FA">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2046C944">
            <w:pPr>
              <w:spacing w:line="360" w:lineRule="auto"/>
              <w:rPr>
                <w:rFonts w:hint="eastAsia" w:ascii="方正仿宋_GB2312" w:hAnsi="方正仿宋_GB2312" w:eastAsia="方正仿宋_GB2312" w:cs="方正仿宋_GB2312"/>
                <w:sz w:val="28"/>
                <w:szCs w:val="28"/>
                <w:highlight w:val="none"/>
              </w:rPr>
            </w:pPr>
          </w:p>
        </w:tc>
      </w:tr>
      <w:tr w14:paraId="5C22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6" w:type="dxa"/>
            <w:tcBorders>
              <w:top w:val="single" w:color="auto" w:sz="4" w:space="0"/>
              <w:left w:val="single" w:color="auto" w:sz="4" w:space="0"/>
              <w:bottom w:val="single" w:color="auto" w:sz="4" w:space="0"/>
              <w:right w:val="single" w:color="auto" w:sz="4" w:space="0"/>
            </w:tcBorders>
          </w:tcPr>
          <w:p w14:paraId="690FFD10">
            <w:pPr>
              <w:spacing w:line="360" w:lineRule="auto"/>
              <w:jc w:val="center"/>
              <w:rPr>
                <w:rFonts w:hint="eastAsia" w:ascii="方正仿宋_GB2312" w:hAnsi="方正仿宋_GB2312" w:eastAsia="方正仿宋_GB2312" w:cs="方正仿宋_GB2312"/>
                <w:sz w:val="28"/>
                <w:szCs w:val="28"/>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256C376A">
            <w:pPr>
              <w:spacing w:line="360" w:lineRule="auto"/>
              <w:rPr>
                <w:rFonts w:hint="eastAsia" w:ascii="方正仿宋_GB2312" w:hAnsi="方正仿宋_GB2312" w:eastAsia="方正仿宋_GB2312" w:cs="方正仿宋_GB2312"/>
                <w:sz w:val="28"/>
                <w:szCs w:val="28"/>
                <w:highlight w:val="none"/>
              </w:rPr>
            </w:pPr>
          </w:p>
        </w:tc>
        <w:tc>
          <w:tcPr>
            <w:tcW w:w="2976" w:type="dxa"/>
            <w:tcBorders>
              <w:top w:val="single" w:color="auto" w:sz="4" w:space="0"/>
              <w:left w:val="single" w:color="auto" w:sz="4" w:space="0"/>
              <w:bottom w:val="single" w:color="auto" w:sz="4" w:space="0"/>
              <w:right w:val="single" w:color="auto" w:sz="4" w:space="0"/>
            </w:tcBorders>
            <w:vAlign w:val="center"/>
          </w:tcPr>
          <w:p w14:paraId="4396A6DD">
            <w:pPr>
              <w:spacing w:line="360" w:lineRule="auto"/>
              <w:rPr>
                <w:rFonts w:hint="eastAsia" w:ascii="方正仿宋_GB2312" w:hAnsi="方正仿宋_GB2312" w:eastAsia="方正仿宋_GB2312" w:cs="方正仿宋_GB2312"/>
                <w:sz w:val="28"/>
                <w:szCs w:val="28"/>
                <w:highlight w:val="none"/>
              </w:rPr>
            </w:pPr>
          </w:p>
        </w:tc>
        <w:tc>
          <w:tcPr>
            <w:tcW w:w="2450" w:type="dxa"/>
            <w:tcBorders>
              <w:top w:val="single" w:color="auto" w:sz="4" w:space="0"/>
              <w:left w:val="single" w:color="auto" w:sz="4" w:space="0"/>
              <w:bottom w:val="single" w:color="auto" w:sz="4" w:space="0"/>
              <w:right w:val="single" w:color="auto" w:sz="4" w:space="0"/>
            </w:tcBorders>
            <w:vAlign w:val="center"/>
          </w:tcPr>
          <w:p w14:paraId="058C3F76">
            <w:pPr>
              <w:spacing w:line="360" w:lineRule="auto"/>
              <w:rPr>
                <w:rFonts w:hint="eastAsia" w:ascii="方正仿宋_GB2312" w:hAnsi="方正仿宋_GB2312" w:eastAsia="方正仿宋_GB2312" w:cs="方正仿宋_GB2312"/>
                <w:sz w:val="28"/>
                <w:szCs w:val="28"/>
                <w:highlight w:val="none"/>
              </w:rPr>
            </w:pPr>
          </w:p>
        </w:tc>
        <w:tc>
          <w:tcPr>
            <w:tcW w:w="1235" w:type="dxa"/>
            <w:tcBorders>
              <w:top w:val="single" w:color="auto" w:sz="4" w:space="0"/>
              <w:left w:val="single" w:color="auto" w:sz="4" w:space="0"/>
              <w:bottom w:val="single" w:color="auto" w:sz="4" w:space="0"/>
              <w:right w:val="single" w:color="auto" w:sz="4" w:space="0"/>
            </w:tcBorders>
          </w:tcPr>
          <w:p w14:paraId="706B36CE">
            <w:pPr>
              <w:spacing w:line="360" w:lineRule="auto"/>
              <w:rPr>
                <w:rFonts w:hint="eastAsia" w:ascii="方正仿宋_GB2312" w:hAnsi="方正仿宋_GB2312" w:eastAsia="方正仿宋_GB2312" w:cs="方正仿宋_GB2312"/>
                <w:sz w:val="28"/>
                <w:szCs w:val="28"/>
                <w:highlight w:val="none"/>
              </w:rPr>
            </w:pPr>
          </w:p>
        </w:tc>
      </w:tr>
    </w:tbl>
    <w:p w14:paraId="2F8BB82E">
      <w:pP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注：</w:t>
      </w:r>
    </w:p>
    <w:p w14:paraId="1E258EFC">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1.供应商提交的响应文件中与询价文件第二部分“项目需求”中技术部分的要求有不同时，应逐条填列在偏离表中，否则将认为供应商接受询价文件的所有要求。</w:t>
      </w:r>
      <w:r>
        <w:rPr>
          <w:rFonts w:hint="eastAsia" w:ascii="方正仿宋_GB2312" w:hAnsi="方正仿宋_GB2312" w:eastAsia="方正仿宋_GB2312" w:cs="方正仿宋_GB2312"/>
          <w:b/>
          <w:bCs/>
          <w:sz w:val="28"/>
          <w:szCs w:val="28"/>
          <w:highlight w:val="none"/>
        </w:rPr>
        <w:t>完全响应可以空白表列示。</w:t>
      </w:r>
    </w:p>
    <w:p w14:paraId="21EB1DF5">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2.“偏离说明”一栏选择“正偏离”、“负偏离”进行填写。正偏离的确认和负偏离是否响应询价文件，经三分之二评委认定。</w:t>
      </w:r>
      <w:r>
        <w:rPr>
          <w:rFonts w:hint="eastAsia" w:ascii="方正仿宋_GB2312" w:hAnsi="方正仿宋_GB2312" w:eastAsia="方正仿宋_GB2312" w:cs="方正仿宋_GB2312"/>
          <w:b/>
          <w:bCs/>
          <w:sz w:val="28"/>
          <w:szCs w:val="28"/>
          <w:highlight w:val="none"/>
        </w:rPr>
        <w:t>本项目需完全响应，只接受正偏离不接受负偏离。</w:t>
      </w:r>
    </w:p>
    <w:p w14:paraId="53E9139F">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3.供应商如果虚假响应，将承担被暂停参加采购人组织政府采购活动的风险。</w:t>
      </w:r>
    </w:p>
    <w:p w14:paraId="2FA2AFE0">
      <w:pPr>
        <w:spacing w:line="40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4.供应商若提供其他增值服务，可以在表中自行据实填写。</w:t>
      </w:r>
    </w:p>
    <w:p w14:paraId="1557B961">
      <w:pPr>
        <w:snapToGrid w:val="0"/>
        <w:spacing w:line="520" w:lineRule="exact"/>
        <w:jc w:val="center"/>
        <w:outlineLvl w:val="3"/>
        <w:rPr>
          <w:rFonts w:hint="eastAsia" w:ascii="方正仿宋_GB2312" w:hAnsi="方正仿宋_GB2312" w:eastAsia="方正仿宋_GB2312" w:cs="方正仿宋_GB2312"/>
          <w:b/>
          <w:bCs/>
          <w:sz w:val="28"/>
          <w:szCs w:val="28"/>
          <w:highlight w:val="none"/>
        </w:rPr>
      </w:pPr>
    </w:p>
    <w:p w14:paraId="35E173D6">
      <w:pPr>
        <w:rPr>
          <w:rFonts w:hint="eastAsia" w:ascii="仿宋_GB2312" w:hAnsi="宋体" w:eastAsia="仿宋_GB2312" w:cs="宋体"/>
          <w:b/>
          <w:bCs/>
          <w:sz w:val="28"/>
          <w:szCs w:val="28"/>
          <w:highlight w:val="none"/>
        </w:rPr>
      </w:pPr>
      <w:r>
        <w:rPr>
          <w:rFonts w:hint="eastAsia" w:ascii="仿宋_GB2312" w:hAnsi="宋体" w:eastAsia="仿宋_GB2312" w:cs="宋体"/>
          <w:b/>
          <w:bCs/>
          <w:sz w:val="28"/>
          <w:szCs w:val="28"/>
          <w:highlight w:val="none"/>
        </w:rPr>
        <w:br w:type="page"/>
      </w:r>
    </w:p>
    <w:p w14:paraId="5E39E32B">
      <w:pPr>
        <w:snapToGrid w:val="0"/>
        <w:spacing w:line="520" w:lineRule="exact"/>
        <w:jc w:val="center"/>
        <w:outlineLvl w:val="3"/>
        <w:rPr>
          <w:rFonts w:hint="eastAsia" w:ascii="仿宋_GB2312" w:hAnsi="宋体" w:eastAsia="仿宋_GB2312" w:cs="宋体"/>
          <w:b/>
          <w:bCs/>
          <w:sz w:val="28"/>
          <w:szCs w:val="28"/>
          <w:highlight w:val="none"/>
        </w:rPr>
      </w:pPr>
      <w:r>
        <w:rPr>
          <w:rFonts w:hint="eastAsia" w:ascii="仿宋_GB2312" w:hAnsi="宋体" w:eastAsia="仿宋_GB2312" w:cs="宋体"/>
          <w:b/>
          <w:bCs/>
          <w:sz w:val="28"/>
          <w:szCs w:val="28"/>
          <w:highlight w:val="none"/>
          <w:lang w:val="en-US" w:eastAsia="zh-CN"/>
        </w:rPr>
        <w:t>7、</w:t>
      </w:r>
      <w:r>
        <w:rPr>
          <w:rFonts w:hint="eastAsia" w:ascii="仿宋_GB2312" w:hAnsi="宋体" w:eastAsia="仿宋_GB2312" w:cs="宋体"/>
          <w:b/>
          <w:bCs/>
          <w:sz w:val="28"/>
          <w:szCs w:val="28"/>
          <w:highlight w:val="none"/>
        </w:rPr>
        <w:t>竞争性磋商响应函</w:t>
      </w:r>
      <w:r>
        <w:rPr>
          <w:rFonts w:hint="eastAsia" w:ascii="仿宋_GB2312" w:hAnsi="宋体" w:eastAsia="仿宋_GB2312" w:cs="宋体"/>
          <w:bCs/>
          <w:sz w:val="28"/>
          <w:szCs w:val="28"/>
          <w:highlight w:val="none"/>
        </w:rPr>
        <w:t>（</w:t>
      </w:r>
      <w:r>
        <w:rPr>
          <w:rFonts w:hint="eastAsia" w:ascii="仿宋_GB2312" w:hAnsi="宋体" w:eastAsia="仿宋_GB2312" w:cs="宋体"/>
          <w:bCs/>
          <w:sz w:val="28"/>
          <w:szCs w:val="28"/>
          <w:highlight w:val="none"/>
          <w:u w:val="single"/>
        </w:rPr>
        <w:t>格式不得变动</w:t>
      </w:r>
      <w:r>
        <w:rPr>
          <w:rFonts w:hint="eastAsia" w:ascii="仿宋_GB2312" w:hAnsi="宋体" w:eastAsia="仿宋_GB2312" w:cs="宋体"/>
          <w:bCs/>
          <w:sz w:val="28"/>
          <w:szCs w:val="28"/>
          <w:highlight w:val="none"/>
        </w:rPr>
        <w:t>）</w:t>
      </w:r>
    </w:p>
    <w:p w14:paraId="44497221">
      <w:pPr>
        <w:snapToGrid w:val="0"/>
        <w:spacing w:line="460" w:lineRule="exact"/>
        <w:rPr>
          <w:rFonts w:ascii="仿宋" w:hAnsi="仿宋" w:eastAsia="仿宋"/>
          <w:sz w:val="28"/>
          <w:szCs w:val="24"/>
          <w:highlight w:val="none"/>
        </w:rPr>
      </w:pPr>
      <w:r>
        <w:rPr>
          <w:rFonts w:hint="eastAsia" w:ascii="仿宋" w:hAnsi="仿宋" w:eastAsia="仿宋"/>
          <w:sz w:val="28"/>
          <w:szCs w:val="24"/>
          <w:highlight w:val="none"/>
          <w:u w:val="single"/>
        </w:rPr>
        <w:t xml:space="preserve">             （采购人）</w:t>
      </w:r>
      <w:r>
        <w:rPr>
          <w:rFonts w:ascii="仿宋" w:hAnsi="仿宋" w:eastAsia="仿宋"/>
          <w:sz w:val="28"/>
          <w:szCs w:val="24"/>
          <w:highlight w:val="none"/>
        </w:rPr>
        <w:t>：</w:t>
      </w:r>
    </w:p>
    <w:p w14:paraId="1CC4E6FC">
      <w:pPr>
        <w:snapToGrid w:val="0"/>
        <w:spacing w:line="440" w:lineRule="exact"/>
        <w:ind w:firstLine="560" w:firstLineChars="200"/>
        <w:rPr>
          <w:rFonts w:ascii="仿宋" w:hAnsi="仿宋" w:eastAsia="仿宋"/>
          <w:sz w:val="28"/>
          <w:szCs w:val="24"/>
          <w:highlight w:val="none"/>
        </w:rPr>
      </w:pPr>
      <w:r>
        <w:rPr>
          <w:rFonts w:ascii="仿宋" w:hAnsi="仿宋" w:eastAsia="仿宋"/>
          <w:sz w:val="28"/>
          <w:szCs w:val="24"/>
          <w:highlight w:val="none"/>
        </w:rPr>
        <w:t>依据贵单位</w:t>
      </w:r>
      <w:r>
        <w:rPr>
          <w:rFonts w:ascii="仿宋" w:hAnsi="仿宋" w:eastAsia="仿宋"/>
          <w:sz w:val="28"/>
          <w:szCs w:val="24"/>
          <w:highlight w:val="none"/>
          <w:u w:val="single"/>
        </w:rPr>
        <w:t xml:space="preserve">        </w:t>
      </w:r>
      <w:r>
        <w:rPr>
          <w:rFonts w:ascii="仿宋" w:hAnsi="仿宋" w:eastAsia="仿宋"/>
          <w:sz w:val="28"/>
          <w:szCs w:val="24"/>
          <w:highlight w:val="none"/>
        </w:rPr>
        <w:t>（项目名称</w:t>
      </w:r>
      <w:r>
        <w:rPr>
          <w:rFonts w:hint="eastAsia" w:ascii="仿宋" w:hAnsi="仿宋" w:eastAsia="仿宋"/>
          <w:sz w:val="28"/>
          <w:szCs w:val="24"/>
          <w:highlight w:val="none"/>
        </w:rPr>
        <w:t>、项目编号</w:t>
      </w:r>
      <w:r>
        <w:rPr>
          <w:rFonts w:ascii="仿宋" w:hAnsi="仿宋" w:eastAsia="仿宋"/>
          <w:sz w:val="28"/>
          <w:szCs w:val="24"/>
          <w:highlight w:val="none"/>
        </w:rPr>
        <w:t>)项目</w:t>
      </w:r>
      <w:r>
        <w:rPr>
          <w:rFonts w:hint="eastAsia" w:ascii="仿宋" w:hAnsi="仿宋" w:eastAsia="仿宋"/>
          <w:sz w:val="28"/>
          <w:szCs w:val="24"/>
          <w:highlight w:val="none"/>
        </w:rPr>
        <w:t>竞争性磋商</w:t>
      </w:r>
      <w:r>
        <w:rPr>
          <w:rFonts w:ascii="仿宋" w:hAnsi="仿宋" w:eastAsia="仿宋"/>
          <w:sz w:val="28"/>
          <w:szCs w:val="24"/>
          <w:highlight w:val="none"/>
        </w:rPr>
        <w:t>的邀请，我方授权</w:t>
      </w:r>
      <w:r>
        <w:rPr>
          <w:rFonts w:ascii="仿宋" w:hAnsi="仿宋" w:eastAsia="仿宋"/>
          <w:sz w:val="28"/>
          <w:szCs w:val="24"/>
          <w:highlight w:val="none"/>
          <w:u w:val="single"/>
        </w:rPr>
        <w:t xml:space="preserve">    </w:t>
      </w:r>
      <w:r>
        <w:rPr>
          <w:rFonts w:ascii="仿宋" w:hAnsi="仿宋" w:eastAsia="仿宋"/>
          <w:sz w:val="28"/>
          <w:szCs w:val="24"/>
          <w:highlight w:val="none"/>
        </w:rPr>
        <w:t>（姓名）</w:t>
      </w:r>
      <w:r>
        <w:rPr>
          <w:rFonts w:ascii="仿宋" w:hAnsi="仿宋" w:eastAsia="仿宋"/>
          <w:sz w:val="28"/>
          <w:szCs w:val="24"/>
          <w:highlight w:val="none"/>
          <w:u w:val="single"/>
        </w:rPr>
        <w:t xml:space="preserve">    </w:t>
      </w:r>
      <w:r>
        <w:rPr>
          <w:rFonts w:ascii="仿宋" w:hAnsi="仿宋" w:eastAsia="仿宋"/>
          <w:sz w:val="28"/>
          <w:szCs w:val="24"/>
          <w:highlight w:val="none"/>
        </w:rPr>
        <w:t>（职务）为全权代表参加该项目的磋商响应工作，全权处理本次</w:t>
      </w:r>
      <w:r>
        <w:rPr>
          <w:rFonts w:hint="eastAsia" w:ascii="仿宋" w:hAnsi="仿宋" w:eastAsia="仿宋"/>
          <w:sz w:val="28"/>
          <w:szCs w:val="24"/>
          <w:highlight w:val="none"/>
        </w:rPr>
        <w:t>磋商</w:t>
      </w:r>
      <w:r>
        <w:rPr>
          <w:rFonts w:ascii="仿宋" w:hAnsi="仿宋" w:eastAsia="仿宋"/>
          <w:sz w:val="28"/>
          <w:szCs w:val="24"/>
          <w:highlight w:val="none"/>
        </w:rPr>
        <w:t>的有关事宜。同时，我公司声明如下：</w:t>
      </w:r>
    </w:p>
    <w:p w14:paraId="28808079">
      <w:pPr>
        <w:snapToGrid w:val="0"/>
        <w:spacing w:line="440" w:lineRule="exact"/>
        <w:ind w:firstLine="560" w:firstLineChars="200"/>
        <w:rPr>
          <w:rFonts w:hint="eastAsia" w:ascii="仿宋" w:hAnsi="仿宋" w:eastAsia="仿宋" w:cs="宋体"/>
          <w:sz w:val="28"/>
          <w:szCs w:val="22"/>
          <w:highlight w:val="none"/>
        </w:rPr>
      </w:pPr>
      <w:r>
        <w:rPr>
          <w:rFonts w:hint="eastAsia" w:ascii="仿宋" w:hAnsi="仿宋" w:eastAsia="仿宋"/>
          <w:sz w:val="28"/>
          <w:szCs w:val="24"/>
          <w:highlight w:val="none"/>
        </w:rPr>
        <w:t>（1）我方愿意按照磋商文件的一切要求，提供完成该项目的全部内容，我方的磋商响应报价</w:t>
      </w:r>
      <w:r>
        <w:rPr>
          <w:rFonts w:hint="eastAsia" w:ascii="仿宋" w:hAnsi="仿宋" w:eastAsia="仿宋" w:cs="宋体"/>
          <w:sz w:val="28"/>
          <w:szCs w:val="22"/>
          <w:highlight w:val="none"/>
        </w:rPr>
        <w:t>包括不限于设计费、展陈制作费、材料费、人工费、管理费、税金、交通费、食宿、招标代理费等完成本项目产生的一切费用。同时，报价也应包含合同履行过程中可能发生的一切风险。</w:t>
      </w:r>
    </w:p>
    <w:p w14:paraId="7125DA3F">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（2）</w:t>
      </w:r>
      <w:r>
        <w:rPr>
          <w:rFonts w:ascii="仿宋" w:hAnsi="仿宋" w:eastAsia="仿宋"/>
          <w:sz w:val="28"/>
          <w:szCs w:val="24"/>
          <w:highlight w:val="none"/>
        </w:rPr>
        <w:t>我</w:t>
      </w:r>
      <w:r>
        <w:rPr>
          <w:rFonts w:hint="eastAsia" w:ascii="仿宋" w:hAnsi="仿宋" w:eastAsia="仿宋"/>
          <w:sz w:val="28"/>
          <w:szCs w:val="24"/>
          <w:highlight w:val="none"/>
        </w:rPr>
        <w:t>方</w:t>
      </w:r>
      <w:r>
        <w:rPr>
          <w:rFonts w:ascii="仿宋" w:hAnsi="仿宋" w:eastAsia="仿宋"/>
          <w:sz w:val="28"/>
          <w:szCs w:val="24"/>
          <w:highlight w:val="none"/>
        </w:rPr>
        <w:t>已经详细</w:t>
      </w:r>
      <w:r>
        <w:rPr>
          <w:rFonts w:hint="eastAsia" w:ascii="仿宋" w:hAnsi="仿宋" w:eastAsia="仿宋"/>
          <w:sz w:val="28"/>
          <w:szCs w:val="24"/>
          <w:highlight w:val="none"/>
        </w:rPr>
        <w:t>审查</w:t>
      </w:r>
      <w:r>
        <w:rPr>
          <w:rFonts w:ascii="仿宋" w:hAnsi="仿宋" w:eastAsia="仿宋"/>
          <w:sz w:val="28"/>
          <w:szCs w:val="24"/>
          <w:highlight w:val="none"/>
        </w:rPr>
        <w:t>了全部</w:t>
      </w:r>
      <w:r>
        <w:rPr>
          <w:rFonts w:hint="eastAsia" w:ascii="仿宋" w:hAnsi="仿宋" w:eastAsia="仿宋"/>
          <w:sz w:val="28"/>
          <w:szCs w:val="24"/>
          <w:highlight w:val="none"/>
        </w:rPr>
        <w:t>磋商</w:t>
      </w:r>
      <w:r>
        <w:rPr>
          <w:rFonts w:ascii="仿宋" w:hAnsi="仿宋" w:eastAsia="仿宋"/>
          <w:sz w:val="28"/>
          <w:szCs w:val="24"/>
          <w:highlight w:val="none"/>
        </w:rPr>
        <w:t>文件，我方已完全清晰理解</w:t>
      </w:r>
      <w:r>
        <w:rPr>
          <w:rFonts w:hint="eastAsia" w:ascii="仿宋" w:hAnsi="仿宋" w:eastAsia="仿宋"/>
          <w:sz w:val="28"/>
          <w:szCs w:val="24"/>
          <w:highlight w:val="none"/>
        </w:rPr>
        <w:t>磋商</w:t>
      </w:r>
      <w:r>
        <w:rPr>
          <w:rFonts w:ascii="仿宋" w:hAnsi="仿宋" w:eastAsia="仿宋"/>
          <w:sz w:val="28"/>
          <w:szCs w:val="24"/>
          <w:highlight w:val="none"/>
        </w:rPr>
        <w:t>文件的要求，不存在任何含糊不清和误解之处，同意放弃对这些文件所提出的异议和质疑的权利。</w:t>
      </w:r>
    </w:p>
    <w:p w14:paraId="63712D81">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（3）</w:t>
      </w:r>
      <w:r>
        <w:rPr>
          <w:rFonts w:ascii="仿宋" w:hAnsi="仿宋" w:eastAsia="仿宋"/>
          <w:sz w:val="28"/>
          <w:szCs w:val="24"/>
          <w:highlight w:val="none"/>
        </w:rPr>
        <w:t>我方承诺提供的</w:t>
      </w:r>
      <w:r>
        <w:rPr>
          <w:rFonts w:hint="eastAsia" w:ascii="仿宋" w:hAnsi="仿宋" w:eastAsia="仿宋"/>
          <w:sz w:val="28"/>
          <w:szCs w:val="24"/>
          <w:highlight w:val="none"/>
        </w:rPr>
        <w:t>磋商响应文件的有效期，从磋商响应文件接收截止之日算起，</w:t>
      </w:r>
      <w:r>
        <w:rPr>
          <w:rFonts w:ascii="仿宋" w:hAnsi="仿宋" w:eastAsia="仿宋"/>
          <w:sz w:val="28"/>
          <w:szCs w:val="24"/>
          <w:highlight w:val="none"/>
        </w:rPr>
        <w:t>60个</w:t>
      </w:r>
      <w:r>
        <w:rPr>
          <w:rFonts w:hint="eastAsia" w:ascii="仿宋" w:hAnsi="仿宋" w:eastAsia="仿宋"/>
          <w:sz w:val="28"/>
          <w:szCs w:val="24"/>
          <w:highlight w:val="none"/>
        </w:rPr>
        <w:t>“日历天”内保持有效。</w:t>
      </w:r>
    </w:p>
    <w:p w14:paraId="30D697C7">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（4）我方愿意提供招标采购单位在磋商文件中要求的所有资料。</w:t>
      </w:r>
    </w:p>
    <w:p w14:paraId="3A39246F">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（5）</w:t>
      </w:r>
      <w:r>
        <w:rPr>
          <w:rFonts w:ascii="仿宋" w:hAnsi="仿宋" w:eastAsia="仿宋"/>
          <w:sz w:val="28"/>
          <w:szCs w:val="24"/>
          <w:highlight w:val="none"/>
        </w:rPr>
        <w:t>我</w:t>
      </w:r>
      <w:r>
        <w:rPr>
          <w:rFonts w:hint="eastAsia" w:ascii="仿宋" w:hAnsi="仿宋" w:eastAsia="仿宋"/>
          <w:sz w:val="28"/>
          <w:szCs w:val="24"/>
          <w:highlight w:val="none"/>
        </w:rPr>
        <w:t>方</w:t>
      </w:r>
      <w:r>
        <w:rPr>
          <w:rFonts w:ascii="仿宋" w:hAnsi="仿宋" w:eastAsia="仿宋"/>
          <w:sz w:val="28"/>
          <w:szCs w:val="24"/>
          <w:highlight w:val="none"/>
        </w:rPr>
        <w:t>承诺在本次</w:t>
      </w:r>
      <w:r>
        <w:rPr>
          <w:rFonts w:hint="eastAsia" w:ascii="仿宋" w:hAnsi="仿宋" w:eastAsia="仿宋"/>
          <w:sz w:val="28"/>
          <w:szCs w:val="24"/>
          <w:highlight w:val="none"/>
        </w:rPr>
        <w:t>磋商</w:t>
      </w:r>
      <w:r>
        <w:rPr>
          <w:rFonts w:ascii="仿宋" w:hAnsi="仿宋" w:eastAsia="仿宋"/>
          <w:sz w:val="28"/>
          <w:szCs w:val="24"/>
          <w:highlight w:val="none"/>
        </w:rPr>
        <w:t>响应中提供的一切文件，无论是原件还是复印件均真实有效，绝无任何虚假、伪造和夸大的成份。否则，愿承担相应的后果和法律责任。</w:t>
      </w:r>
    </w:p>
    <w:p w14:paraId="2FAFC9F0">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（6）</w:t>
      </w:r>
      <w:r>
        <w:rPr>
          <w:rFonts w:ascii="仿宋" w:hAnsi="仿宋" w:eastAsia="仿宋"/>
          <w:sz w:val="28"/>
          <w:szCs w:val="24"/>
          <w:highlight w:val="none"/>
        </w:rPr>
        <w:t>我</w:t>
      </w:r>
      <w:r>
        <w:rPr>
          <w:rFonts w:hint="eastAsia" w:ascii="仿宋" w:hAnsi="仿宋" w:eastAsia="仿宋"/>
          <w:sz w:val="28"/>
          <w:szCs w:val="24"/>
          <w:highlight w:val="none"/>
        </w:rPr>
        <w:t>方</w:t>
      </w:r>
      <w:r>
        <w:rPr>
          <w:rFonts w:ascii="仿宋" w:hAnsi="仿宋" w:eastAsia="仿宋"/>
          <w:sz w:val="28"/>
          <w:szCs w:val="24"/>
          <w:highlight w:val="none"/>
        </w:rPr>
        <w:t>尊重评</w:t>
      </w:r>
      <w:r>
        <w:rPr>
          <w:rFonts w:hint="eastAsia" w:ascii="仿宋" w:hAnsi="仿宋" w:eastAsia="仿宋"/>
          <w:sz w:val="28"/>
          <w:szCs w:val="24"/>
          <w:highlight w:val="none"/>
        </w:rPr>
        <w:t>审</w:t>
      </w:r>
      <w:r>
        <w:rPr>
          <w:rFonts w:ascii="仿宋" w:hAnsi="仿宋" w:eastAsia="仿宋"/>
          <w:sz w:val="28"/>
          <w:szCs w:val="24"/>
          <w:highlight w:val="none"/>
        </w:rPr>
        <w:t>小组所作评定结果</w:t>
      </w:r>
      <w:r>
        <w:rPr>
          <w:rFonts w:hint="eastAsia" w:ascii="仿宋" w:hAnsi="仿宋" w:eastAsia="仿宋"/>
          <w:sz w:val="28"/>
          <w:szCs w:val="24"/>
          <w:highlight w:val="none"/>
        </w:rPr>
        <w:t>，</w:t>
      </w:r>
      <w:r>
        <w:rPr>
          <w:rFonts w:ascii="仿宋" w:hAnsi="仿宋" w:eastAsia="仿宋"/>
          <w:sz w:val="28"/>
          <w:szCs w:val="24"/>
          <w:highlight w:val="none"/>
        </w:rPr>
        <w:t>同时</w:t>
      </w:r>
      <w:r>
        <w:rPr>
          <w:rFonts w:hint="eastAsia" w:ascii="仿宋" w:hAnsi="仿宋" w:eastAsia="仿宋"/>
          <w:sz w:val="28"/>
          <w:szCs w:val="24"/>
          <w:highlight w:val="none"/>
        </w:rPr>
        <w:t>也</w:t>
      </w:r>
      <w:r>
        <w:rPr>
          <w:rFonts w:ascii="仿宋" w:hAnsi="仿宋" w:eastAsia="仿宋"/>
          <w:sz w:val="28"/>
          <w:szCs w:val="24"/>
          <w:highlight w:val="none"/>
        </w:rPr>
        <w:t>清楚理解到</w:t>
      </w:r>
      <w:r>
        <w:rPr>
          <w:rFonts w:hint="eastAsia" w:ascii="仿宋" w:hAnsi="仿宋" w:eastAsia="仿宋"/>
          <w:sz w:val="28"/>
          <w:szCs w:val="24"/>
          <w:highlight w:val="none"/>
        </w:rPr>
        <w:t>磋商报</w:t>
      </w:r>
      <w:r>
        <w:rPr>
          <w:rFonts w:ascii="仿宋" w:hAnsi="仿宋" w:eastAsia="仿宋"/>
          <w:sz w:val="28"/>
          <w:szCs w:val="24"/>
          <w:highlight w:val="none"/>
        </w:rPr>
        <w:t>价最低并非意味着必定获得</w:t>
      </w:r>
      <w:r>
        <w:rPr>
          <w:rFonts w:hint="eastAsia" w:ascii="仿宋" w:hAnsi="仿宋" w:eastAsia="仿宋"/>
          <w:sz w:val="28"/>
          <w:szCs w:val="24"/>
          <w:highlight w:val="none"/>
        </w:rPr>
        <w:t>中标</w:t>
      </w:r>
      <w:r>
        <w:rPr>
          <w:rFonts w:ascii="仿宋" w:hAnsi="仿宋" w:eastAsia="仿宋"/>
          <w:sz w:val="28"/>
          <w:szCs w:val="24"/>
          <w:highlight w:val="none"/>
        </w:rPr>
        <w:t>资格。</w:t>
      </w:r>
    </w:p>
    <w:p w14:paraId="3C67117D">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（7）我方愿意按磋商文件的规定交纳磋商保证金，并同意供应商须知中关于没收磋商保证金的规定。</w:t>
      </w:r>
    </w:p>
    <w:p w14:paraId="5366D0AE">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（8）如果我方中标成交，我方愿意按磋商文件的规定支付招标代理服务费；</w:t>
      </w:r>
    </w:p>
    <w:p w14:paraId="59E88205">
      <w:pPr>
        <w:snapToGrid w:val="0"/>
        <w:spacing w:line="440" w:lineRule="exact"/>
        <w:ind w:firstLine="560" w:firstLineChars="200"/>
        <w:rPr>
          <w:rFonts w:ascii="仿宋" w:hAnsi="仿宋" w:eastAsia="仿宋"/>
          <w:sz w:val="28"/>
          <w:szCs w:val="24"/>
          <w:highlight w:val="none"/>
        </w:rPr>
      </w:pPr>
      <w:r>
        <w:rPr>
          <w:rFonts w:hint="eastAsia" w:ascii="仿宋" w:hAnsi="仿宋" w:eastAsia="仿宋"/>
          <w:sz w:val="28"/>
          <w:szCs w:val="24"/>
          <w:highlight w:val="none"/>
        </w:rPr>
        <w:t>（9）</w:t>
      </w:r>
      <w:r>
        <w:rPr>
          <w:rFonts w:ascii="仿宋" w:hAnsi="仿宋" w:eastAsia="仿宋"/>
          <w:sz w:val="28"/>
          <w:szCs w:val="24"/>
          <w:highlight w:val="none"/>
        </w:rPr>
        <w:t>一旦我方成交</w:t>
      </w:r>
      <w:r>
        <w:rPr>
          <w:rFonts w:hint="eastAsia" w:ascii="仿宋" w:hAnsi="仿宋" w:eastAsia="仿宋"/>
          <w:sz w:val="28"/>
          <w:szCs w:val="24"/>
          <w:highlight w:val="none"/>
        </w:rPr>
        <w:t>，</w:t>
      </w:r>
      <w:r>
        <w:rPr>
          <w:rFonts w:ascii="仿宋" w:hAnsi="仿宋" w:eastAsia="仿宋"/>
          <w:sz w:val="28"/>
          <w:szCs w:val="24"/>
          <w:highlight w:val="none"/>
        </w:rPr>
        <w:t>我方将根据</w:t>
      </w:r>
      <w:r>
        <w:rPr>
          <w:rFonts w:hint="eastAsia" w:ascii="仿宋" w:hAnsi="仿宋" w:eastAsia="仿宋"/>
          <w:sz w:val="28"/>
          <w:szCs w:val="24"/>
          <w:highlight w:val="none"/>
        </w:rPr>
        <w:t>磋商</w:t>
      </w:r>
      <w:r>
        <w:rPr>
          <w:rFonts w:ascii="仿宋" w:hAnsi="仿宋" w:eastAsia="仿宋"/>
          <w:sz w:val="28"/>
          <w:szCs w:val="24"/>
          <w:highlight w:val="none"/>
        </w:rPr>
        <w:t>文件的规定，严格履行</w:t>
      </w:r>
      <w:r>
        <w:rPr>
          <w:rFonts w:hint="eastAsia" w:ascii="仿宋" w:hAnsi="仿宋" w:eastAsia="仿宋"/>
          <w:sz w:val="28"/>
          <w:szCs w:val="24"/>
          <w:highlight w:val="none"/>
        </w:rPr>
        <w:t>磋商文件中规定的每一项要求，按期、按质、按量履行合同的义务。</w:t>
      </w:r>
    </w:p>
    <w:p w14:paraId="4C317192">
      <w:pPr>
        <w:snapToGrid w:val="0"/>
        <w:spacing w:line="460" w:lineRule="exact"/>
        <w:ind w:firstLine="2800" w:firstLineChars="1000"/>
        <w:jc w:val="right"/>
        <w:rPr>
          <w:rFonts w:hint="eastAsia" w:ascii="仿宋" w:hAnsi="仿宋" w:eastAsia="仿宋"/>
          <w:sz w:val="28"/>
          <w:szCs w:val="24"/>
          <w:highlight w:val="none"/>
        </w:rPr>
      </w:pPr>
    </w:p>
    <w:p w14:paraId="1ED8A883">
      <w:pPr>
        <w:snapToGrid w:val="0"/>
        <w:spacing w:line="460" w:lineRule="exact"/>
        <w:ind w:firstLine="2800" w:firstLineChars="1000"/>
        <w:jc w:val="right"/>
        <w:rPr>
          <w:rFonts w:ascii="仿宋" w:hAnsi="仿宋" w:eastAsia="仿宋"/>
          <w:sz w:val="28"/>
          <w:szCs w:val="24"/>
          <w:highlight w:val="none"/>
        </w:rPr>
      </w:pPr>
      <w:r>
        <w:rPr>
          <w:rFonts w:hint="eastAsia" w:ascii="仿宋" w:hAnsi="仿宋" w:eastAsia="仿宋"/>
          <w:sz w:val="28"/>
          <w:szCs w:val="24"/>
          <w:highlight w:val="none"/>
        </w:rPr>
        <w:t>磋商</w:t>
      </w:r>
      <w:r>
        <w:rPr>
          <w:rFonts w:ascii="仿宋" w:hAnsi="仿宋" w:eastAsia="仿宋"/>
          <w:sz w:val="28"/>
          <w:szCs w:val="24"/>
          <w:highlight w:val="none"/>
        </w:rPr>
        <w:t>响应</w:t>
      </w:r>
      <w:r>
        <w:rPr>
          <w:rFonts w:hint="eastAsia" w:ascii="仿宋" w:hAnsi="仿宋" w:eastAsia="仿宋"/>
          <w:sz w:val="28"/>
          <w:szCs w:val="24"/>
          <w:highlight w:val="none"/>
        </w:rPr>
        <w:t>响应供应商</w:t>
      </w:r>
      <w:r>
        <w:rPr>
          <w:rFonts w:ascii="仿宋" w:hAnsi="仿宋" w:eastAsia="仿宋"/>
          <w:sz w:val="28"/>
          <w:szCs w:val="24"/>
          <w:highlight w:val="none"/>
        </w:rPr>
        <w:t>：</w:t>
      </w:r>
      <w:r>
        <w:rPr>
          <w:rFonts w:ascii="仿宋" w:hAnsi="仿宋" w:eastAsia="仿宋"/>
          <w:sz w:val="28"/>
          <w:szCs w:val="24"/>
          <w:highlight w:val="none"/>
          <w:u w:val="single"/>
        </w:rPr>
        <w:t xml:space="preserve">              </w:t>
      </w:r>
      <w:r>
        <w:rPr>
          <w:rFonts w:ascii="仿宋" w:hAnsi="仿宋" w:eastAsia="仿宋"/>
          <w:sz w:val="28"/>
          <w:szCs w:val="24"/>
          <w:highlight w:val="none"/>
        </w:rPr>
        <w:t>（加盖公章）</w:t>
      </w:r>
    </w:p>
    <w:p w14:paraId="58D8B73B">
      <w:pPr>
        <w:snapToGrid w:val="0"/>
        <w:spacing w:line="460" w:lineRule="exact"/>
        <w:ind w:firstLine="2800" w:firstLineChars="1000"/>
        <w:jc w:val="right"/>
        <w:rPr>
          <w:rFonts w:ascii="仿宋" w:hAnsi="仿宋" w:eastAsia="仿宋"/>
          <w:sz w:val="28"/>
          <w:szCs w:val="24"/>
          <w:highlight w:val="none"/>
        </w:rPr>
      </w:pPr>
      <w:r>
        <w:rPr>
          <w:rFonts w:ascii="仿宋" w:hAnsi="仿宋" w:eastAsia="仿宋"/>
          <w:sz w:val="28"/>
          <w:szCs w:val="24"/>
          <w:highlight w:val="none"/>
        </w:rPr>
        <w:t>法定代表人或</w:t>
      </w:r>
      <w:r>
        <w:rPr>
          <w:rFonts w:hint="eastAsia" w:ascii="仿宋" w:hAnsi="仿宋" w:eastAsia="仿宋"/>
          <w:sz w:val="28"/>
          <w:szCs w:val="24"/>
          <w:highlight w:val="none"/>
        </w:rPr>
        <w:t>委托代理</w:t>
      </w:r>
      <w:r>
        <w:rPr>
          <w:rFonts w:ascii="仿宋" w:hAnsi="仿宋" w:eastAsia="仿宋"/>
          <w:sz w:val="28"/>
          <w:szCs w:val="24"/>
          <w:highlight w:val="none"/>
        </w:rPr>
        <w:t>人：</w:t>
      </w:r>
      <w:r>
        <w:rPr>
          <w:rFonts w:ascii="仿宋" w:hAnsi="仿宋" w:eastAsia="仿宋"/>
          <w:sz w:val="28"/>
          <w:szCs w:val="24"/>
          <w:highlight w:val="none"/>
          <w:u w:val="single"/>
        </w:rPr>
        <w:t xml:space="preserve">         </w:t>
      </w:r>
      <w:r>
        <w:rPr>
          <w:rFonts w:hint="eastAsia" w:ascii="仿宋" w:hAnsi="仿宋" w:eastAsia="仿宋"/>
          <w:bCs/>
          <w:sz w:val="28"/>
          <w:szCs w:val="24"/>
          <w:highlight w:val="none"/>
        </w:rPr>
        <w:t>（签字或盖章）</w:t>
      </w:r>
    </w:p>
    <w:p w14:paraId="05321A81">
      <w:pPr>
        <w:wordWrap w:val="0"/>
        <w:snapToGrid w:val="0"/>
        <w:spacing w:line="460" w:lineRule="exact"/>
        <w:jc w:val="right"/>
        <w:rPr>
          <w:rFonts w:hint="eastAsia" w:ascii="仿宋" w:hAnsi="仿宋" w:eastAsia="仿宋"/>
          <w:sz w:val="28"/>
          <w:szCs w:val="24"/>
          <w:highlight w:val="none"/>
        </w:rPr>
      </w:pPr>
      <w:r>
        <w:rPr>
          <w:rFonts w:hint="eastAsia" w:ascii="仿宋" w:hAnsi="仿宋" w:eastAsia="仿宋"/>
          <w:sz w:val="28"/>
          <w:szCs w:val="24"/>
          <w:highlight w:val="none"/>
        </w:rPr>
        <w:t xml:space="preserve">   年      月     日</w:t>
      </w:r>
    </w:p>
    <w:p w14:paraId="2A9BB16E">
      <w:pPr>
        <w:spacing w:line="380" w:lineRule="exact"/>
        <w:jc w:val="center"/>
        <w:rPr>
          <w:rFonts w:hint="eastAsia" w:ascii="仿宋_GB2312" w:eastAsia="仿宋_GB2312" w:cs="宋体"/>
          <w:highlight w:val="none"/>
        </w:rPr>
      </w:pPr>
      <w:r>
        <w:rPr>
          <w:rFonts w:ascii="仿宋_GB2312" w:hAnsi="宋体" w:eastAsia="仿宋_GB2312" w:cs="宋体"/>
          <w:b/>
          <w:sz w:val="28"/>
          <w:szCs w:val="28"/>
          <w:highlight w:val="none"/>
        </w:rPr>
        <w:br w:type="page"/>
      </w:r>
      <w:r>
        <w:rPr>
          <w:rFonts w:hint="eastAsia" w:ascii="仿宋_GB2312" w:hAnsi="宋体" w:eastAsia="仿宋_GB2312" w:cs="宋体"/>
          <w:b/>
          <w:sz w:val="28"/>
          <w:szCs w:val="28"/>
          <w:highlight w:val="none"/>
          <w:lang w:val="en-US" w:eastAsia="zh-CN"/>
        </w:rPr>
        <w:t>8</w:t>
      </w:r>
      <w:r>
        <w:rPr>
          <w:rFonts w:hint="eastAsia" w:ascii="仿宋_GB2312" w:hAnsi="宋体" w:eastAsia="仿宋_GB2312" w:cs="宋体"/>
          <w:b/>
          <w:sz w:val="28"/>
          <w:szCs w:val="28"/>
          <w:highlight w:val="none"/>
        </w:rPr>
        <w:t>、磋商响应报价总表</w:t>
      </w:r>
    </w:p>
    <w:p w14:paraId="295C82D2">
      <w:pPr>
        <w:snapToGrid w:val="0"/>
        <w:spacing w:line="520" w:lineRule="exact"/>
        <w:outlineLvl w:val="2"/>
        <w:rPr>
          <w:rFonts w:hint="eastAsia" w:ascii="仿宋_GB2312" w:eastAsia="仿宋_GB2312"/>
          <w:sz w:val="28"/>
          <w:szCs w:val="24"/>
          <w:highlight w:val="none"/>
        </w:rPr>
      </w:pPr>
      <w:r>
        <w:rPr>
          <w:rFonts w:hint="eastAsia" w:ascii="仿宋_GB2312" w:eastAsia="仿宋_GB2312"/>
          <w:sz w:val="28"/>
          <w:szCs w:val="24"/>
          <w:highlight w:val="none"/>
        </w:rPr>
        <w:t>项目</w:t>
      </w:r>
      <w:r>
        <w:rPr>
          <w:rFonts w:ascii="仿宋_GB2312" w:eastAsia="仿宋_GB2312"/>
          <w:sz w:val="28"/>
          <w:szCs w:val="24"/>
          <w:highlight w:val="none"/>
        </w:rPr>
        <w:t>名称：</w:t>
      </w:r>
    </w:p>
    <w:tbl>
      <w:tblPr>
        <w:tblStyle w:val="52"/>
        <w:tblW w:w="9924"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2126"/>
        <w:gridCol w:w="4536"/>
        <w:gridCol w:w="2127"/>
      </w:tblGrid>
      <w:tr w14:paraId="1BF2C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2B5CD5B">
            <w:pPr>
              <w:spacing w:line="520" w:lineRule="exact"/>
              <w:ind w:left="1"/>
              <w:jc w:val="center"/>
              <w:textAlignment w:val="bottom"/>
              <w:rPr>
                <w:rFonts w:hint="eastAsia" w:ascii="宋体" w:hAnsi="宋体" w:eastAsia="仿宋_GB2312"/>
                <w:b/>
                <w:kern w:val="0"/>
                <w:sz w:val="24"/>
                <w:szCs w:val="24"/>
                <w:highlight w:val="none"/>
              </w:rPr>
            </w:pPr>
            <w:r>
              <w:rPr>
                <w:rFonts w:hint="eastAsia" w:ascii="宋体" w:hAnsi="宋体" w:eastAsia="仿宋_GB2312"/>
                <w:b/>
                <w:kern w:val="0"/>
                <w:sz w:val="24"/>
                <w:szCs w:val="24"/>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812670E">
            <w:pPr>
              <w:spacing w:line="520" w:lineRule="exact"/>
              <w:ind w:left="1"/>
              <w:jc w:val="center"/>
              <w:textAlignment w:val="bottom"/>
              <w:rPr>
                <w:rFonts w:hint="eastAsia" w:ascii="宋体" w:hAnsi="宋体" w:eastAsia="仿宋_GB2312"/>
                <w:b/>
                <w:kern w:val="0"/>
                <w:sz w:val="24"/>
                <w:szCs w:val="24"/>
                <w:highlight w:val="none"/>
              </w:rPr>
            </w:pPr>
            <w:r>
              <w:rPr>
                <w:rFonts w:hint="eastAsia" w:ascii="宋体" w:hAnsi="宋体" w:eastAsia="仿宋_GB2312"/>
                <w:b/>
                <w:kern w:val="0"/>
                <w:sz w:val="24"/>
                <w:szCs w:val="24"/>
                <w:highlight w:val="none"/>
              </w:rPr>
              <w:t>报价轮次</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92A691D">
            <w:pPr>
              <w:spacing w:line="520" w:lineRule="exact"/>
              <w:ind w:left="1"/>
              <w:jc w:val="center"/>
              <w:textAlignment w:val="bottom"/>
              <w:rPr>
                <w:rFonts w:hint="eastAsia" w:ascii="宋体" w:hAnsi="宋体" w:eastAsia="仿宋_GB2312"/>
                <w:b/>
                <w:kern w:val="0"/>
                <w:sz w:val="24"/>
                <w:szCs w:val="24"/>
                <w:highlight w:val="none"/>
                <w:lang w:eastAsia="en-US"/>
              </w:rPr>
            </w:pPr>
            <w:r>
              <w:rPr>
                <w:rFonts w:hint="eastAsia" w:ascii="宋体" w:hAnsi="宋体" w:eastAsia="仿宋_GB2312"/>
                <w:b/>
                <w:kern w:val="0"/>
                <w:sz w:val="24"/>
                <w:szCs w:val="24"/>
                <w:highlight w:val="none"/>
              </w:rPr>
              <w:t>磋商总报</w:t>
            </w:r>
            <w:r>
              <w:rPr>
                <w:rFonts w:hint="eastAsia" w:ascii="宋体" w:hAnsi="宋体" w:eastAsia="仿宋_GB2312"/>
                <w:b/>
                <w:kern w:val="0"/>
                <w:sz w:val="24"/>
                <w:szCs w:val="24"/>
                <w:highlight w:val="none"/>
                <w:lang w:eastAsia="en-US"/>
              </w:rPr>
              <w:t>价（元）</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28B91E5">
            <w:pPr>
              <w:spacing w:line="520" w:lineRule="exact"/>
              <w:ind w:left="1" w:hanging="1"/>
              <w:jc w:val="center"/>
              <w:textAlignment w:val="bottom"/>
              <w:rPr>
                <w:rFonts w:hint="eastAsia" w:ascii="宋体" w:hAnsi="宋体" w:eastAsia="仿宋_GB2312"/>
                <w:b/>
                <w:kern w:val="0"/>
                <w:sz w:val="24"/>
                <w:szCs w:val="24"/>
                <w:highlight w:val="none"/>
              </w:rPr>
            </w:pPr>
            <w:r>
              <w:rPr>
                <w:rFonts w:hint="eastAsia" w:ascii="宋体" w:hAnsi="宋体" w:eastAsia="仿宋_GB2312"/>
                <w:b/>
                <w:kern w:val="0"/>
                <w:sz w:val="24"/>
                <w:szCs w:val="24"/>
                <w:highlight w:val="none"/>
              </w:rPr>
              <w:t>备注</w:t>
            </w:r>
          </w:p>
        </w:tc>
      </w:tr>
      <w:tr w14:paraId="72949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vMerge w:val="restart"/>
            <w:tcBorders>
              <w:top w:val="single" w:color="auto" w:sz="4" w:space="0"/>
              <w:left w:val="single" w:color="auto" w:sz="4" w:space="0"/>
              <w:right w:val="single" w:color="auto" w:sz="4" w:space="0"/>
            </w:tcBorders>
            <w:noWrap w:val="0"/>
            <w:vAlign w:val="center"/>
          </w:tcPr>
          <w:p w14:paraId="454DD04C">
            <w:pPr>
              <w:jc w:val="center"/>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1</w:t>
            </w:r>
          </w:p>
        </w:tc>
        <w:tc>
          <w:tcPr>
            <w:tcW w:w="2126" w:type="dxa"/>
            <w:vMerge w:val="restart"/>
            <w:tcBorders>
              <w:top w:val="single" w:color="auto" w:sz="4" w:space="0"/>
              <w:left w:val="single" w:color="auto" w:sz="4" w:space="0"/>
              <w:right w:val="single" w:color="auto" w:sz="4" w:space="0"/>
            </w:tcBorders>
            <w:noWrap w:val="0"/>
            <w:vAlign w:val="center"/>
          </w:tcPr>
          <w:p w14:paraId="717A9579">
            <w:pPr>
              <w:jc w:val="center"/>
              <w:textAlignment w:val="bottom"/>
              <w:rPr>
                <w:rFonts w:hint="eastAsia" w:ascii="宋体" w:hAnsi="宋体" w:eastAsia="仿宋_GB2312"/>
                <w:b/>
                <w:kern w:val="0"/>
                <w:sz w:val="24"/>
                <w:szCs w:val="24"/>
                <w:highlight w:val="none"/>
              </w:rPr>
            </w:pPr>
            <w:r>
              <w:rPr>
                <w:rFonts w:ascii="宋体" w:hAnsi="宋体" w:eastAsia="仿宋_GB2312"/>
                <w:bCs/>
                <w:kern w:val="0"/>
                <w:sz w:val="24"/>
                <w:szCs w:val="24"/>
                <w:highlight w:val="none"/>
              </w:rPr>
              <w:t>报价</w:t>
            </w:r>
            <w:r>
              <w:rPr>
                <w:rFonts w:hint="eastAsia" w:ascii="宋体" w:hAnsi="宋体" w:eastAsia="仿宋_GB2312"/>
                <w:bCs/>
                <w:kern w:val="0"/>
                <w:sz w:val="24"/>
                <w:szCs w:val="24"/>
                <w:highlight w:val="none"/>
              </w:rPr>
              <w:t>（首次）</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259C30E3">
            <w:pPr>
              <w:ind w:firstLine="26" w:firstLineChars="11"/>
              <w:textAlignment w:val="bottom"/>
              <w:rPr>
                <w:rFonts w:hint="eastAsia" w:ascii="宋体" w:hAnsi="宋体" w:eastAsia="仿宋_GB2312"/>
                <w:kern w:val="0"/>
                <w:sz w:val="24"/>
                <w:szCs w:val="24"/>
                <w:highlight w:val="none"/>
                <w:lang w:val="en-US" w:eastAsia="zh-CN"/>
              </w:rPr>
            </w:pPr>
            <w:r>
              <w:rPr>
                <w:rFonts w:hint="eastAsia" w:ascii="宋体" w:hAnsi="宋体" w:eastAsia="仿宋_GB2312"/>
                <w:kern w:val="0"/>
                <w:sz w:val="24"/>
                <w:szCs w:val="24"/>
                <w:highlight w:val="none"/>
                <w:lang w:val="en-US" w:eastAsia="zh-CN"/>
              </w:rPr>
              <w:t>含税价：</w:t>
            </w:r>
          </w:p>
          <w:p w14:paraId="44646139">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56A98C54">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restart"/>
            <w:tcBorders>
              <w:top w:val="single" w:color="auto" w:sz="4" w:space="0"/>
              <w:left w:val="single" w:color="auto" w:sz="4" w:space="0"/>
              <w:right w:val="single" w:color="auto" w:sz="4" w:space="0"/>
            </w:tcBorders>
            <w:noWrap w:val="0"/>
            <w:vAlign w:val="center"/>
          </w:tcPr>
          <w:p w14:paraId="0EA21F56">
            <w:pPr>
              <w:spacing w:line="520" w:lineRule="exact"/>
              <w:ind w:left="1" w:hanging="1"/>
              <w:jc w:val="center"/>
              <w:textAlignment w:val="bottom"/>
              <w:rPr>
                <w:rFonts w:hint="eastAsia" w:ascii="宋体" w:hAnsi="宋体" w:eastAsia="仿宋_GB2312"/>
                <w:b/>
                <w:kern w:val="0"/>
                <w:sz w:val="24"/>
                <w:szCs w:val="24"/>
                <w:highlight w:val="none"/>
              </w:rPr>
            </w:pPr>
          </w:p>
        </w:tc>
      </w:tr>
      <w:tr w14:paraId="38A5E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135" w:type="dxa"/>
            <w:vMerge w:val="continue"/>
            <w:tcBorders>
              <w:left w:val="single" w:color="auto" w:sz="4" w:space="0"/>
              <w:bottom w:val="single" w:color="auto" w:sz="4" w:space="0"/>
              <w:right w:val="single" w:color="auto" w:sz="4" w:space="0"/>
            </w:tcBorders>
            <w:noWrap w:val="0"/>
            <w:vAlign w:val="center"/>
          </w:tcPr>
          <w:p w14:paraId="716C681D">
            <w:pPr>
              <w:jc w:val="center"/>
              <w:textAlignment w:val="bottom"/>
              <w:rPr>
                <w:rFonts w:hint="eastAsia" w:ascii="宋体" w:hAnsi="宋体" w:eastAsia="仿宋_GB2312"/>
                <w:b/>
                <w:kern w:val="0"/>
                <w:sz w:val="24"/>
                <w:szCs w:val="24"/>
                <w:highlight w:val="none"/>
              </w:rPr>
            </w:pPr>
          </w:p>
        </w:tc>
        <w:tc>
          <w:tcPr>
            <w:tcW w:w="2126" w:type="dxa"/>
            <w:vMerge w:val="continue"/>
            <w:tcBorders>
              <w:left w:val="single" w:color="auto" w:sz="4" w:space="0"/>
              <w:bottom w:val="single" w:color="auto" w:sz="4" w:space="0"/>
              <w:right w:val="single" w:color="auto" w:sz="4" w:space="0"/>
            </w:tcBorders>
            <w:noWrap w:val="0"/>
            <w:vAlign w:val="center"/>
          </w:tcPr>
          <w:p w14:paraId="21994B30">
            <w:pPr>
              <w:jc w:val="center"/>
              <w:textAlignment w:val="bottom"/>
              <w:rPr>
                <w:rFonts w:hint="eastAsia" w:ascii="宋体" w:hAnsi="宋体" w:eastAsia="仿宋_GB2312"/>
                <w:b/>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C943E32">
            <w:pPr>
              <w:ind w:firstLine="26" w:firstLineChars="11"/>
              <w:textAlignment w:val="bottom"/>
              <w:rPr>
                <w:rFonts w:hint="default" w:ascii="宋体" w:hAnsi="宋体" w:eastAsia="仿宋_GB2312"/>
                <w:kern w:val="0"/>
                <w:sz w:val="24"/>
                <w:szCs w:val="24"/>
                <w:highlight w:val="none"/>
                <w:lang w:val="en-US" w:eastAsia="zh-CN"/>
              </w:rPr>
            </w:pPr>
            <w:r>
              <w:rPr>
                <w:rFonts w:hint="eastAsia" w:ascii="宋体" w:hAnsi="宋体" w:eastAsia="仿宋_GB2312"/>
                <w:kern w:val="0"/>
                <w:sz w:val="24"/>
                <w:szCs w:val="24"/>
                <w:highlight w:val="none"/>
                <w:lang w:val="en-US" w:eastAsia="zh-CN"/>
              </w:rPr>
              <w:t>税率：   %</w:t>
            </w:r>
          </w:p>
        </w:tc>
        <w:tc>
          <w:tcPr>
            <w:tcW w:w="2127" w:type="dxa"/>
            <w:vMerge w:val="continue"/>
            <w:tcBorders>
              <w:left w:val="single" w:color="auto" w:sz="4" w:space="0"/>
              <w:bottom w:val="single" w:color="auto" w:sz="4" w:space="0"/>
              <w:right w:val="single" w:color="auto" w:sz="4" w:space="0"/>
            </w:tcBorders>
            <w:noWrap w:val="0"/>
            <w:vAlign w:val="center"/>
          </w:tcPr>
          <w:p w14:paraId="37034F3F">
            <w:pPr>
              <w:spacing w:line="520" w:lineRule="exact"/>
              <w:ind w:left="1" w:hanging="1"/>
              <w:jc w:val="center"/>
              <w:textAlignment w:val="bottom"/>
              <w:rPr>
                <w:rFonts w:hint="eastAsia" w:ascii="宋体" w:hAnsi="宋体" w:eastAsia="仿宋_GB2312"/>
                <w:b/>
                <w:kern w:val="0"/>
                <w:sz w:val="24"/>
                <w:szCs w:val="24"/>
                <w:highlight w:val="none"/>
              </w:rPr>
            </w:pPr>
          </w:p>
        </w:tc>
      </w:tr>
      <w:tr w14:paraId="423E7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135" w:type="dxa"/>
            <w:vMerge w:val="continue"/>
            <w:tcBorders>
              <w:left w:val="single" w:color="auto" w:sz="4" w:space="0"/>
              <w:bottom w:val="single" w:color="auto" w:sz="4" w:space="0"/>
              <w:right w:val="single" w:color="auto" w:sz="4" w:space="0"/>
            </w:tcBorders>
            <w:noWrap w:val="0"/>
            <w:vAlign w:val="center"/>
          </w:tcPr>
          <w:p w14:paraId="2125E86D">
            <w:pPr>
              <w:jc w:val="center"/>
              <w:textAlignment w:val="bottom"/>
              <w:rPr>
                <w:rFonts w:hint="eastAsia" w:ascii="宋体" w:hAnsi="宋体" w:eastAsia="仿宋_GB2312"/>
                <w:b/>
                <w:kern w:val="0"/>
                <w:sz w:val="24"/>
                <w:szCs w:val="24"/>
                <w:highlight w:val="none"/>
              </w:rPr>
            </w:pPr>
          </w:p>
        </w:tc>
        <w:tc>
          <w:tcPr>
            <w:tcW w:w="2126" w:type="dxa"/>
            <w:vMerge w:val="continue"/>
            <w:tcBorders>
              <w:left w:val="single" w:color="auto" w:sz="4" w:space="0"/>
              <w:bottom w:val="single" w:color="auto" w:sz="4" w:space="0"/>
              <w:right w:val="single" w:color="auto" w:sz="4" w:space="0"/>
            </w:tcBorders>
            <w:noWrap w:val="0"/>
            <w:vAlign w:val="center"/>
          </w:tcPr>
          <w:p w14:paraId="08910A74">
            <w:pPr>
              <w:jc w:val="center"/>
              <w:textAlignment w:val="bottom"/>
              <w:rPr>
                <w:rFonts w:hint="eastAsia" w:ascii="宋体" w:hAnsi="宋体" w:eastAsia="仿宋_GB2312"/>
                <w:b/>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noWrap w:val="0"/>
            <w:vAlign w:val="center"/>
          </w:tcPr>
          <w:p w14:paraId="38DAF85D">
            <w:pPr>
              <w:textAlignment w:val="bottom"/>
              <w:rPr>
                <w:rFonts w:hint="eastAsia"/>
                <w:highlight w:val="none"/>
                <w:lang w:val="en-US" w:eastAsia="zh-CN"/>
              </w:rPr>
            </w:pPr>
            <w:r>
              <w:rPr>
                <w:rFonts w:hint="eastAsia" w:ascii="宋体" w:hAnsi="宋体" w:eastAsia="仿宋_GB2312"/>
                <w:kern w:val="0"/>
                <w:sz w:val="24"/>
                <w:szCs w:val="24"/>
                <w:highlight w:val="none"/>
                <w:lang w:val="en-US" w:eastAsia="zh-CN"/>
              </w:rPr>
              <w:t>不含税价：</w:t>
            </w:r>
          </w:p>
          <w:p w14:paraId="70B9FB65">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5A35B3A2">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continue"/>
            <w:tcBorders>
              <w:left w:val="single" w:color="auto" w:sz="4" w:space="0"/>
              <w:bottom w:val="single" w:color="auto" w:sz="4" w:space="0"/>
              <w:right w:val="single" w:color="auto" w:sz="4" w:space="0"/>
            </w:tcBorders>
            <w:noWrap w:val="0"/>
            <w:vAlign w:val="center"/>
          </w:tcPr>
          <w:p w14:paraId="0063B307">
            <w:pPr>
              <w:spacing w:line="520" w:lineRule="exact"/>
              <w:ind w:left="1" w:hanging="1"/>
              <w:jc w:val="center"/>
              <w:textAlignment w:val="bottom"/>
              <w:rPr>
                <w:rFonts w:hint="eastAsia" w:ascii="宋体" w:hAnsi="宋体" w:eastAsia="仿宋_GB2312"/>
                <w:b/>
                <w:kern w:val="0"/>
                <w:sz w:val="24"/>
                <w:szCs w:val="24"/>
                <w:highlight w:val="none"/>
              </w:rPr>
            </w:pPr>
          </w:p>
        </w:tc>
      </w:tr>
      <w:tr w14:paraId="61C51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35" w:type="dxa"/>
            <w:vMerge w:val="restart"/>
            <w:tcBorders>
              <w:top w:val="single" w:color="auto" w:sz="4" w:space="0"/>
              <w:left w:val="single" w:color="auto" w:sz="4" w:space="0"/>
              <w:right w:val="single" w:color="auto" w:sz="4" w:space="0"/>
            </w:tcBorders>
            <w:noWrap w:val="0"/>
            <w:vAlign w:val="center"/>
          </w:tcPr>
          <w:p w14:paraId="4B80B189">
            <w:pPr>
              <w:jc w:val="center"/>
              <w:textAlignment w:val="bottom"/>
              <w:rPr>
                <w:rFonts w:hint="eastAsia" w:ascii="宋体" w:hAnsi="宋体" w:eastAsia="仿宋_GB2312"/>
                <w:bCs/>
                <w:kern w:val="0"/>
                <w:sz w:val="24"/>
                <w:szCs w:val="24"/>
                <w:highlight w:val="none"/>
              </w:rPr>
            </w:pPr>
            <w:r>
              <w:rPr>
                <w:rFonts w:hint="eastAsia" w:ascii="宋体" w:hAnsi="宋体" w:eastAsia="仿宋_GB2312"/>
                <w:bCs/>
                <w:kern w:val="0"/>
                <w:sz w:val="24"/>
                <w:szCs w:val="24"/>
                <w:highlight w:val="none"/>
              </w:rPr>
              <w:t>2</w:t>
            </w:r>
          </w:p>
        </w:tc>
        <w:tc>
          <w:tcPr>
            <w:tcW w:w="2126" w:type="dxa"/>
            <w:vMerge w:val="restart"/>
            <w:tcBorders>
              <w:top w:val="single" w:color="auto" w:sz="4" w:space="0"/>
              <w:left w:val="single" w:color="auto" w:sz="4" w:space="0"/>
              <w:right w:val="single" w:color="auto" w:sz="4" w:space="0"/>
            </w:tcBorders>
            <w:noWrap w:val="0"/>
            <w:vAlign w:val="center"/>
          </w:tcPr>
          <w:p w14:paraId="2F9E22C3">
            <w:pPr>
              <w:jc w:val="center"/>
              <w:textAlignment w:val="bottom"/>
              <w:rPr>
                <w:rFonts w:hint="eastAsia" w:ascii="宋体" w:hAnsi="宋体" w:eastAsia="仿宋_GB2312"/>
                <w:bCs/>
                <w:kern w:val="0"/>
                <w:sz w:val="24"/>
                <w:szCs w:val="24"/>
                <w:highlight w:val="none"/>
              </w:rPr>
            </w:pPr>
            <w:r>
              <w:rPr>
                <w:rFonts w:ascii="宋体" w:hAnsi="宋体" w:eastAsia="仿宋_GB2312"/>
                <w:bCs/>
                <w:kern w:val="0"/>
                <w:sz w:val="24"/>
                <w:szCs w:val="24"/>
                <w:highlight w:val="none"/>
              </w:rPr>
              <w:t>报价</w:t>
            </w:r>
            <w:r>
              <w:rPr>
                <w:rFonts w:hint="eastAsia" w:ascii="宋体" w:hAnsi="宋体" w:eastAsia="仿宋_GB2312"/>
                <w:bCs/>
                <w:kern w:val="0"/>
                <w:sz w:val="24"/>
                <w:szCs w:val="24"/>
                <w:highlight w:val="none"/>
              </w:rPr>
              <w:t>（终次）</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5A5A6FA5">
            <w:pPr>
              <w:ind w:firstLine="26" w:firstLineChars="11"/>
              <w:textAlignment w:val="bottom"/>
              <w:rPr>
                <w:rFonts w:hint="eastAsia" w:ascii="宋体" w:hAnsi="宋体" w:eastAsia="仿宋_GB2312"/>
                <w:kern w:val="0"/>
                <w:sz w:val="24"/>
                <w:szCs w:val="24"/>
                <w:highlight w:val="none"/>
                <w:lang w:val="en-US" w:eastAsia="zh-CN"/>
              </w:rPr>
            </w:pPr>
            <w:r>
              <w:rPr>
                <w:rFonts w:hint="eastAsia" w:ascii="宋体" w:hAnsi="宋体" w:eastAsia="仿宋_GB2312"/>
                <w:kern w:val="0"/>
                <w:sz w:val="24"/>
                <w:szCs w:val="24"/>
                <w:highlight w:val="none"/>
                <w:lang w:val="en-US" w:eastAsia="zh-CN"/>
              </w:rPr>
              <w:t>含税价：</w:t>
            </w:r>
          </w:p>
          <w:p w14:paraId="6403A249">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4F7A99E5">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restart"/>
            <w:tcBorders>
              <w:top w:val="single" w:color="auto" w:sz="4" w:space="0"/>
              <w:left w:val="single" w:color="auto" w:sz="4" w:space="0"/>
              <w:right w:val="single" w:color="auto" w:sz="4" w:space="0"/>
            </w:tcBorders>
            <w:noWrap w:val="0"/>
            <w:vAlign w:val="center"/>
          </w:tcPr>
          <w:p w14:paraId="6B28D8B8">
            <w:pPr>
              <w:spacing w:line="520" w:lineRule="exact"/>
              <w:ind w:left="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 xml:space="preserve">        </w:t>
            </w:r>
          </w:p>
        </w:tc>
      </w:tr>
      <w:tr w14:paraId="0A336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35" w:type="dxa"/>
            <w:vMerge w:val="continue"/>
            <w:tcBorders>
              <w:left w:val="single" w:color="auto" w:sz="4" w:space="0"/>
              <w:bottom w:val="single" w:color="auto" w:sz="4" w:space="0"/>
              <w:right w:val="single" w:color="auto" w:sz="4" w:space="0"/>
            </w:tcBorders>
            <w:noWrap w:val="0"/>
            <w:vAlign w:val="center"/>
          </w:tcPr>
          <w:p w14:paraId="61FEA7C3">
            <w:pPr>
              <w:jc w:val="center"/>
              <w:textAlignment w:val="bottom"/>
              <w:rPr>
                <w:rFonts w:hint="eastAsia" w:ascii="宋体" w:hAnsi="宋体" w:eastAsia="仿宋_GB2312"/>
                <w:bCs/>
                <w:kern w:val="0"/>
                <w:sz w:val="24"/>
                <w:szCs w:val="24"/>
                <w:highlight w:val="none"/>
              </w:rPr>
            </w:pPr>
          </w:p>
        </w:tc>
        <w:tc>
          <w:tcPr>
            <w:tcW w:w="2126" w:type="dxa"/>
            <w:vMerge w:val="continue"/>
            <w:tcBorders>
              <w:left w:val="single" w:color="auto" w:sz="4" w:space="0"/>
              <w:bottom w:val="single" w:color="auto" w:sz="4" w:space="0"/>
              <w:right w:val="single" w:color="auto" w:sz="4" w:space="0"/>
            </w:tcBorders>
            <w:noWrap w:val="0"/>
            <w:vAlign w:val="center"/>
          </w:tcPr>
          <w:p w14:paraId="79C77A24">
            <w:pPr>
              <w:jc w:val="center"/>
              <w:textAlignment w:val="bottom"/>
              <w:rPr>
                <w:rFonts w:ascii="宋体" w:hAnsi="宋体" w:eastAsia="仿宋_GB2312"/>
                <w:bCs/>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noWrap w:val="0"/>
            <w:vAlign w:val="center"/>
          </w:tcPr>
          <w:p w14:paraId="1D850E31">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lang w:val="en-US" w:eastAsia="zh-CN"/>
              </w:rPr>
              <w:t>税率：   %</w:t>
            </w:r>
          </w:p>
        </w:tc>
        <w:tc>
          <w:tcPr>
            <w:tcW w:w="2127" w:type="dxa"/>
            <w:vMerge w:val="continue"/>
            <w:tcBorders>
              <w:left w:val="single" w:color="auto" w:sz="4" w:space="0"/>
              <w:bottom w:val="single" w:color="auto" w:sz="4" w:space="0"/>
              <w:right w:val="single" w:color="auto" w:sz="4" w:space="0"/>
            </w:tcBorders>
            <w:noWrap w:val="0"/>
            <w:vAlign w:val="center"/>
          </w:tcPr>
          <w:p w14:paraId="3A7C109B">
            <w:pPr>
              <w:spacing w:line="520" w:lineRule="exact"/>
              <w:ind w:left="1"/>
              <w:textAlignment w:val="bottom"/>
              <w:rPr>
                <w:rFonts w:hint="eastAsia" w:ascii="宋体" w:hAnsi="宋体" w:eastAsia="仿宋_GB2312"/>
                <w:kern w:val="0"/>
                <w:sz w:val="24"/>
                <w:szCs w:val="24"/>
                <w:highlight w:val="none"/>
              </w:rPr>
            </w:pPr>
          </w:p>
        </w:tc>
      </w:tr>
      <w:tr w14:paraId="44F72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35" w:type="dxa"/>
            <w:vMerge w:val="continue"/>
            <w:tcBorders>
              <w:left w:val="single" w:color="auto" w:sz="4" w:space="0"/>
              <w:bottom w:val="single" w:color="auto" w:sz="4" w:space="0"/>
              <w:right w:val="single" w:color="auto" w:sz="4" w:space="0"/>
            </w:tcBorders>
            <w:noWrap w:val="0"/>
            <w:vAlign w:val="center"/>
          </w:tcPr>
          <w:p w14:paraId="6B3A183B">
            <w:pPr>
              <w:jc w:val="center"/>
              <w:textAlignment w:val="bottom"/>
              <w:rPr>
                <w:rFonts w:hint="eastAsia" w:ascii="宋体" w:hAnsi="宋体" w:eastAsia="仿宋_GB2312"/>
                <w:bCs/>
                <w:kern w:val="0"/>
                <w:sz w:val="24"/>
                <w:szCs w:val="24"/>
                <w:highlight w:val="none"/>
              </w:rPr>
            </w:pPr>
          </w:p>
        </w:tc>
        <w:tc>
          <w:tcPr>
            <w:tcW w:w="2126" w:type="dxa"/>
            <w:vMerge w:val="continue"/>
            <w:tcBorders>
              <w:left w:val="single" w:color="auto" w:sz="4" w:space="0"/>
              <w:bottom w:val="single" w:color="auto" w:sz="4" w:space="0"/>
              <w:right w:val="single" w:color="auto" w:sz="4" w:space="0"/>
            </w:tcBorders>
            <w:noWrap w:val="0"/>
            <w:vAlign w:val="center"/>
          </w:tcPr>
          <w:p w14:paraId="1AB1A68C">
            <w:pPr>
              <w:jc w:val="center"/>
              <w:textAlignment w:val="bottom"/>
              <w:rPr>
                <w:rFonts w:ascii="宋体" w:hAnsi="宋体" w:eastAsia="仿宋_GB2312"/>
                <w:bCs/>
                <w:kern w:val="0"/>
                <w:sz w:val="24"/>
                <w:szCs w:val="24"/>
                <w:highlight w:val="none"/>
              </w:rPr>
            </w:pPr>
          </w:p>
        </w:tc>
        <w:tc>
          <w:tcPr>
            <w:tcW w:w="4536" w:type="dxa"/>
            <w:tcBorders>
              <w:top w:val="single" w:color="auto" w:sz="4" w:space="0"/>
              <w:left w:val="single" w:color="auto" w:sz="4" w:space="0"/>
              <w:bottom w:val="single" w:color="auto" w:sz="4" w:space="0"/>
              <w:right w:val="single" w:color="auto" w:sz="4" w:space="0"/>
            </w:tcBorders>
            <w:noWrap w:val="0"/>
            <w:vAlign w:val="center"/>
          </w:tcPr>
          <w:p w14:paraId="796A8C41">
            <w:pPr>
              <w:textAlignment w:val="bottom"/>
              <w:rPr>
                <w:rFonts w:hint="eastAsia"/>
                <w:highlight w:val="none"/>
                <w:lang w:val="en-US" w:eastAsia="zh-CN"/>
              </w:rPr>
            </w:pPr>
            <w:r>
              <w:rPr>
                <w:rFonts w:hint="eastAsia" w:ascii="宋体" w:hAnsi="宋体" w:eastAsia="仿宋_GB2312"/>
                <w:kern w:val="0"/>
                <w:sz w:val="24"/>
                <w:szCs w:val="24"/>
                <w:highlight w:val="none"/>
                <w:lang w:val="en-US" w:eastAsia="zh-CN"/>
              </w:rPr>
              <w:t>不含税价：</w:t>
            </w:r>
          </w:p>
          <w:p w14:paraId="6D821442">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大写（人民币）：</w:t>
            </w:r>
          </w:p>
          <w:p w14:paraId="363957EB">
            <w:pPr>
              <w:ind w:firstLine="26" w:firstLineChars="11"/>
              <w:textAlignment w:val="bottom"/>
              <w:rPr>
                <w:rFonts w:hint="eastAsia" w:ascii="宋体" w:hAnsi="宋体" w:eastAsia="仿宋_GB2312"/>
                <w:kern w:val="0"/>
                <w:sz w:val="24"/>
                <w:szCs w:val="24"/>
                <w:highlight w:val="none"/>
              </w:rPr>
            </w:pPr>
            <w:r>
              <w:rPr>
                <w:rFonts w:hint="eastAsia" w:ascii="宋体" w:hAnsi="宋体" w:eastAsia="仿宋_GB2312"/>
                <w:kern w:val="0"/>
                <w:sz w:val="24"/>
                <w:szCs w:val="24"/>
                <w:highlight w:val="none"/>
              </w:rPr>
              <w:t>小写（</w:t>
            </w:r>
            <w:r>
              <w:rPr>
                <w:rFonts w:hint="eastAsia" w:ascii="Arial Unicode MS" w:hAnsi="Arial Unicode MS" w:eastAsia="Arial Unicode MS" w:cs="Arial Unicode MS"/>
                <w:kern w:val="0"/>
                <w:sz w:val="24"/>
                <w:szCs w:val="24"/>
                <w:highlight w:val="none"/>
              </w:rPr>
              <w:t>￥</w:t>
            </w:r>
            <w:r>
              <w:rPr>
                <w:rFonts w:hint="eastAsia" w:ascii="宋体" w:hAnsi="宋体" w:eastAsia="仿宋_GB2312"/>
                <w:kern w:val="0"/>
                <w:sz w:val="24"/>
                <w:szCs w:val="24"/>
                <w:highlight w:val="none"/>
              </w:rPr>
              <w:t>）：</w:t>
            </w:r>
          </w:p>
        </w:tc>
        <w:tc>
          <w:tcPr>
            <w:tcW w:w="2127" w:type="dxa"/>
            <w:vMerge w:val="continue"/>
            <w:tcBorders>
              <w:left w:val="single" w:color="auto" w:sz="4" w:space="0"/>
              <w:bottom w:val="single" w:color="auto" w:sz="4" w:space="0"/>
              <w:right w:val="single" w:color="auto" w:sz="4" w:space="0"/>
            </w:tcBorders>
            <w:noWrap w:val="0"/>
            <w:vAlign w:val="center"/>
          </w:tcPr>
          <w:p w14:paraId="2B2C9E64">
            <w:pPr>
              <w:spacing w:line="520" w:lineRule="exact"/>
              <w:ind w:left="1"/>
              <w:textAlignment w:val="bottom"/>
              <w:rPr>
                <w:rFonts w:hint="eastAsia" w:ascii="宋体" w:hAnsi="宋体" w:eastAsia="仿宋_GB2312"/>
                <w:kern w:val="0"/>
                <w:sz w:val="24"/>
                <w:szCs w:val="24"/>
                <w:highlight w:val="none"/>
              </w:rPr>
            </w:pPr>
          </w:p>
        </w:tc>
      </w:tr>
    </w:tbl>
    <w:p w14:paraId="0EBF8947">
      <w:pPr>
        <w:kinsoku w:val="0"/>
        <w:topLinePunct/>
        <w:snapToGrid w:val="0"/>
        <w:spacing w:line="52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 xml:space="preserve">供应商：（盖章）             </w:t>
      </w:r>
    </w:p>
    <w:p w14:paraId="12C0A8B9">
      <w:pPr>
        <w:kinsoku w:val="0"/>
        <w:topLinePunct/>
        <w:snapToGrid w:val="0"/>
        <w:spacing w:line="52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法定代表人或被授权人（签字）：</w:t>
      </w:r>
    </w:p>
    <w:p w14:paraId="6D75E172">
      <w:pPr>
        <w:kinsoku w:val="0"/>
        <w:topLinePunct/>
        <w:snapToGrid w:val="0"/>
        <w:spacing w:line="520" w:lineRule="exact"/>
        <w:rPr>
          <w:rFonts w:hint="eastAsia" w:ascii="仿宋_GB2312" w:hAnsi="宋体" w:eastAsia="仿宋_GB2312"/>
          <w:sz w:val="28"/>
          <w:szCs w:val="28"/>
          <w:highlight w:val="none"/>
        </w:rPr>
      </w:pPr>
      <w:r>
        <w:rPr>
          <w:rFonts w:hint="eastAsia" w:ascii="仿宋_GB2312" w:hAnsi="宋体" w:eastAsia="仿宋_GB2312"/>
          <w:sz w:val="28"/>
          <w:szCs w:val="28"/>
          <w:highlight w:val="none"/>
        </w:rPr>
        <w:t>日期：</w:t>
      </w:r>
    </w:p>
    <w:p w14:paraId="1F74A754">
      <w:pPr>
        <w:snapToGrid w:val="0"/>
        <w:spacing w:line="480" w:lineRule="exact"/>
        <w:ind w:firstLine="579" w:firstLineChars="206"/>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注：</w:t>
      </w:r>
    </w:p>
    <w:p w14:paraId="1759F03A">
      <w:pPr>
        <w:snapToGrid w:val="0"/>
        <w:spacing w:line="480" w:lineRule="exact"/>
        <w:ind w:firstLine="560" w:firstLineChars="200"/>
        <w:rPr>
          <w:rFonts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本表</w:t>
      </w:r>
      <w:r>
        <w:rPr>
          <w:rFonts w:hint="eastAsia" w:eastAsia="仿宋_GB2312"/>
          <w:sz w:val="28"/>
          <w:szCs w:val="28"/>
          <w:highlight w:val="none"/>
        </w:rPr>
        <w:t>为格式表</w:t>
      </w:r>
      <w:r>
        <w:rPr>
          <w:rFonts w:eastAsia="仿宋_GB2312"/>
          <w:sz w:val="28"/>
          <w:szCs w:val="28"/>
          <w:highlight w:val="none"/>
        </w:rPr>
        <w:t>，</w:t>
      </w:r>
      <w:r>
        <w:rPr>
          <w:rFonts w:hint="eastAsia" w:eastAsia="仿宋_GB2312"/>
          <w:sz w:val="28"/>
          <w:szCs w:val="28"/>
          <w:highlight w:val="none"/>
        </w:rPr>
        <w:t>不得自行改动，必须提供</w:t>
      </w:r>
      <w:r>
        <w:rPr>
          <w:rFonts w:eastAsia="仿宋_GB2312"/>
          <w:sz w:val="28"/>
          <w:szCs w:val="28"/>
          <w:highlight w:val="none"/>
        </w:rPr>
        <w:t>。</w:t>
      </w:r>
    </w:p>
    <w:p w14:paraId="484D16AF">
      <w:pPr>
        <w:snapToGrid w:val="0"/>
        <w:spacing w:line="480" w:lineRule="exact"/>
        <w:ind w:firstLine="560" w:firstLineChars="200"/>
        <w:rPr>
          <w:rFonts w:hint="eastAsia" w:ascii="仿宋_GB2312" w:hAnsi="宋体" w:eastAsia="仿宋_GB2312"/>
          <w:sz w:val="28"/>
          <w:szCs w:val="28"/>
          <w:highlight w:val="none"/>
        </w:rPr>
      </w:pPr>
      <w:r>
        <w:rPr>
          <w:rFonts w:hint="eastAsia" w:eastAsia="仿宋_GB2312"/>
          <w:sz w:val="28"/>
          <w:szCs w:val="28"/>
          <w:highlight w:val="none"/>
        </w:rPr>
        <w:t>（2）表格中的“最后报价响应总价”，将在竞争性磋商评审活动现场填写，响应文件密封提交时只需填写“报价响应总价（首次）”。</w:t>
      </w:r>
    </w:p>
    <w:p w14:paraId="3CD87E1C">
      <w:pPr>
        <w:spacing w:line="360" w:lineRule="auto"/>
        <w:ind w:firstLine="560" w:firstLineChars="200"/>
        <w:rPr>
          <w:rFonts w:eastAsia="仿宋_GB2312"/>
          <w:sz w:val="28"/>
          <w:szCs w:val="28"/>
          <w:highlight w:val="none"/>
        </w:rPr>
      </w:pPr>
      <w:r>
        <w:rPr>
          <w:rFonts w:hint="eastAsia" w:eastAsia="仿宋_GB2312"/>
          <w:sz w:val="28"/>
          <w:szCs w:val="28"/>
          <w:highlight w:val="none"/>
        </w:rPr>
        <w:t>（3）响应报价按本竞争性磋商文件第二章第六条规定的内容执行。</w:t>
      </w:r>
    </w:p>
    <w:p w14:paraId="4D0DC33E">
      <w:pPr>
        <w:spacing w:after="120" w:line="360" w:lineRule="auto"/>
        <w:ind w:firstLine="560" w:firstLineChars="200"/>
        <w:rPr>
          <w:rFonts w:hint="eastAsia" w:eastAsia="仿宋_GB2312"/>
          <w:sz w:val="28"/>
          <w:szCs w:val="28"/>
          <w:highlight w:val="none"/>
        </w:rPr>
      </w:pPr>
      <w:r>
        <w:rPr>
          <w:rFonts w:hint="eastAsia" w:eastAsia="仿宋_GB2312"/>
          <w:sz w:val="28"/>
          <w:szCs w:val="28"/>
          <w:highlight w:val="none"/>
        </w:rPr>
        <w:t>（4）本项目最后报价仅接受等于或低于供应商的首次报价，否则作无效响应处理。</w:t>
      </w:r>
    </w:p>
    <w:p w14:paraId="460E7A26">
      <w:pPr>
        <w:spacing w:after="120" w:line="360" w:lineRule="auto"/>
        <w:ind w:firstLine="560" w:firstLineChars="200"/>
        <w:rPr>
          <w:rFonts w:eastAsia="仿宋_GB2312"/>
          <w:sz w:val="28"/>
          <w:szCs w:val="28"/>
          <w:highlight w:val="none"/>
        </w:rPr>
      </w:pPr>
      <w:r>
        <w:rPr>
          <w:rFonts w:hint="eastAsia" w:eastAsia="仿宋_GB2312"/>
          <w:sz w:val="28"/>
          <w:szCs w:val="28"/>
          <w:highlight w:val="none"/>
        </w:rPr>
        <w:t>（5）一旦成交，最后报价响应总价即为本竞争性磋商项目的成交价，竞争性磋商响应报价明细表按同比例下浮。</w:t>
      </w:r>
    </w:p>
    <w:p w14:paraId="3FDE16D2">
      <w:pPr>
        <w:rPr>
          <w:rFonts w:hint="eastAsia"/>
          <w:highlight w:val="none"/>
        </w:rPr>
      </w:pPr>
    </w:p>
    <w:p w14:paraId="697131F9">
      <w:pPr>
        <w:numPr>
          <w:ilvl w:val="0"/>
          <w:numId w:val="0"/>
        </w:numPr>
        <w:jc w:val="center"/>
        <w:rPr>
          <w:rFonts w:hint="eastAsia" w:ascii="宋体" w:hAnsi="宋体"/>
          <w:b/>
          <w:sz w:val="32"/>
          <w:szCs w:val="32"/>
          <w:highlight w:val="none"/>
          <w:lang w:val="en-US" w:eastAsia="zh-CN"/>
        </w:rPr>
      </w:pPr>
      <w:r>
        <w:rPr>
          <w:rFonts w:ascii="方正仿宋_GBK" w:hAnsi="Times New Roman" w:eastAsia="方正仿宋_GBK"/>
          <w:sz w:val="28"/>
          <w:szCs w:val="28"/>
          <w:highlight w:val="none"/>
        </w:rPr>
        <w:br w:type="page"/>
      </w:r>
      <w:r>
        <w:rPr>
          <w:rFonts w:hint="eastAsia" w:ascii="方正仿宋_GBK" w:eastAsia="方正仿宋_GBK"/>
          <w:sz w:val="28"/>
          <w:szCs w:val="28"/>
          <w:highlight w:val="none"/>
          <w:lang w:val="en-US" w:eastAsia="zh-CN"/>
        </w:rPr>
        <w:t>9、</w:t>
      </w:r>
      <w:r>
        <w:rPr>
          <w:rFonts w:hint="eastAsia" w:ascii="宋体" w:hAnsi="宋体"/>
          <w:b/>
          <w:sz w:val="32"/>
          <w:szCs w:val="32"/>
          <w:highlight w:val="none"/>
          <w:lang w:val="en-US" w:eastAsia="zh-CN"/>
        </w:rPr>
        <w:t>分项报价明细表</w:t>
      </w:r>
    </w:p>
    <w:tbl>
      <w:tblPr>
        <w:tblStyle w:val="52"/>
        <w:tblpPr w:leftFromText="180" w:rightFromText="180" w:vertAnchor="text" w:horzAnchor="page" w:tblpX="1072" w:tblpY="250"/>
        <w:tblOverlap w:val="never"/>
        <w:tblW w:w="104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1260"/>
        <w:gridCol w:w="3525"/>
        <w:gridCol w:w="1005"/>
        <w:gridCol w:w="900"/>
        <w:gridCol w:w="1017"/>
        <w:gridCol w:w="1212"/>
        <w:gridCol w:w="768"/>
      </w:tblGrid>
      <w:tr w14:paraId="09C3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9607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62832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w:t>
            </w:r>
          </w:p>
        </w:tc>
        <w:tc>
          <w:tcPr>
            <w:tcW w:w="3525"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578D1B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w:t>
            </w:r>
          </w:p>
        </w:tc>
        <w:tc>
          <w:tcPr>
            <w:tcW w:w="1005"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5F6485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5B31D0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3B5B184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单价</w:t>
            </w:r>
            <w:r>
              <w:rPr>
                <w:rFonts w:hint="eastAsia" w:ascii="宋体" w:hAnsi="宋体" w:cs="宋体"/>
                <w:i w:val="0"/>
                <w:iCs w:val="0"/>
                <w:color w:val="000000"/>
                <w:kern w:val="0"/>
                <w:sz w:val="24"/>
                <w:szCs w:val="24"/>
                <w:highlight w:val="none"/>
                <w:u w:val="none"/>
                <w:lang w:val="en-US" w:eastAsia="zh-CN" w:bidi="ar"/>
              </w:rPr>
              <w:t>（含税）</w:t>
            </w:r>
          </w:p>
        </w:tc>
        <w:tc>
          <w:tcPr>
            <w:tcW w:w="1212"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0082478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总价</w:t>
            </w:r>
            <w:r>
              <w:rPr>
                <w:rFonts w:hint="eastAsia" w:ascii="宋体" w:hAnsi="宋体" w:cs="宋体"/>
                <w:i w:val="0"/>
                <w:iCs w:val="0"/>
                <w:color w:val="000000"/>
                <w:kern w:val="0"/>
                <w:sz w:val="24"/>
                <w:szCs w:val="24"/>
                <w:highlight w:val="none"/>
                <w:u w:val="none"/>
                <w:lang w:val="en-US" w:eastAsia="zh-CN" w:bidi="ar"/>
              </w:rPr>
              <w:t>（含税）</w:t>
            </w:r>
          </w:p>
        </w:tc>
        <w:tc>
          <w:tcPr>
            <w:tcW w:w="768" w:type="dxa"/>
            <w:tcBorders>
              <w:top w:val="single" w:color="000000" w:sz="4" w:space="0"/>
              <w:left w:val="single" w:color="000000" w:sz="4" w:space="0"/>
              <w:bottom w:val="single" w:color="000000" w:sz="4" w:space="0"/>
              <w:right w:val="single" w:color="000000" w:sz="4" w:space="0"/>
            </w:tcBorders>
            <w:shd w:val="clear" w:color="auto" w:fill="FCF305"/>
            <w:noWrap/>
            <w:vAlign w:val="center"/>
          </w:tcPr>
          <w:p w14:paraId="2F83CE0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选用品牌</w:t>
            </w:r>
          </w:p>
        </w:tc>
      </w:tr>
      <w:tr w14:paraId="1064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37AE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60" w:type="dxa"/>
            <w:tcBorders>
              <w:top w:val="single" w:color="000000" w:sz="4" w:space="0"/>
              <w:left w:val="single" w:color="000000" w:sz="4" w:space="0"/>
              <w:bottom w:val="nil"/>
              <w:right w:val="single" w:color="000000" w:sz="4" w:space="0"/>
            </w:tcBorders>
            <w:noWrap w:val="0"/>
            <w:vAlign w:val="center"/>
          </w:tcPr>
          <w:p w14:paraId="685A25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冲孔</w:t>
            </w:r>
            <w:r>
              <w:rPr>
                <w:rFonts w:hint="eastAsia" w:ascii="宋体" w:hAnsi="宋体" w:cs="宋体"/>
                <w:i w:val="0"/>
                <w:iCs w:val="0"/>
                <w:color w:val="000000"/>
                <w:kern w:val="0"/>
                <w:sz w:val="24"/>
                <w:szCs w:val="24"/>
                <w:highlight w:val="none"/>
                <w:u w:val="none"/>
                <w:lang w:val="en-US" w:eastAsia="zh-CN" w:bidi="ar"/>
              </w:rPr>
              <w:t>发光</w:t>
            </w:r>
            <w:r>
              <w:rPr>
                <w:rFonts w:hint="eastAsia" w:ascii="宋体" w:hAnsi="宋体"/>
                <w:sz w:val="24"/>
                <w:szCs w:val="24"/>
                <w:highlight w:val="none"/>
                <w:u w:val="none"/>
                <w:lang w:val="en-US" w:eastAsia="zh-CN"/>
              </w:rPr>
              <w:t>Logo</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A5CF7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尺寸同原规格6.0*6.0m，厚度1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cm；材质型号为3mm铝板冲孔、围边，光源为9mm灯珠led芯片灯、灯间距3cm，烤漆工艺，背景蓝绿渐变，全彩外露发光面板2套</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09C5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72</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2E10D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平米</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852FD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4614FA7">
            <w:pPr>
              <w:pStyle w:val="51"/>
              <w:rPr>
                <w:rFonts w:hint="default" w:ascii="Times New Roman" w:hAnsi="Times New Roman" w:eastAsia="宋体" w:cs="Times New Roman"/>
                <w:highlight w:val="none"/>
                <w:lang w:val="en-US" w:eastAsia="zh-CN"/>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CA6423F">
            <w:pPr>
              <w:pStyle w:val="51"/>
              <w:rPr>
                <w:rFonts w:hint="default" w:ascii="Times New Roman" w:hAnsi="Times New Roman" w:eastAsia="宋体" w:cs="Times New Roman"/>
                <w:highlight w:val="none"/>
                <w:lang w:val="en-US" w:eastAsia="zh-CN"/>
              </w:rPr>
            </w:pPr>
          </w:p>
        </w:tc>
      </w:tr>
      <w:tr w14:paraId="677D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EFA00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60" w:type="dxa"/>
            <w:tcBorders>
              <w:top w:val="single" w:color="000000" w:sz="4" w:space="0"/>
              <w:left w:val="single" w:color="000000" w:sz="4" w:space="0"/>
              <w:bottom w:val="nil"/>
              <w:right w:val="single" w:color="000000" w:sz="4" w:space="0"/>
            </w:tcBorders>
            <w:noWrap/>
            <w:vAlign w:val="center"/>
          </w:tcPr>
          <w:p w14:paraId="1F61A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辅助钢架</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97152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字背架40*40*</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MM热镀锌方管与墙体连接固定，金属字壳与背架焊接及螺丝固定</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CED0D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72</w:t>
            </w:r>
            <w:r>
              <w:rPr>
                <w:rFonts w:hint="eastAsia" w:ascii="宋体" w:hAnsi="宋体" w:eastAsia="宋体" w:cs="宋体"/>
                <w:i w:val="0"/>
                <w:iCs w:val="0"/>
                <w:color w:val="000000"/>
                <w:kern w:val="0"/>
                <w:sz w:val="24"/>
                <w:szCs w:val="24"/>
                <w:highlight w:val="none"/>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7761B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平米</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C4745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F120B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4379B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8F5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6456E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60" w:type="dxa"/>
            <w:tcBorders>
              <w:top w:val="single" w:color="000000" w:sz="4" w:space="0"/>
              <w:left w:val="single" w:color="000000" w:sz="4" w:space="0"/>
              <w:bottom w:val="nil"/>
              <w:right w:val="single" w:color="000000" w:sz="4" w:space="0"/>
            </w:tcBorders>
            <w:noWrap/>
            <w:vAlign w:val="center"/>
          </w:tcPr>
          <w:p w14:paraId="61F910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人工费</w:t>
            </w:r>
          </w:p>
        </w:tc>
        <w:tc>
          <w:tcPr>
            <w:tcW w:w="3525" w:type="dxa"/>
            <w:tcBorders>
              <w:top w:val="single" w:color="000000" w:sz="4" w:space="0"/>
              <w:left w:val="single" w:color="000000" w:sz="4" w:space="0"/>
              <w:bottom w:val="nil"/>
              <w:right w:val="single" w:color="000000" w:sz="4" w:space="0"/>
            </w:tcBorders>
            <w:noWrap w:val="0"/>
            <w:vAlign w:val="center"/>
          </w:tcPr>
          <w:p w14:paraId="2692123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拆除、制作安装费（含保险）</w:t>
            </w:r>
            <w:r>
              <w:rPr>
                <w:rFonts w:hint="eastAsia" w:ascii="宋体" w:hAnsi="宋体" w:cs="宋体"/>
                <w:i w:val="0"/>
                <w:iCs w:val="0"/>
                <w:color w:val="000000"/>
                <w:kern w:val="0"/>
                <w:sz w:val="24"/>
                <w:szCs w:val="24"/>
                <w:highlight w:val="none"/>
                <w:u w:val="none"/>
                <w:lang w:val="en-US" w:eastAsia="zh-CN" w:bidi="ar"/>
              </w:rPr>
              <w:t>人员</w:t>
            </w:r>
            <w:r>
              <w:rPr>
                <w:rFonts w:hint="eastAsia" w:ascii="宋体" w:hAnsi="宋体" w:eastAsia="宋体" w:cs="宋体"/>
                <w:i w:val="0"/>
                <w:iCs w:val="0"/>
                <w:color w:val="000000"/>
                <w:kern w:val="0"/>
                <w:sz w:val="24"/>
                <w:szCs w:val="24"/>
                <w:highlight w:val="none"/>
                <w:u w:val="none"/>
                <w:lang w:val="en-US" w:eastAsia="zh-CN" w:bidi="ar"/>
              </w:rPr>
              <w:t>下吊</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D00FE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15DD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0A898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7B9FB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5F8F6D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94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173C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9FDB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配电箱</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6CF8B2F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整体开关、时控系统、接触器</w:t>
            </w:r>
            <w:r>
              <w:rPr>
                <w:rFonts w:hint="eastAsia" w:ascii="宋体" w:hAnsi="宋体" w:cs="宋体"/>
                <w:i w:val="0"/>
                <w:iCs w:val="0"/>
                <w:color w:val="000000"/>
                <w:kern w:val="0"/>
                <w:sz w:val="24"/>
                <w:szCs w:val="24"/>
                <w:highlight w:val="none"/>
                <w:u w:val="none"/>
                <w:lang w:val="en-US" w:eastAsia="zh-CN" w:bidi="ar"/>
              </w:rPr>
              <w:t>、变压器</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C014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226DB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0A74F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05BB0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FFE26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80B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C3320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9E1F5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电缆线</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BEC48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强</w:t>
            </w:r>
            <w:r>
              <w:rPr>
                <w:rFonts w:hint="eastAsia" w:ascii="宋体" w:hAnsi="宋体" w:eastAsia="宋体" w:cs="宋体"/>
                <w:i w:val="0"/>
                <w:iCs w:val="0"/>
                <w:color w:val="000000"/>
                <w:kern w:val="0"/>
                <w:sz w:val="24"/>
                <w:szCs w:val="24"/>
                <w:highlight w:val="none"/>
                <w:u w:val="none"/>
                <w:lang w:val="en-US" w:eastAsia="zh-CN" w:bidi="ar"/>
              </w:rPr>
              <w:t>电线</w:t>
            </w:r>
            <w:r>
              <w:rPr>
                <w:rFonts w:hint="eastAsia" w:ascii="宋体" w:hAnsi="宋体" w:cs="宋体"/>
                <w:i w:val="0"/>
                <w:iCs w:val="0"/>
                <w:color w:val="000000"/>
                <w:kern w:val="0"/>
                <w:sz w:val="24"/>
                <w:szCs w:val="24"/>
                <w:highlight w:val="none"/>
                <w:u w:val="none"/>
                <w:lang w:val="en-US" w:eastAsia="zh-CN" w:bidi="ar"/>
              </w:rPr>
              <w:t>、弱电线、信号线</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425C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0242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2A2ABA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AAF3AD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C466A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586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68871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73AA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辅助材料</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1CE21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主钢架除锈</w:t>
            </w:r>
            <w:r>
              <w:rPr>
                <w:rFonts w:hint="eastAsia" w:ascii="宋体" w:hAnsi="宋体" w:eastAsia="宋体" w:cs="宋体"/>
                <w:i w:val="0"/>
                <w:iCs w:val="0"/>
                <w:color w:val="000000"/>
                <w:kern w:val="0"/>
                <w:sz w:val="24"/>
                <w:szCs w:val="24"/>
                <w:highlight w:val="none"/>
                <w:u w:val="none"/>
                <w:lang w:val="en-US" w:eastAsia="zh-CN" w:bidi="ar"/>
              </w:rPr>
              <w:t>油漆</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电焊条，切割片，打磨片、油漆等</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2F49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3135C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69D9C4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7421B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B9DA3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E4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183B7B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10E52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机械运输</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100D43F">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机械费、运输费</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1352F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8D9E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3B7ECA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9E28FB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58C7C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72D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1E808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B9E38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总计</w:t>
            </w:r>
            <w:r>
              <w:rPr>
                <w:rFonts w:hint="eastAsia" w:ascii="宋体" w:hAnsi="宋体" w:cs="宋体"/>
                <w:i w:val="0"/>
                <w:iCs w:val="0"/>
                <w:color w:val="000000"/>
                <w:kern w:val="0"/>
                <w:sz w:val="24"/>
                <w:szCs w:val="24"/>
                <w:highlight w:val="none"/>
                <w:u w:val="none"/>
                <w:lang w:val="en-US" w:eastAsia="zh-CN" w:bidi="ar"/>
              </w:rPr>
              <w:t>（含税）</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737FE1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4E1D6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D916A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14:paraId="5016CB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9E794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63ABE6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74059C08">
      <w:pPr>
        <w:pStyle w:val="16"/>
        <w:rPr>
          <w:rFonts w:hint="eastAsia"/>
          <w:highlight w:val="none"/>
          <w:lang w:val="en-US" w:eastAsia="zh-CN"/>
        </w:rPr>
      </w:pPr>
    </w:p>
    <w:p w14:paraId="51818A35">
      <w:pPr>
        <w:kinsoku w:val="0"/>
        <w:topLinePunct/>
        <w:snapToGrid w:val="0"/>
        <w:spacing w:line="520" w:lineRule="exact"/>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 xml:space="preserve">供应商：（盖章）             </w:t>
      </w:r>
    </w:p>
    <w:p w14:paraId="38F264EF">
      <w:pPr>
        <w:kinsoku w:val="0"/>
        <w:topLinePunct/>
        <w:snapToGrid w:val="0"/>
        <w:spacing w:line="520" w:lineRule="exact"/>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法定代表人或被授权人（签字）：</w:t>
      </w:r>
    </w:p>
    <w:p w14:paraId="4E5BD5CB">
      <w:pPr>
        <w:kinsoku w:val="0"/>
        <w:topLinePunct/>
        <w:snapToGrid w:val="0"/>
        <w:spacing w:line="520" w:lineRule="exact"/>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日期：</w:t>
      </w:r>
    </w:p>
    <w:p w14:paraId="619C897B">
      <w:pPr>
        <w:rPr>
          <w:rFonts w:hint="eastAsia" w:ascii="宋体" w:hAnsi="宋体"/>
          <w:b/>
          <w:sz w:val="32"/>
          <w:szCs w:val="32"/>
          <w:highlight w:val="none"/>
        </w:rPr>
      </w:pPr>
    </w:p>
    <w:p w14:paraId="4B1C236A">
      <w:pPr>
        <w:pStyle w:val="16"/>
        <w:rPr>
          <w:highlight w:val="none"/>
        </w:rPr>
      </w:pPr>
    </w:p>
    <w:p w14:paraId="65560B62">
      <w:pPr>
        <w:rPr>
          <w:rFonts w:ascii="宋体" w:hAnsi="宋体"/>
          <w:b/>
          <w:sz w:val="32"/>
          <w:szCs w:val="32"/>
          <w:highlight w:val="none"/>
        </w:rPr>
      </w:pPr>
    </w:p>
    <w:p w14:paraId="006C6044">
      <w:pPr>
        <w:rPr>
          <w:rFonts w:ascii="宋体" w:hAnsi="宋体"/>
          <w:b/>
          <w:sz w:val="32"/>
          <w:szCs w:val="32"/>
          <w:highlight w:val="none"/>
        </w:rPr>
      </w:pPr>
      <w:r>
        <w:rPr>
          <w:rFonts w:hint="eastAsia" w:ascii="宋体" w:hAnsi="宋体"/>
          <w:b/>
          <w:sz w:val="32"/>
          <w:szCs w:val="32"/>
          <w:highlight w:val="none"/>
        </w:rPr>
        <w:br w:type="page"/>
      </w:r>
    </w:p>
    <w:p w14:paraId="62A52169">
      <w:pPr>
        <w:numPr>
          <w:ilvl w:val="0"/>
          <w:numId w:val="0"/>
        </w:numPr>
        <w:jc w:val="center"/>
        <w:rPr>
          <w:rFonts w:ascii="宋体" w:hAnsi="宋体"/>
          <w:b/>
          <w:sz w:val="32"/>
          <w:szCs w:val="32"/>
          <w:highlight w:val="none"/>
        </w:rPr>
      </w:pPr>
      <w:r>
        <w:rPr>
          <w:rFonts w:hint="eastAsia" w:ascii="宋体" w:hAnsi="宋体" w:cs="Times New Roman"/>
          <w:b/>
          <w:kern w:val="2"/>
          <w:sz w:val="32"/>
          <w:szCs w:val="32"/>
          <w:highlight w:val="none"/>
          <w:lang w:val="en-US" w:eastAsia="zh-CN" w:bidi="ar-SA"/>
        </w:rPr>
        <w:t>10</w:t>
      </w:r>
      <w:r>
        <w:rPr>
          <w:rFonts w:ascii="宋体" w:hAnsi="宋体" w:eastAsia="宋体" w:cs="Times New Roman"/>
          <w:b/>
          <w:kern w:val="2"/>
          <w:sz w:val="32"/>
          <w:szCs w:val="32"/>
          <w:highlight w:val="none"/>
          <w:lang w:val="en-US" w:eastAsia="zh-CN" w:bidi="ar-SA"/>
        </w:rPr>
        <w:t>、</w:t>
      </w:r>
      <w:r>
        <w:rPr>
          <w:rFonts w:hint="eastAsia" w:ascii="宋体" w:hAnsi="宋体"/>
          <w:b/>
          <w:sz w:val="32"/>
          <w:szCs w:val="32"/>
          <w:highlight w:val="none"/>
        </w:rPr>
        <w:t>现 场 勘 察 证 明</w:t>
      </w:r>
    </w:p>
    <w:p w14:paraId="0D4818C3">
      <w:pPr>
        <w:widowControl/>
        <w:jc w:val="left"/>
        <w:rPr>
          <w:rFonts w:ascii="宋体" w:hAnsi="宋体"/>
          <w:kern w:val="0"/>
          <w:sz w:val="22"/>
          <w:szCs w:val="22"/>
          <w:highlight w:val="none"/>
        </w:rPr>
      </w:pPr>
    </w:p>
    <w:p w14:paraId="694B7C92">
      <w:pPr>
        <w:autoSpaceDE w:val="0"/>
        <w:snapToGrid w:val="0"/>
        <w:spacing w:line="360" w:lineRule="auto"/>
        <w:contextualSpacing/>
        <w:rPr>
          <w:rFonts w:ascii="宋体" w:hAnsi="宋体"/>
          <w:kern w:val="0"/>
          <w:sz w:val="28"/>
          <w:szCs w:val="28"/>
          <w:highlight w:val="none"/>
        </w:rPr>
      </w:pPr>
      <w:r>
        <w:rPr>
          <w:rFonts w:hint="eastAsia" w:ascii="宋体" w:hAnsi="宋体"/>
          <w:kern w:val="0"/>
          <w:sz w:val="28"/>
          <w:szCs w:val="28"/>
          <w:highlight w:val="none"/>
        </w:rPr>
        <w:t xml:space="preserve">项目名称：                       </w:t>
      </w:r>
    </w:p>
    <w:p w14:paraId="00EB8252">
      <w:pPr>
        <w:autoSpaceDE w:val="0"/>
        <w:snapToGrid w:val="0"/>
        <w:spacing w:line="480" w:lineRule="auto"/>
        <w:contextualSpacing/>
        <w:rPr>
          <w:rFonts w:ascii="宋体" w:hAnsi="宋体"/>
          <w:kern w:val="0"/>
          <w:sz w:val="28"/>
          <w:szCs w:val="28"/>
          <w:highlight w:val="none"/>
        </w:rPr>
      </w:pPr>
      <w:r>
        <w:rPr>
          <w:rFonts w:hint="eastAsia" w:ascii="宋体" w:hAnsi="宋体"/>
          <w:kern w:val="0"/>
          <w:sz w:val="28"/>
          <w:szCs w:val="28"/>
          <w:highlight w:val="none"/>
        </w:rPr>
        <w:t xml:space="preserve">     我公司于</w:t>
      </w:r>
      <w:r>
        <w:rPr>
          <w:rFonts w:hint="eastAsia" w:ascii="宋体" w:hAnsi="宋体"/>
          <w:kern w:val="0"/>
          <w:sz w:val="28"/>
          <w:szCs w:val="28"/>
          <w:highlight w:val="none"/>
          <w:lang w:val="en-US" w:eastAsia="zh-CN"/>
        </w:rPr>
        <w:t>2025</w:t>
      </w:r>
      <w:r>
        <w:rPr>
          <w:rFonts w:hint="eastAsia" w:ascii="宋体" w:hAnsi="宋体"/>
          <w:kern w:val="0"/>
          <w:sz w:val="28"/>
          <w:szCs w:val="28"/>
          <w:highlight w:val="none"/>
        </w:rPr>
        <w:t>年   月    日完成现场勘察，并对现场情况进行充分了解，此证明文件作为投标文件的有效组成部分。</w:t>
      </w:r>
    </w:p>
    <w:p w14:paraId="56B65DB0">
      <w:pPr>
        <w:widowControl/>
        <w:ind w:firstLine="700" w:firstLineChars="250"/>
        <w:jc w:val="left"/>
        <w:rPr>
          <w:rFonts w:ascii="宋体" w:hAnsi="宋体"/>
          <w:kern w:val="0"/>
          <w:sz w:val="28"/>
          <w:szCs w:val="28"/>
          <w:highlight w:val="none"/>
        </w:rPr>
      </w:pPr>
      <w:r>
        <w:rPr>
          <w:rFonts w:hint="eastAsia" w:ascii="宋体" w:hAnsi="宋体"/>
          <w:kern w:val="0"/>
          <w:sz w:val="28"/>
          <w:szCs w:val="28"/>
          <w:highlight w:val="none"/>
        </w:rPr>
        <w:t>特此证明</w:t>
      </w:r>
    </w:p>
    <w:p w14:paraId="44F6C636">
      <w:pPr>
        <w:widowControl/>
        <w:ind w:firstLine="560" w:firstLineChars="200"/>
        <w:jc w:val="left"/>
        <w:rPr>
          <w:rFonts w:ascii="宋体" w:hAnsi="宋体"/>
          <w:kern w:val="0"/>
          <w:sz w:val="28"/>
          <w:szCs w:val="28"/>
          <w:highlight w:val="none"/>
        </w:rPr>
      </w:pPr>
    </w:p>
    <w:p w14:paraId="477B5FCE">
      <w:pPr>
        <w:widowControl/>
        <w:ind w:firstLine="440" w:firstLineChars="200"/>
        <w:jc w:val="left"/>
        <w:rPr>
          <w:rFonts w:ascii="宋体" w:hAnsi="宋体"/>
          <w:kern w:val="0"/>
          <w:sz w:val="22"/>
          <w:szCs w:val="22"/>
          <w:highlight w:val="none"/>
        </w:rPr>
      </w:pPr>
    </w:p>
    <w:p w14:paraId="40ABD408">
      <w:pPr>
        <w:autoSpaceDE w:val="0"/>
        <w:snapToGrid w:val="0"/>
        <w:spacing w:line="360" w:lineRule="auto"/>
        <w:ind w:firstLine="560" w:firstLineChars="200"/>
        <w:contextualSpacing/>
        <w:rPr>
          <w:rFonts w:ascii="宋体" w:hAnsi="宋体"/>
          <w:kern w:val="0"/>
          <w:sz w:val="28"/>
          <w:szCs w:val="28"/>
          <w:highlight w:val="none"/>
        </w:rPr>
      </w:pPr>
      <w:r>
        <w:rPr>
          <w:rFonts w:hint="eastAsia" w:ascii="宋体" w:hAnsi="宋体"/>
          <w:kern w:val="0"/>
          <w:sz w:val="28"/>
          <w:szCs w:val="28"/>
          <w:highlight w:val="none"/>
        </w:rPr>
        <w:t>采购人代表签字：</w:t>
      </w:r>
    </w:p>
    <w:p w14:paraId="30B09D2D">
      <w:pPr>
        <w:autoSpaceDE w:val="0"/>
        <w:snapToGrid w:val="0"/>
        <w:spacing w:line="360" w:lineRule="auto"/>
        <w:ind w:right="560"/>
        <w:contextualSpacing/>
        <w:jc w:val="center"/>
        <w:rPr>
          <w:rFonts w:ascii="宋体" w:hAnsi="宋体"/>
          <w:kern w:val="0"/>
          <w:sz w:val="28"/>
          <w:szCs w:val="28"/>
          <w:highlight w:val="none"/>
        </w:rPr>
      </w:pPr>
      <w:r>
        <w:rPr>
          <w:rFonts w:hint="eastAsia" w:ascii="宋体" w:hAnsi="宋体"/>
          <w:kern w:val="0"/>
          <w:sz w:val="28"/>
          <w:szCs w:val="28"/>
          <w:highlight w:val="none"/>
        </w:rPr>
        <w:t xml:space="preserve">                        投标人名称（盖章）： </w:t>
      </w:r>
    </w:p>
    <w:p w14:paraId="228CE9A7">
      <w:pPr>
        <w:autoSpaceDE w:val="0"/>
        <w:snapToGrid w:val="0"/>
        <w:spacing w:line="360" w:lineRule="auto"/>
        <w:contextualSpacing/>
        <w:jc w:val="right"/>
        <w:rPr>
          <w:rFonts w:ascii="宋体" w:hAnsi="宋体"/>
          <w:kern w:val="0"/>
          <w:sz w:val="28"/>
          <w:szCs w:val="28"/>
          <w:highlight w:val="none"/>
        </w:rPr>
      </w:pPr>
    </w:p>
    <w:p w14:paraId="19DF7413">
      <w:pPr>
        <w:autoSpaceDE w:val="0"/>
        <w:snapToGrid w:val="0"/>
        <w:spacing w:line="360" w:lineRule="auto"/>
        <w:contextualSpacing/>
        <w:jc w:val="right"/>
        <w:rPr>
          <w:rFonts w:ascii="宋体" w:hAnsi="宋体"/>
          <w:kern w:val="0"/>
          <w:sz w:val="28"/>
          <w:szCs w:val="28"/>
          <w:highlight w:val="none"/>
        </w:rPr>
      </w:pPr>
      <w:r>
        <w:rPr>
          <w:rFonts w:hint="eastAsia" w:ascii="宋体" w:hAnsi="宋体"/>
          <w:kern w:val="0"/>
          <w:sz w:val="28"/>
          <w:szCs w:val="28"/>
          <w:highlight w:val="none"/>
        </w:rPr>
        <w:t>勘察时间:202</w:t>
      </w:r>
      <w:r>
        <w:rPr>
          <w:rFonts w:hint="eastAsia" w:ascii="宋体" w:hAnsi="宋体"/>
          <w:kern w:val="0"/>
          <w:sz w:val="28"/>
          <w:szCs w:val="28"/>
          <w:highlight w:val="none"/>
          <w:lang w:val="en-US" w:eastAsia="zh-CN"/>
        </w:rPr>
        <w:t>5</w:t>
      </w:r>
      <w:r>
        <w:rPr>
          <w:rFonts w:hint="eastAsia" w:ascii="宋体" w:hAnsi="宋体"/>
          <w:kern w:val="0"/>
          <w:sz w:val="28"/>
          <w:szCs w:val="28"/>
          <w:highlight w:val="none"/>
        </w:rPr>
        <w:t>年   月  日</w:t>
      </w:r>
    </w:p>
    <w:p w14:paraId="46C7E710">
      <w:pPr>
        <w:spacing w:after="120"/>
        <w:ind w:left="420" w:leftChars="200" w:firstLine="400" w:firstLineChars="200"/>
        <w:rPr>
          <w:rFonts w:ascii="Times New Roman" w:hAnsi="Times New Roman"/>
          <w:kern w:val="0"/>
          <w:sz w:val="20"/>
          <w:szCs w:val="24"/>
          <w:highlight w:val="none"/>
        </w:rPr>
      </w:pPr>
    </w:p>
    <w:p w14:paraId="17C3A2E5">
      <w:pPr>
        <w:spacing w:after="120"/>
        <w:ind w:left="420" w:leftChars="200" w:firstLine="400" w:firstLineChars="200"/>
        <w:rPr>
          <w:rFonts w:ascii="Times New Roman" w:hAnsi="Times New Roman"/>
          <w:kern w:val="0"/>
          <w:sz w:val="20"/>
          <w:szCs w:val="24"/>
          <w:highlight w:val="none"/>
        </w:rPr>
      </w:pPr>
    </w:p>
    <w:p w14:paraId="7FCFD96A">
      <w:pPr>
        <w:spacing w:line="360" w:lineRule="exact"/>
        <w:outlineLvl w:val="3"/>
        <w:rPr>
          <w:rFonts w:ascii="仿宋" w:hAnsi="仿宋" w:eastAsia="仿宋"/>
          <w:b/>
          <w:bCs/>
          <w:sz w:val="32"/>
          <w:szCs w:val="32"/>
          <w:highlight w:val="none"/>
        </w:rPr>
      </w:pPr>
      <w:r>
        <w:rPr>
          <w:rFonts w:hint="eastAsia" w:ascii="仿宋" w:hAnsi="仿宋" w:eastAsia="仿宋"/>
          <w:b/>
          <w:bCs/>
          <w:color w:val="FF0000"/>
          <w:sz w:val="32"/>
          <w:szCs w:val="32"/>
          <w:highlight w:val="none"/>
        </w:rPr>
        <w:t>注：本表供应商盖章后踏勘现场时随身携带，采购人代表签字确认后原件放入资格审查正本中。</w:t>
      </w:r>
    </w:p>
    <w:p w14:paraId="10CE6D00">
      <w:pPr>
        <w:rPr>
          <w:rFonts w:hint="eastAsia" w:ascii="方正仿宋_GBK" w:hAnsi="Times New Roman" w:eastAsia="方正仿宋_GBK"/>
          <w:sz w:val="28"/>
          <w:szCs w:val="28"/>
          <w:highlight w:val="none"/>
        </w:rPr>
      </w:pPr>
      <w:r>
        <w:rPr>
          <w:rFonts w:hint="eastAsia" w:ascii="方正仿宋_GBK" w:hAnsi="Times New Roman" w:eastAsia="方正仿宋_GBK"/>
          <w:sz w:val="28"/>
          <w:szCs w:val="28"/>
          <w:highlight w:val="none"/>
        </w:rPr>
        <w:br w:type="page"/>
      </w:r>
    </w:p>
    <w:p w14:paraId="6519D9AC">
      <w:pPr>
        <w:numPr>
          <w:ilvl w:val="0"/>
          <w:numId w:val="0"/>
        </w:numPr>
        <w:jc w:val="center"/>
        <w:rPr>
          <w:rFonts w:ascii="宋体" w:hAnsi="宋体"/>
          <w:b/>
          <w:sz w:val="32"/>
          <w:szCs w:val="32"/>
          <w:highlight w:val="none"/>
        </w:rPr>
      </w:pPr>
      <w:r>
        <w:rPr>
          <w:rFonts w:hint="eastAsia" w:ascii="宋体" w:hAnsi="宋体" w:cs="Times New Roman"/>
          <w:b/>
          <w:kern w:val="2"/>
          <w:sz w:val="32"/>
          <w:szCs w:val="32"/>
          <w:highlight w:val="none"/>
          <w:lang w:val="en-US" w:eastAsia="zh-CN" w:bidi="ar-SA"/>
        </w:rPr>
        <w:t>11</w:t>
      </w:r>
      <w:r>
        <w:rPr>
          <w:rFonts w:ascii="宋体" w:hAnsi="宋体" w:eastAsia="宋体" w:cs="Times New Roman"/>
          <w:b/>
          <w:kern w:val="2"/>
          <w:sz w:val="32"/>
          <w:szCs w:val="32"/>
          <w:highlight w:val="none"/>
          <w:lang w:val="en-US" w:eastAsia="zh-CN" w:bidi="ar-SA"/>
        </w:rPr>
        <w:t>、</w:t>
      </w:r>
      <w:r>
        <w:rPr>
          <w:rFonts w:hint="eastAsia" w:ascii="宋体" w:hAnsi="宋体"/>
          <w:b/>
          <w:sz w:val="32"/>
          <w:szCs w:val="32"/>
          <w:highlight w:val="none"/>
          <w:lang w:val="en-US" w:eastAsia="zh-CN"/>
        </w:rPr>
        <w:t>承 诺 函</w:t>
      </w:r>
    </w:p>
    <w:p w14:paraId="556113A6">
      <w:pPr>
        <w:widowControl/>
        <w:jc w:val="left"/>
        <w:rPr>
          <w:rFonts w:ascii="宋体" w:hAnsi="宋体"/>
          <w:kern w:val="0"/>
          <w:sz w:val="22"/>
          <w:szCs w:val="22"/>
          <w:highlight w:val="none"/>
        </w:rPr>
      </w:pPr>
    </w:p>
    <w:p w14:paraId="5B6DF970">
      <w:pPr>
        <w:autoSpaceDE w:val="0"/>
        <w:snapToGrid w:val="0"/>
        <w:spacing w:line="360" w:lineRule="auto"/>
        <w:contextualSpacing/>
        <w:rPr>
          <w:rFonts w:ascii="宋体" w:hAnsi="宋体"/>
          <w:kern w:val="0"/>
          <w:sz w:val="28"/>
          <w:szCs w:val="28"/>
          <w:highlight w:val="none"/>
        </w:rPr>
      </w:pPr>
      <w:r>
        <w:rPr>
          <w:rFonts w:hint="eastAsia" w:ascii="宋体" w:hAnsi="宋体"/>
          <w:kern w:val="0"/>
          <w:sz w:val="28"/>
          <w:szCs w:val="28"/>
          <w:highlight w:val="none"/>
        </w:rPr>
        <w:t xml:space="preserve">项目名称：                       </w:t>
      </w:r>
    </w:p>
    <w:p w14:paraId="20FE6DA4">
      <w:pPr>
        <w:autoSpaceDE w:val="0"/>
        <w:snapToGrid w:val="0"/>
        <w:spacing w:line="480" w:lineRule="auto"/>
        <w:contextualSpacing/>
        <w:rPr>
          <w:rFonts w:hint="eastAsia" w:ascii="宋体" w:hAnsi="宋体"/>
          <w:kern w:val="0"/>
          <w:sz w:val="28"/>
          <w:szCs w:val="28"/>
          <w:highlight w:val="none"/>
          <w:u w:val="none"/>
          <w:lang w:val="en-US" w:eastAsia="zh-CN"/>
        </w:rPr>
      </w:pPr>
      <w:r>
        <w:rPr>
          <w:rFonts w:hint="eastAsia" w:ascii="宋体" w:hAnsi="宋体"/>
          <w:kern w:val="0"/>
          <w:sz w:val="28"/>
          <w:szCs w:val="28"/>
          <w:highlight w:val="none"/>
        </w:rPr>
        <w:t xml:space="preserve">     我公司</w:t>
      </w:r>
      <w:r>
        <w:rPr>
          <w:rFonts w:hint="eastAsia" w:ascii="宋体" w:hAnsi="宋体"/>
          <w:kern w:val="0"/>
          <w:sz w:val="28"/>
          <w:szCs w:val="28"/>
          <w:highlight w:val="none"/>
          <w:lang w:val="en-US" w:eastAsia="zh-CN"/>
        </w:rPr>
        <w:t>承诺，在</w:t>
      </w:r>
      <w:r>
        <w:rPr>
          <w:rFonts w:hint="eastAsia" w:ascii="宋体" w:hAnsi="宋体"/>
          <w:kern w:val="0"/>
          <w:sz w:val="28"/>
          <w:szCs w:val="28"/>
          <w:highlight w:val="none"/>
          <w:u w:val="single"/>
          <w:lang w:val="en-US" w:eastAsia="zh-CN"/>
        </w:rPr>
        <w:t xml:space="preserve">    项目</w:t>
      </w:r>
      <w:r>
        <w:rPr>
          <w:rFonts w:hint="eastAsia" w:ascii="宋体" w:hAnsi="宋体"/>
          <w:kern w:val="0"/>
          <w:sz w:val="28"/>
          <w:szCs w:val="28"/>
          <w:highlight w:val="none"/>
          <w:u w:val="none"/>
          <w:lang w:val="en-US" w:eastAsia="zh-CN"/>
        </w:rPr>
        <w:t>拆除安装作业时，现场作业人员均拥有相对应有效的高空作业证、电工证或焊工证，作业时有专职安全员在现场负责施工安全。现场施工时将出示证书给甲方查看。</w:t>
      </w:r>
    </w:p>
    <w:p w14:paraId="112D0E42">
      <w:pPr>
        <w:keepNext w:val="0"/>
        <w:keepLines w:val="0"/>
        <w:pageBreakBefore w:val="0"/>
        <w:widowControl w:val="0"/>
        <w:kinsoku/>
        <w:wordWrap/>
        <w:overflowPunct/>
        <w:topLinePunct w:val="0"/>
        <w:autoSpaceDE w:val="0"/>
        <w:autoSpaceDN/>
        <w:bidi w:val="0"/>
        <w:adjustRightInd/>
        <w:snapToGrid w:val="0"/>
        <w:spacing w:line="480" w:lineRule="auto"/>
        <w:ind w:firstLine="560" w:firstLineChars="200"/>
        <w:contextualSpacing/>
        <w:textAlignment w:val="auto"/>
        <w:rPr>
          <w:rFonts w:hint="eastAsia" w:ascii="宋体" w:hAnsi="宋体"/>
          <w:kern w:val="0"/>
          <w:sz w:val="28"/>
          <w:szCs w:val="28"/>
          <w:highlight w:val="none"/>
          <w:u w:val="none"/>
          <w:lang w:val="en-US" w:eastAsia="zh-CN"/>
        </w:rPr>
      </w:pPr>
      <w:r>
        <w:rPr>
          <w:rFonts w:hint="eastAsia" w:ascii="宋体" w:hAnsi="宋体"/>
          <w:kern w:val="0"/>
          <w:sz w:val="28"/>
          <w:szCs w:val="28"/>
          <w:highlight w:val="none"/>
        </w:rPr>
        <w:t>我公司</w:t>
      </w:r>
      <w:r>
        <w:rPr>
          <w:rFonts w:hint="eastAsia" w:ascii="宋体" w:hAnsi="宋体"/>
          <w:kern w:val="0"/>
          <w:sz w:val="28"/>
          <w:szCs w:val="28"/>
          <w:highlight w:val="none"/>
          <w:lang w:val="en-US" w:eastAsia="zh-CN"/>
        </w:rPr>
        <w:t>承诺，</w:t>
      </w:r>
      <w:r>
        <w:rPr>
          <w:rFonts w:hint="eastAsia" w:ascii="宋体" w:hAnsi="宋体"/>
          <w:kern w:val="0"/>
          <w:sz w:val="28"/>
          <w:szCs w:val="28"/>
          <w:highlight w:val="none"/>
          <w:u w:val="single"/>
          <w:lang w:val="en-US" w:eastAsia="zh-CN"/>
        </w:rPr>
        <w:t xml:space="preserve">    项目</w:t>
      </w:r>
      <w:r>
        <w:rPr>
          <w:rFonts w:hint="eastAsia" w:ascii="宋体" w:hAnsi="宋体"/>
          <w:kern w:val="0"/>
          <w:sz w:val="28"/>
          <w:szCs w:val="28"/>
          <w:highlight w:val="none"/>
          <w:u w:val="none"/>
          <w:lang w:val="en-US" w:eastAsia="zh-CN"/>
        </w:rPr>
        <w:t>，质保期内所投标设备在质保期内日常正确使用当中机械部分、控制部分故障率不超过5%。如故障率超过5%，招标人可要求投标人更换新的设备。</w:t>
      </w:r>
    </w:p>
    <w:p w14:paraId="790F8DB9">
      <w:pPr>
        <w:keepNext w:val="0"/>
        <w:keepLines w:val="0"/>
        <w:pageBreakBefore w:val="0"/>
        <w:widowControl w:val="0"/>
        <w:kinsoku/>
        <w:wordWrap/>
        <w:overflowPunct/>
        <w:topLinePunct w:val="0"/>
        <w:autoSpaceDE w:val="0"/>
        <w:autoSpaceDN/>
        <w:bidi w:val="0"/>
        <w:adjustRightInd/>
        <w:snapToGrid w:val="0"/>
        <w:spacing w:line="480" w:lineRule="auto"/>
        <w:ind w:firstLine="560" w:firstLineChars="200"/>
        <w:contextualSpacing/>
        <w:textAlignment w:val="auto"/>
        <w:rPr>
          <w:rFonts w:hint="eastAsia" w:ascii="宋体" w:hAnsi="宋体"/>
          <w:kern w:val="0"/>
          <w:sz w:val="28"/>
          <w:szCs w:val="28"/>
          <w:highlight w:val="none"/>
          <w:u w:val="none"/>
          <w:lang w:val="en-US" w:eastAsia="zh-CN"/>
        </w:rPr>
      </w:pPr>
      <w:r>
        <w:rPr>
          <w:rFonts w:hint="eastAsia" w:ascii="宋体" w:hAnsi="宋体"/>
          <w:kern w:val="0"/>
          <w:sz w:val="28"/>
          <w:szCs w:val="28"/>
          <w:highlight w:val="none"/>
        </w:rPr>
        <w:t>我公司</w:t>
      </w:r>
      <w:r>
        <w:rPr>
          <w:rFonts w:hint="eastAsia" w:ascii="宋体" w:hAnsi="宋体"/>
          <w:kern w:val="0"/>
          <w:sz w:val="28"/>
          <w:szCs w:val="28"/>
          <w:highlight w:val="none"/>
          <w:lang w:val="en-US" w:eastAsia="zh-CN"/>
        </w:rPr>
        <w:t>承诺，</w:t>
      </w:r>
      <w:r>
        <w:rPr>
          <w:rFonts w:hint="eastAsia" w:ascii="宋体" w:hAnsi="宋体"/>
          <w:kern w:val="0"/>
          <w:sz w:val="28"/>
          <w:szCs w:val="28"/>
          <w:highlight w:val="none"/>
          <w:u w:val="single"/>
          <w:lang w:val="en-US" w:eastAsia="zh-CN"/>
        </w:rPr>
        <w:t xml:space="preserve">    项目</w:t>
      </w:r>
      <w:r>
        <w:rPr>
          <w:rFonts w:hint="eastAsia" w:ascii="宋体" w:hAnsi="宋体"/>
          <w:kern w:val="0"/>
          <w:sz w:val="28"/>
          <w:szCs w:val="28"/>
          <w:highlight w:val="none"/>
          <w:u w:val="none"/>
          <w:lang w:val="en-US" w:eastAsia="zh-CN"/>
        </w:rPr>
        <w:t>拆除安装作业时，因高空悬挂作业，会有配件如：螺丝、焊条掉下风险，由此造成的玻璃幕墙损坏等一切的经济后果我司承担。</w:t>
      </w:r>
    </w:p>
    <w:p w14:paraId="0DDFF096">
      <w:pPr>
        <w:pStyle w:val="16"/>
        <w:rPr>
          <w:rFonts w:hint="eastAsia"/>
          <w:highlight w:val="none"/>
          <w:lang w:val="en-US" w:eastAsia="zh-CN"/>
        </w:rPr>
      </w:pPr>
    </w:p>
    <w:p w14:paraId="2301B65D">
      <w:pPr>
        <w:keepNext w:val="0"/>
        <w:keepLines w:val="0"/>
        <w:pageBreakBefore w:val="0"/>
        <w:widowControl w:val="0"/>
        <w:kinsoku/>
        <w:wordWrap/>
        <w:overflowPunct/>
        <w:topLinePunct w:val="0"/>
        <w:autoSpaceDE w:val="0"/>
        <w:autoSpaceDN/>
        <w:bidi w:val="0"/>
        <w:adjustRightInd/>
        <w:snapToGrid w:val="0"/>
        <w:spacing w:line="480" w:lineRule="auto"/>
        <w:ind w:firstLine="560" w:firstLineChars="200"/>
        <w:contextualSpacing/>
        <w:textAlignment w:val="auto"/>
        <w:rPr>
          <w:rFonts w:hint="eastAsia" w:ascii="宋体" w:hAnsi="宋体"/>
          <w:kern w:val="0"/>
          <w:sz w:val="28"/>
          <w:szCs w:val="28"/>
          <w:highlight w:val="none"/>
          <w:u w:val="none"/>
          <w:lang w:val="en-US" w:eastAsia="zh-CN"/>
        </w:rPr>
      </w:pPr>
      <w:r>
        <w:rPr>
          <w:rFonts w:hint="eastAsia" w:ascii="宋体" w:hAnsi="宋体"/>
          <w:kern w:val="0"/>
          <w:sz w:val="28"/>
          <w:szCs w:val="28"/>
          <w:highlight w:val="none"/>
          <w:u w:val="none"/>
          <w:lang w:val="en-US" w:eastAsia="zh-CN"/>
        </w:rPr>
        <w:t>此证明文件作为投标文件的有效组成部分。</w:t>
      </w:r>
    </w:p>
    <w:p w14:paraId="137456FE">
      <w:pPr>
        <w:widowControl/>
        <w:ind w:firstLine="700" w:firstLineChars="250"/>
        <w:jc w:val="left"/>
        <w:rPr>
          <w:rFonts w:ascii="宋体" w:hAnsi="宋体"/>
          <w:kern w:val="0"/>
          <w:sz w:val="28"/>
          <w:szCs w:val="28"/>
          <w:highlight w:val="none"/>
        </w:rPr>
      </w:pPr>
      <w:r>
        <w:rPr>
          <w:rFonts w:hint="eastAsia" w:ascii="宋体" w:hAnsi="宋体"/>
          <w:kern w:val="0"/>
          <w:sz w:val="28"/>
          <w:szCs w:val="28"/>
          <w:highlight w:val="none"/>
        </w:rPr>
        <w:t>特此证明</w:t>
      </w:r>
    </w:p>
    <w:p w14:paraId="274FF0CB">
      <w:pPr>
        <w:widowControl/>
        <w:ind w:firstLine="560" w:firstLineChars="200"/>
        <w:jc w:val="left"/>
        <w:rPr>
          <w:rFonts w:ascii="宋体" w:hAnsi="宋体"/>
          <w:kern w:val="0"/>
          <w:sz w:val="28"/>
          <w:szCs w:val="28"/>
          <w:highlight w:val="none"/>
        </w:rPr>
      </w:pPr>
    </w:p>
    <w:p w14:paraId="7E0B5DE0">
      <w:pPr>
        <w:widowControl/>
        <w:ind w:firstLine="440" w:firstLineChars="200"/>
        <w:jc w:val="left"/>
        <w:rPr>
          <w:rFonts w:ascii="宋体" w:hAnsi="宋体"/>
          <w:kern w:val="0"/>
          <w:sz w:val="22"/>
          <w:szCs w:val="22"/>
          <w:highlight w:val="none"/>
        </w:rPr>
      </w:pPr>
    </w:p>
    <w:p w14:paraId="373AE3F9">
      <w:pPr>
        <w:autoSpaceDE w:val="0"/>
        <w:snapToGrid w:val="0"/>
        <w:spacing w:line="360" w:lineRule="auto"/>
        <w:ind w:right="560"/>
        <w:contextualSpacing/>
        <w:jc w:val="center"/>
        <w:rPr>
          <w:rFonts w:ascii="宋体" w:hAnsi="宋体"/>
          <w:kern w:val="0"/>
          <w:sz w:val="28"/>
          <w:szCs w:val="28"/>
          <w:highlight w:val="none"/>
        </w:rPr>
      </w:pPr>
      <w:r>
        <w:rPr>
          <w:rFonts w:hint="eastAsia" w:ascii="宋体" w:hAnsi="宋体"/>
          <w:kern w:val="0"/>
          <w:sz w:val="28"/>
          <w:szCs w:val="28"/>
          <w:highlight w:val="none"/>
        </w:rPr>
        <w:t xml:space="preserve">                       </w:t>
      </w:r>
      <w:r>
        <w:rPr>
          <w:rFonts w:hint="eastAsia" w:ascii="宋体" w:hAnsi="宋体"/>
          <w:kern w:val="0"/>
          <w:sz w:val="28"/>
          <w:szCs w:val="28"/>
          <w:highlight w:val="none"/>
          <w:lang w:val="en-US" w:eastAsia="zh-CN"/>
        </w:rPr>
        <w:t>磋商响应供应商</w:t>
      </w:r>
      <w:r>
        <w:rPr>
          <w:rFonts w:hint="eastAsia" w:ascii="宋体" w:hAnsi="宋体"/>
          <w:kern w:val="0"/>
          <w:sz w:val="28"/>
          <w:szCs w:val="28"/>
          <w:highlight w:val="none"/>
        </w:rPr>
        <w:t xml:space="preserve">名称（盖章）： </w:t>
      </w:r>
    </w:p>
    <w:p w14:paraId="0F74E4CA">
      <w:pPr>
        <w:autoSpaceDE w:val="0"/>
        <w:snapToGrid w:val="0"/>
        <w:spacing w:line="360" w:lineRule="auto"/>
        <w:contextualSpacing/>
        <w:jc w:val="right"/>
        <w:rPr>
          <w:rFonts w:ascii="宋体" w:hAnsi="宋体"/>
          <w:kern w:val="0"/>
          <w:sz w:val="28"/>
          <w:szCs w:val="28"/>
          <w:highlight w:val="none"/>
        </w:rPr>
      </w:pPr>
    </w:p>
    <w:p w14:paraId="246C26AD">
      <w:pPr>
        <w:autoSpaceDE w:val="0"/>
        <w:snapToGrid w:val="0"/>
        <w:spacing w:line="360" w:lineRule="auto"/>
        <w:contextualSpacing/>
        <w:jc w:val="right"/>
        <w:rPr>
          <w:rFonts w:ascii="宋体" w:hAnsi="宋体"/>
          <w:kern w:val="0"/>
          <w:sz w:val="28"/>
          <w:szCs w:val="28"/>
          <w:highlight w:val="none"/>
        </w:rPr>
      </w:pPr>
      <w:r>
        <w:rPr>
          <w:rFonts w:hint="eastAsia" w:ascii="宋体" w:hAnsi="宋体"/>
          <w:kern w:val="0"/>
          <w:sz w:val="28"/>
          <w:szCs w:val="28"/>
          <w:highlight w:val="none"/>
          <w:lang w:val="en-US" w:eastAsia="zh-CN"/>
        </w:rPr>
        <w:t>时间</w:t>
      </w:r>
      <w:r>
        <w:rPr>
          <w:rFonts w:hint="eastAsia" w:ascii="宋体" w:hAnsi="宋体"/>
          <w:kern w:val="0"/>
          <w:sz w:val="28"/>
          <w:szCs w:val="28"/>
          <w:highlight w:val="none"/>
        </w:rPr>
        <w:t>:202</w:t>
      </w:r>
      <w:r>
        <w:rPr>
          <w:rFonts w:hint="eastAsia" w:ascii="宋体" w:hAnsi="宋体"/>
          <w:kern w:val="0"/>
          <w:sz w:val="28"/>
          <w:szCs w:val="28"/>
          <w:highlight w:val="none"/>
          <w:lang w:val="en-US" w:eastAsia="zh-CN"/>
        </w:rPr>
        <w:t>5</w:t>
      </w:r>
      <w:r>
        <w:rPr>
          <w:rFonts w:hint="eastAsia" w:ascii="宋体" w:hAnsi="宋体"/>
          <w:kern w:val="0"/>
          <w:sz w:val="28"/>
          <w:szCs w:val="28"/>
          <w:highlight w:val="none"/>
        </w:rPr>
        <w:t>年   月  日</w:t>
      </w:r>
    </w:p>
    <w:p w14:paraId="26CE712A">
      <w:pPr>
        <w:spacing w:after="120"/>
        <w:ind w:left="420" w:leftChars="200" w:firstLine="400" w:firstLineChars="200"/>
        <w:rPr>
          <w:rFonts w:ascii="Times New Roman" w:hAnsi="Times New Roman"/>
          <w:kern w:val="0"/>
          <w:sz w:val="20"/>
          <w:szCs w:val="24"/>
          <w:highlight w:val="none"/>
        </w:rPr>
      </w:pPr>
    </w:p>
    <w:p w14:paraId="41252425">
      <w:pPr>
        <w:rPr>
          <w:rFonts w:hint="eastAsia"/>
          <w:highlight w:val="none"/>
        </w:rPr>
      </w:pPr>
    </w:p>
    <w:sectPr>
      <w:footerReference r:id="rId7" w:type="first"/>
      <w:pgSz w:w="11906" w:h="16838"/>
      <w:pgMar w:top="1134" w:right="1134" w:bottom="1134" w:left="162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12F94CE-B64A-44AB-A6EE-E34AB3E7F59E}"/>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29B8AE12-7A81-4ECB-9BC9-2295A1788DAD}"/>
  </w:font>
  <w:font w:name="等线">
    <w:panose1 w:val="02010600030101010101"/>
    <w:charset w:val="86"/>
    <w:family w:val="auto"/>
    <w:pitch w:val="default"/>
    <w:sig w:usb0="A00002BF" w:usb1="38CF7CFA" w:usb2="00000016" w:usb3="00000000" w:csb0="0004000F" w:csb1="00000000"/>
    <w:embedRegular r:id="rId3" w:fontKey="{9CDCC879-D3B3-43FC-938B-752427DE8B56}"/>
  </w:font>
  <w:font w:name="方正仿宋_GB2312">
    <w:panose1 w:val="02000000000000000000"/>
    <w:charset w:val="86"/>
    <w:family w:val="auto"/>
    <w:pitch w:val="default"/>
    <w:sig w:usb0="A00002BF" w:usb1="184F6CFA" w:usb2="00000012" w:usb3="00000000" w:csb0="00040001" w:csb1="00000000"/>
    <w:embedRegular r:id="rId4" w:fontKey="{FC58ECC4-54A7-40E2-91BF-FEC7A51FE37A}"/>
  </w:font>
  <w:font w:name="Arial Unicode MS">
    <w:panose1 w:val="020B0604020202020204"/>
    <w:charset w:val="86"/>
    <w:family w:val="swiss"/>
    <w:pitch w:val="default"/>
    <w:sig w:usb0="FFFFFFFF" w:usb1="E9FFFFFF" w:usb2="0000003F" w:usb3="00000000" w:csb0="603F01FF" w:csb1="FFFF0000"/>
    <w:embedRegular r:id="rId5" w:fontKey="{C6AB2694-5F03-4EE5-95FE-BD22B2B7692E}"/>
  </w:font>
  <w:font w:name="方正仿宋_GBK">
    <w:panose1 w:val="02000000000000000000"/>
    <w:charset w:val="86"/>
    <w:family w:val="script"/>
    <w:pitch w:val="default"/>
    <w:sig w:usb0="A00002BF" w:usb1="38CF7CFA" w:usb2="00082016" w:usb3="00000000" w:csb0="00040001" w:csb1="00000000"/>
    <w:embedRegular r:id="rId6" w:fontKey="{7D5A80A7-14D7-4431-BD73-1250B2417E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A873">
    <w:pPr>
      <w:pStyle w:val="3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4D99023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- 4 -</w:t>
                          </w:r>
                          <w:r>
                            <w:rPr>
                              <w:b/>
                              <w:bCs/>
                              <w:sz w:val="24"/>
                              <w:szCs w:val="24"/>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NqpS7nNAQAAlwMAAA4AAABkcnMvZTJvRG9jLnhtbK1TzY7TMBC+I/EO&#10;lu/UabegVdR0BaoWISFAWngA17EbS/6Tx23SF4A34MSFO8/V52DspF3YvexhL85kZvLN932erG4G&#10;a8hBRtDeNXQ+qyiRTvhWu11Dv329fXVNCSTuWm68kw09SqA365cvVn2o5cJ33rQyEgRxUPehoV1K&#10;oWYMRCcth5kP0mFR+Wh5wte4Y23kPaJbwxZV9Yb1PrYheiEBMLsZi3RCjE8B9EppITde7K10aUSN&#10;0vCEkqDTAei6sFVKivRZKZCJmIai0lROHILxNp9sveL1LvLQaTFR4E+h8ECT5drh0AvUhidO9lE/&#10;grJaRA9epZnwlo1CiiOoYl498Oau40EWLWg1hIvp8Hyw4tPhSyS6xU2gxHGLF376+eP068/p93ey&#10;yPb0AWrsugvYl4Z3fsitUx4wmVUPKtr8RD0E62ju8WKuHBIRmLyqltcVVgSW5lfz5fJ1RmH3H4cI&#10;6b30luSgoRHvrljKDx8hja3nljzL+VttDOZ5bdx/CcTMGZaZjwxzlIbtMNHe+vaIanq89oY63HJK&#10;zAeHruYNOQfxHGzPwT5EvevKCuV5EN7uE5Io3PKEEXYajPdV1E27lRfi3/fSdf8/r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0WbE9AAAAADAQAADwAAAAAAAAABACAAAAAiAAAAZHJzL2Rvd25y&#10;ZXYueG1sUEsBAhQAFAAAAAgAh07iQNqpS7nNAQAAlwMAAA4AAAAAAAAAAQAgAAAAHwEAAGRycy9l&#10;Mm9Eb2MueG1sUEsFBgAAAAAGAAYAWQEAAF4FAAAAAA==&#10;">
              <v:fill on="f" focussize="0,0"/>
              <v:stroke on="f"/>
              <v:imagedata o:title=""/>
              <o:lock v:ext="edit" aspectratio="f"/>
              <v:textbox inset="0mm,0mm,0mm,0mm" style="mso-fit-shape-to-text:t;">
                <w:txbxContent>
                  <w:p w14:paraId="4D99023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- 4 -</w:t>
                    </w:r>
                    <w:r>
                      <w:rPr>
                        <w:b/>
                        <w:bCs/>
                        <w:sz w:val="24"/>
                        <w:szCs w:val="24"/>
                      </w:rPr>
                      <w:fldChar w:fldCharType="end"/>
                    </w:r>
                  </w:p>
                </w:txbxContent>
              </v:textbox>
            </v:shape>
          </w:pict>
        </mc:Fallback>
      </mc:AlternateContent>
    </w:r>
  </w:p>
  <w:p w14:paraId="7864368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0BD3">
    <w:pPr>
      <w:pStyle w:val="31"/>
      <w:framePr w:wrap="around" w:vAnchor="text" w:hAnchor="margin" w:xAlign="right" w:y="1"/>
      <w:rPr>
        <w:rStyle w:val="55"/>
      </w:rPr>
    </w:pPr>
    <w:r>
      <w:fldChar w:fldCharType="begin"/>
    </w:r>
    <w:r>
      <w:rPr>
        <w:rStyle w:val="55"/>
      </w:rPr>
      <w:instrText xml:space="preserve">PAGE  </w:instrText>
    </w:r>
    <w:r>
      <w:fldChar w:fldCharType="separate"/>
    </w:r>
    <w:r>
      <w:fldChar w:fldCharType="end"/>
    </w:r>
  </w:p>
  <w:p w14:paraId="66AABACD">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E31A">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14:paraId="51D0CF9D">
                          <w:pPr>
                            <w:pStyle w:val="31"/>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KbOGJDNAQAAlwMAAA4AAABkcnMvZTJvRG9jLnhtbK1TzY7TMBC+I/EO&#10;lu/Ubbe7oKjpClQtQkKAtPAArmM3lvwnj9ukLwBvwIkLd56rz8HYSbqwXPbAxRnPTL6Z75vx+ra3&#10;hhxlBO1dTRezOSXSCd9ot6/pl893L15RAom7hhvvZE1PEujt5vmzdRcqufStN42MBEEcVF2oaZtS&#10;qBgD0UrLYeaDdBhUPlqe8Br3rIm8Q3Rr2HI+v2Gdj02IXkgA9G6HIB0R41MAvVJayK0XBytdGlCj&#10;NDwhJWh1ALop3SolRfqoFMhETE2RaSonFkF7l0+2WfNqH3lotRhb4E9p4REny7XDoheoLU+cHKL+&#10;B8pqET14lWbCWzYQKYogi8X8kTb3LQ+ycEGpIVxEh/8HKz4cP0Wim5ouKXHc4sDP37+df/w6//xK&#10;rrI8XYAKs+4D5qX+je9xaSY/oDOz7lW0+Yt8CMZR3NNFXNknItC5XL28ucaIwNDiarFaXWcU9vBz&#10;iJDeSm9JNmoacXZFUn58D2lInVJyLefvtDFlfsb95UDM7GG586HDbKV+1490dr45IZsOx15Th1tO&#10;iXnnUNW8IZMRJ2M3GYcQ9b4tK5TrQXh9SNhE6S1XGGDHwjivwm7crbwQf95L1sN7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7FI4NAAAAADAQAADwAAAAAAAAABACAAAAAiAAAAZHJzL2Rvd25y&#10;ZXYueG1sUEsBAhQAFAAAAAgAh07iQKbOGJDNAQAAlwMAAA4AAAAAAAAAAQAgAAAAHwEAAGRycy9l&#10;Mm9Eb2MueG1sUEsFBgAAAAAGAAYAWQEAAF4FAAAAAA==&#10;">
              <v:fill on="f" focussize="0,0"/>
              <v:stroke on="f"/>
              <v:imagedata o:title=""/>
              <o:lock v:ext="edit" aspectratio="f"/>
              <v:textbox inset="0mm,0mm,0mm,0mm" style="mso-fit-shape-to-text:t;">
                <w:txbxContent>
                  <w:p w14:paraId="51D0CF9D">
                    <w:pPr>
                      <w:pStyle w:val="31"/>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p w14:paraId="70F5048B">
    <w:pPr>
      <w:pStyle w:val="31"/>
      <w:wordWrap w:val="0"/>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4ED4">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14:paraId="5038F72E">
                          <w:pPr>
                            <w:pStyle w:val="31"/>
                            <w:jc w:val="center"/>
                          </w:pPr>
                          <w:r>
                            <w:fldChar w:fldCharType="begin"/>
                          </w:r>
                          <w:r>
                            <w:instrText xml:space="preserve">PAGE   \* MERGEFORMAT</w:instrText>
                          </w:r>
                          <w:r>
                            <w:fldChar w:fldCharType="separate"/>
                          </w:r>
                          <w:r>
                            <w:rPr>
                              <w:lang w:val="zh-CN"/>
                            </w:rPr>
                            <w:t>-</w:t>
                          </w:r>
                          <w:r>
                            <w:t xml:space="preserve"> 32 -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FiB3PjNAQAAlwMAAA4AAABkcnMvZTJvRG9jLnhtbK1TzY7TMBC+I/EO&#10;lu/Ubbe7oKjpClQtQkKAtPAArmM3lvwnj9ukLwBvwIkLd56rz8HYSbqwXPbAxRnPTL6Z75vx+ra3&#10;hhxlBO1dTRezOSXSCd9ot6/pl893L15RAom7hhvvZE1PEujt5vmzdRcqufStN42MBEEcVF2oaZtS&#10;qBgD0UrLYeaDdBhUPlqe8Br3rIm8Q3Rr2HI+v2Gdj02IXkgA9G6HIB0R41MAvVJayK0XBytdGlCj&#10;NDwhJWh1ALop3SolRfqoFMhETE2RaSonFkF7l0+2WfNqH3lotRhb4E9p4REny7XDoheoLU+cHKL+&#10;B8pqET14lWbCWzYQKYogi8X8kTb3LQ+ycEGpIVxEh/8HKz4cP0Wim5peUeK4xYGfv387//h1/vmV&#10;rLI8XYAKs+4D5qX+je9xaSY/oDOz7lW0+Yt8CMZR3NNFXNknItC5XL28ucaIwNDiarFaXWcU9vBz&#10;iJDeSm9JNmoacXZFUn58D2lInVJyLefvtDFlfsb95UDM7GG586HDbKV+1490dr45IZsOx15Th1tO&#10;iXnnUNW8IZMRJ2M3GYcQ9b4tK5TrQXh9SNhE6S1XGGDHwjivwm7crbwQf95L1sN7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7FI4NAAAAADAQAADwAAAAAAAAABACAAAAAiAAAAZHJzL2Rvd25y&#10;ZXYueG1sUEsBAhQAFAAAAAgAh07iQFiB3PjNAQAAlwMAAA4AAAAAAAAAAQAgAAAAHwEAAGRycy9l&#10;Mm9Eb2MueG1sUEsFBgAAAAAGAAYAWQEAAF4FAAAAAA==&#10;">
              <v:fill on="f" focussize="0,0"/>
              <v:stroke on="f"/>
              <v:imagedata o:title=""/>
              <o:lock v:ext="edit" aspectratio="f"/>
              <v:textbox inset="0mm,0mm,0mm,0mm" style="mso-fit-shape-to-text:t;">
                <w:txbxContent>
                  <w:p w14:paraId="5038F72E">
                    <w:pPr>
                      <w:pStyle w:val="31"/>
                      <w:jc w:val="center"/>
                    </w:pPr>
                    <w:r>
                      <w:fldChar w:fldCharType="begin"/>
                    </w:r>
                    <w:r>
                      <w:instrText xml:space="preserve">PAGE   \* MERGEFORMAT</w:instrText>
                    </w:r>
                    <w:r>
                      <w:fldChar w:fldCharType="separate"/>
                    </w:r>
                    <w:r>
                      <w:rPr>
                        <w:lang w:val="zh-CN"/>
                      </w:rPr>
                      <w:t>-</w:t>
                    </w:r>
                    <w:r>
                      <w:t xml:space="preserve"> 32 -</w:t>
                    </w:r>
                    <w:r>
                      <w:fldChar w:fldCharType="end"/>
                    </w:r>
                  </w:p>
                </w:txbxContent>
              </v:textbox>
            </v:shape>
          </w:pict>
        </mc:Fallback>
      </mc:AlternateContent>
    </w:r>
  </w:p>
  <w:p w14:paraId="4715E10E">
    <w:pPr>
      <w:pStyle w:val="31"/>
      <w:wordWrap w:val="0"/>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60E3">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chineseCountingThousand"/>
      <w:pStyle w:val="3"/>
      <w:lvlText w:val="第%1部分"/>
      <w:lvlJc w:val="left"/>
      <w:rPr>
        <w:rFonts w:cs="Times New Roman"/>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1">
    <w:nsid w:val="572AE91F"/>
    <w:multiLevelType w:val="singleLevel"/>
    <w:tmpl w:val="572AE91F"/>
    <w:lvl w:ilvl="0" w:tentative="0">
      <w:start w:val="5"/>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ZjYyYmEwMTIyY2Y2OTRlYmIwZjRiMWFhOTkyZTAifQ=="/>
  </w:docVars>
  <w:rsids>
    <w:rsidRoot w:val="00172A27"/>
    <w:rsid w:val="0000325E"/>
    <w:rsid w:val="000054D3"/>
    <w:rsid w:val="00016494"/>
    <w:rsid w:val="00016DA1"/>
    <w:rsid w:val="000408F3"/>
    <w:rsid w:val="00053DFD"/>
    <w:rsid w:val="0006101B"/>
    <w:rsid w:val="00062C9F"/>
    <w:rsid w:val="0006603B"/>
    <w:rsid w:val="00071023"/>
    <w:rsid w:val="0007103D"/>
    <w:rsid w:val="000726E7"/>
    <w:rsid w:val="00075D89"/>
    <w:rsid w:val="00085559"/>
    <w:rsid w:val="000A7A0E"/>
    <w:rsid w:val="000B4A07"/>
    <w:rsid w:val="000B5200"/>
    <w:rsid w:val="000B79AD"/>
    <w:rsid w:val="000C774C"/>
    <w:rsid w:val="000D1A96"/>
    <w:rsid w:val="000D2607"/>
    <w:rsid w:val="000D4B23"/>
    <w:rsid w:val="000F6DAA"/>
    <w:rsid w:val="0010043B"/>
    <w:rsid w:val="00104BC1"/>
    <w:rsid w:val="00106878"/>
    <w:rsid w:val="00113F36"/>
    <w:rsid w:val="0011736A"/>
    <w:rsid w:val="00121E27"/>
    <w:rsid w:val="00121E4B"/>
    <w:rsid w:val="00131ECD"/>
    <w:rsid w:val="00132EA1"/>
    <w:rsid w:val="001345DA"/>
    <w:rsid w:val="001410CC"/>
    <w:rsid w:val="00144ACC"/>
    <w:rsid w:val="00157A1C"/>
    <w:rsid w:val="00157AA9"/>
    <w:rsid w:val="001612E8"/>
    <w:rsid w:val="0016198A"/>
    <w:rsid w:val="00164354"/>
    <w:rsid w:val="00175D15"/>
    <w:rsid w:val="00192757"/>
    <w:rsid w:val="001943FA"/>
    <w:rsid w:val="001B3151"/>
    <w:rsid w:val="001C4076"/>
    <w:rsid w:val="001C6799"/>
    <w:rsid w:val="001C76AF"/>
    <w:rsid w:val="001D161E"/>
    <w:rsid w:val="001D2828"/>
    <w:rsid w:val="001E30E9"/>
    <w:rsid w:val="001E6C9F"/>
    <w:rsid w:val="001F13A7"/>
    <w:rsid w:val="001F7963"/>
    <w:rsid w:val="002008FF"/>
    <w:rsid w:val="00204E67"/>
    <w:rsid w:val="00205CE9"/>
    <w:rsid w:val="00207784"/>
    <w:rsid w:val="00207F85"/>
    <w:rsid w:val="0021076F"/>
    <w:rsid w:val="0022126B"/>
    <w:rsid w:val="00231148"/>
    <w:rsid w:val="00233757"/>
    <w:rsid w:val="00236713"/>
    <w:rsid w:val="00245FA3"/>
    <w:rsid w:val="002465F4"/>
    <w:rsid w:val="00251A51"/>
    <w:rsid w:val="0026634F"/>
    <w:rsid w:val="00266735"/>
    <w:rsid w:val="002717B5"/>
    <w:rsid w:val="002728BC"/>
    <w:rsid w:val="002873E6"/>
    <w:rsid w:val="002902DA"/>
    <w:rsid w:val="002936C1"/>
    <w:rsid w:val="00294B02"/>
    <w:rsid w:val="0029617C"/>
    <w:rsid w:val="002A004D"/>
    <w:rsid w:val="002B0C49"/>
    <w:rsid w:val="002C05F4"/>
    <w:rsid w:val="002C344B"/>
    <w:rsid w:val="002D06A9"/>
    <w:rsid w:val="002D6FA4"/>
    <w:rsid w:val="002E4186"/>
    <w:rsid w:val="002E7B95"/>
    <w:rsid w:val="002F3F88"/>
    <w:rsid w:val="002F40BA"/>
    <w:rsid w:val="00303A7A"/>
    <w:rsid w:val="00306487"/>
    <w:rsid w:val="003102C4"/>
    <w:rsid w:val="003139DA"/>
    <w:rsid w:val="00316AD5"/>
    <w:rsid w:val="003268E8"/>
    <w:rsid w:val="00330DED"/>
    <w:rsid w:val="003340A3"/>
    <w:rsid w:val="00342283"/>
    <w:rsid w:val="00346B74"/>
    <w:rsid w:val="00352468"/>
    <w:rsid w:val="00357D62"/>
    <w:rsid w:val="00362D45"/>
    <w:rsid w:val="00362E7E"/>
    <w:rsid w:val="0036363D"/>
    <w:rsid w:val="00363BD3"/>
    <w:rsid w:val="00366457"/>
    <w:rsid w:val="00366FA9"/>
    <w:rsid w:val="00372BAE"/>
    <w:rsid w:val="003774AB"/>
    <w:rsid w:val="00385EDD"/>
    <w:rsid w:val="003903F3"/>
    <w:rsid w:val="00392A05"/>
    <w:rsid w:val="00395FAC"/>
    <w:rsid w:val="003A3352"/>
    <w:rsid w:val="003A4350"/>
    <w:rsid w:val="003A48F0"/>
    <w:rsid w:val="003A57BD"/>
    <w:rsid w:val="003A60E6"/>
    <w:rsid w:val="003A72F5"/>
    <w:rsid w:val="003B0800"/>
    <w:rsid w:val="003B1E82"/>
    <w:rsid w:val="003B6532"/>
    <w:rsid w:val="003C7AA9"/>
    <w:rsid w:val="003D410B"/>
    <w:rsid w:val="003E01DC"/>
    <w:rsid w:val="003E1E61"/>
    <w:rsid w:val="003E4526"/>
    <w:rsid w:val="003E6787"/>
    <w:rsid w:val="003F6A43"/>
    <w:rsid w:val="00406CA1"/>
    <w:rsid w:val="00415718"/>
    <w:rsid w:val="00430E30"/>
    <w:rsid w:val="00432178"/>
    <w:rsid w:val="0043423A"/>
    <w:rsid w:val="0044144F"/>
    <w:rsid w:val="004470A1"/>
    <w:rsid w:val="00450A22"/>
    <w:rsid w:val="00461E96"/>
    <w:rsid w:val="0046477B"/>
    <w:rsid w:val="0046688D"/>
    <w:rsid w:val="00471E03"/>
    <w:rsid w:val="00492DB7"/>
    <w:rsid w:val="004941C3"/>
    <w:rsid w:val="0049577C"/>
    <w:rsid w:val="004A42AD"/>
    <w:rsid w:val="004A7F0C"/>
    <w:rsid w:val="004B2F4E"/>
    <w:rsid w:val="004B67DE"/>
    <w:rsid w:val="004C7F4C"/>
    <w:rsid w:val="004D097D"/>
    <w:rsid w:val="004D3E34"/>
    <w:rsid w:val="004E1BE4"/>
    <w:rsid w:val="004E598F"/>
    <w:rsid w:val="004F3657"/>
    <w:rsid w:val="005006A0"/>
    <w:rsid w:val="005007E8"/>
    <w:rsid w:val="00502D1E"/>
    <w:rsid w:val="00502EBE"/>
    <w:rsid w:val="00505E71"/>
    <w:rsid w:val="00516FC2"/>
    <w:rsid w:val="00516FC4"/>
    <w:rsid w:val="00520F93"/>
    <w:rsid w:val="00522E83"/>
    <w:rsid w:val="005235F4"/>
    <w:rsid w:val="00524AF9"/>
    <w:rsid w:val="00532A1F"/>
    <w:rsid w:val="0053591B"/>
    <w:rsid w:val="005368AE"/>
    <w:rsid w:val="00550A0C"/>
    <w:rsid w:val="0056489F"/>
    <w:rsid w:val="00570C05"/>
    <w:rsid w:val="005750D7"/>
    <w:rsid w:val="005777B6"/>
    <w:rsid w:val="005828AE"/>
    <w:rsid w:val="005B75C7"/>
    <w:rsid w:val="005C0614"/>
    <w:rsid w:val="005D56EA"/>
    <w:rsid w:val="005E4DBC"/>
    <w:rsid w:val="005E5905"/>
    <w:rsid w:val="005F0888"/>
    <w:rsid w:val="005F13A2"/>
    <w:rsid w:val="005F16B8"/>
    <w:rsid w:val="00602B35"/>
    <w:rsid w:val="00603231"/>
    <w:rsid w:val="00605462"/>
    <w:rsid w:val="00611719"/>
    <w:rsid w:val="00613666"/>
    <w:rsid w:val="00615592"/>
    <w:rsid w:val="006167C8"/>
    <w:rsid w:val="0062304E"/>
    <w:rsid w:val="00624B28"/>
    <w:rsid w:val="00632D09"/>
    <w:rsid w:val="006348E3"/>
    <w:rsid w:val="00641D6B"/>
    <w:rsid w:val="00643858"/>
    <w:rsid w:val="00643F7A"/>
    <w:rsid w:val="006509A6"/>
    <w:rsid w:val="0065184E"/>
    <w:rsid w:val="00672543"/>
    <w:rsid w:val="00682C45"/>
    <w:rsid w:val="00683FC2"/>
    <w:rsid w:val="00684869"/>
    <w:rsid w:val="0069098C"/>
    <w:rsid w:val="00691A51"/>
    <w:rsid w:val="00694DD4"/>
    <w:rsid w:val="006A294D"/>
    <w:rsid w:val="006A3D82"/>
    <w:rsid w:val="006A4FF1"/>
    <w:rsid w:val="006B1DD3"/>
    <w:rsid w:val="006C6218"/>
    <w:rsid w:val="006D5B88"/>
    <w:rsid w:val="006D7319"/>
    <w:rsid w:val="006D7817"/>
    <w:rsid w:val="006E6C0A"/>
    <w:rsid w:val="006F24B9"/>
    <w:rsid w:val="00717D52"/>
    <w:rsid w:val="0072262A"/>
    <w:rsid w:val="007257DB"/>
    <w:rsid w:val="00727EBE"/>
    <w:rsid w:val="00732DBC"/>
    <w:rsid w:val="007411E9"/>
    <w:rsid w:val="00743390"/>
    <w:rsid w:val="007473B7"/>
    <w:rsid w:val="00750710"/>
    <w:rsid w:val="00751EBD"/>
    <w:rsid w:val="0075437E"/>
    <w:rsid w:val="00755737"/>
    <w:rsid w:val="00755A38"/>
    <w:rsid w:val="00760888"/>
    <w:rsid w:val="007630BD"/>
    <w:rsid w:val="007674B2"/>
    <w:rsid w:val="0077280B"/>
    <w:rsid w:val="00775F84"/>
    <w:rsid w:val="00782BC0"/>
    <w:rsid w:val="00785518"/>
    <w:rsid w:val="007865B7"/>
    <w:rsid w:val="00787B30"/>
    <w:rsid w:val="007943FB"/>
    <w:rsid w:val="007A06EA"/>
    <w:rsid w:val="007A30FB"/>
    <w:rsid w:val="007A7353"/>
    <w:rsid w:val="007B05B3"/>
    <w:rsid w:val="007B08CA"/>
    <w:rsid w:val="007B0BBD"/>
    <w:rsid w:val="007B3169"/>
    <w:rsid w:val="007B3F0B"/>
    <w:rsid w:val="007B4157"/>
    <w:rsid w:val="007B431A"/>
    <w:rsid w:val="007B4436"/>
    <w:rsid w:val="007C22FD"/>
    <w:rsid w:val="007C656F"/>
    <w:rsid w:val="007C6B3D"/>
    <w:rsid w:val="007D1FF8"/>
    <w:rsid w:val="007D683C"/>
    <w:rsid w:val="007E49E7"/>
    <w:rsid w:val="007E5AE8"/>
    <w:rsid w:val="007F7781"/>
    <w:rsid w:val="00804320"/>
    <w:rsid w:val="008062B2"/>
    <w:rsid w:val="00810166"/>
    <w:rsid w:val="0081601E"/>
    <w:rsid w:val="008200B9"/>
    <w:rsid w:val="0082031B"/>
    <w:rsid w:val="008266C8"/>
    <w:rsid w:val="00826AFC"/>
    <w:rsid w:val="00833471"/>
    <w:rsid w:val="00833A98"/>
    <w:rsid w:val="008359A0"/>
    <w:rsid w:val="008440C0"/>
    <w:rsid w:val="00862E04"/>
    <w:rsid w:val="0086473D"/>
    <w:rsid w:val="00865A03"/>
    <w:rsid w:val="00867A22"/>
    <w:rsid w:val="00870854"/>
    <w:rsid w:val="00871487"/>
    <w:rsid w:val="008733E4"/>
    <w:rsid w:val="00882D9E"/>
    <w:rsid w:val="0088624C"/>
    <w:rsid w:val="00890A35"/>
    <w:rsid w:val="00894CAD"/>
    <w:rsid w:val="00896014"/>
    <w:rsid w:val="008A03C0"/>
    <w:rsid w:val="008A5BCD"/>
    <w:rsid w:val="008A671F"/>
    <w:rsid w:val="008A7431"/>
    <w:rsid w:val="008A7F0D"/>
    <w:rsid w:val="008B02D3"/>
    <w:rsid w:val="008B09AF"/>
    <w:rsid w:val="008C1148"/>
    <w:rsid w:val="008C5A98"/>
    <w:rsid w:val="008C7C58"/>
    <w:rsid w:val="008D2D0E"/>
    <w:rsid w:val="008D35DB"/>
    <w:rsid w:val="008F179F"/>
    <w:rsid w:val="008F37FA"/>
    <w:rsid w:val="008F427C"/>
    <w:rsid w:val="008F7D34"/>
    <w:rsid w:val="00900BDF"/>
    <w:rsid w:val="009031AB"/>
    <w:rsid w:val="00915CC5"/>
    <w:rsid w:val="00916EE1"/>
    <w:rsid w:val="00920528"/>
    <w:rsid w:val="00923514"/>
    <w:rsid w:val="009245AE"/>
    <w:rsid w:val="00925839"/>
    <w:rsid w:val="00925FEC"/>
    <w:rsid w:val="00927C33"/>
    <w:rsid w:val="009320C9"/>
    <w:rsid w:val="009328E7"/>
    <w:rsid w:val="00935678"/>
    <w:rsid w:val="0093569B"/>
    <w:rsid w:val="0094016C"/>
    <w:rsid w:val="009433B0"/>
    <w:rsid w:val="00960FDF"/>
    <w:rsid w:val="0097298E"/>
    <w:rsid w:val="0097677A"/>
    <w:rsid w:val="00990A31"/>
    <w:rsid w:val="00990BD8"/>
    <w:rsid w:val="0099241A"/>
    <w:rsid w:val="009938CE"/>
    <w:rsid w:val="0099446A"/>
    <w:rsid w:val="00994A91"/>
    <w:rsid w:val="00996058"/>
    <w:rsid w:val="009A10F0"/>
    <w:rsid w:val="009A1382"/>
    <w:rsid w:val="009A43CD"/>
    <w:rsid w:val="009A7AD7"/>
    <w:rsid w:val="009A7E41"/>
    <w:rsid w:val="009B1B84"/>
    <w:rsid w:val="009B4595"/>
    <w:rsid w:val="009B5434"/>
    <w:rsid w:val="009B7170"/>
    <w:rsid w:val="009C097B"/>
    <w:rsid w:val="009C42ED"/>
    <w:rsid w:val="009C5338"/>
    <w:rsid w:val="009D0289"/>
    <w:rsid w:val="009D1F01"/>
    <w:rsid w:val="009D62B0"/>
    <w:rsid w:val="009E4256"/>
    <w:rsid w:val="009E43B9"/>
    <w:rsid w:val="009E5D7B"/>
    <w:rsid w:val="009F0D85"/>
    <w:rsid w:val="009F5A3E"/>
    <w:rsid w:val="00A05435"/>
    <w:rsid w:val="00A1005B"/>
    <w:rsid w:val="00A130AF"/>
    <w:rsid w:val="00A16530"/>
    <w:rsid w:val="00A16987"/>
    <w:rsid w:val="00A17730"/>
    <w:rsid w:val="00A210B5"/>
    <w:rsid w:val="00A25F22"/>
    <w:rsid w:val="00A262B8"/>
    <w:rsid w:val="00A26A01"/>
    <w:rsid w:val="00A3385C"/>
    <w:rsid w:val="00A33BF5"/>
    <w:rsid w:val="00A40F92"/>
    <w:rsid w:val="00A50FBC"/>
    <w:rsid w:val="00A56459"/>
    <w:rsid w:val="00A6669D"/>
    <w:rsid w:val="00A76ABF"/>
    <w:rsid w:val="00A96A9B"/>
    <w:rsid w:val="00AA02B1"/>
    <w:rsid w:val="00AA4DB8"/>
    <w:rsid w:val="00AA70F6"/>
    <w:rsid w:val="00AB2A21"/>
    <w:rsid w:val="00AC0C58"/>
    <w:rsid w:val="00AC54FA"/>
    <w:rsid w:val="00AD455D"/>
    <w:rsid w:val="00AD64BB"/>
    <w:rsid w:val="00AE286E"/>
    <w:rsid w:val="00AE7D2F"/>
    <w:rsid w:val="00B01615"/>
    <w:rsid w:val="00B03609"/>
    <w:rsid w:val="00B0596D"/>
    <w:rsid w:val="00B10F62"/>
    <w:rsid w:val="00B11643"/>
    <w:rsid w:val="00B14BFE"/>
    <w:rsid w:val="00B21A7B"/>
    <w:rsid w:val="00B2309A"/>
    <w:rsid w:val="00B35D5D"/>
    <w:rsid w:val="00B408BC"/>
    <w:rsid w:val="00B4138E"/>
    <w:rsid w:val="00B47071"/>
    <w:rsid w:val="00B47198"/>
    <w:rsid w:val="00B5563A"/>
    <w:rsid w:val="00B565FE"/>
    <w:rsid w:val="00B611EE"/>
    <w:rsid w:val="00B66768"/>
    <w:rsid w:val="00B708B1"/>
    <w:rsid w:val="00B74418"/>
    <w:rsid w:val="00B757D0"/>
    <w:rsid w:val="00B82434"/>
    <w:rsid w:val="00B82EA6"/>
    <w:rsid w:val="00B83B6D"/>
    <w:rsid w:val="00B858BD"/>
    <w:rsid w:val="00BA44C6"/>
    <w:rsid w:val="00BA4E21"/>
    <w:rsid w:val="00BB08A1"/>
    <w:rsid w:val="00BB5C0D"/>
    <w:rsid w:val="00BC1BA7"/>
    <w:rsid w:val="00BC452C"/>
    <w:rsid w:val="00BD1973"/>
    <w:rsid w:val="00BD7CC5"/>
    <w:rsid w:val="00BE5E3B"/>
    <w:rsid w:val="00BF2172"/>
    <w:rsid w:val="00BF21A9"/>
    <w:rsid w:val="00BF6030"/>
    <w:rsid w:val="00C03151"/>
    <w:rsid w:val="00C03C98"/>
    <w:rsid w:val="00C044AE"/>
    <w:rsid w:val="00C21BE0"/>
    <w:rsid w:val="00C22279"/>
    <w:rsid w:val="00C24346"/>
    <w:rsid w:val="00C273FB"/>
    <w:rsid w:val="00C30AB1"/>
    <w:rsid w:val="00C33180"/>
    <w:rsid w:val="00C42157"/>
    <w:rsid w:val="00C50335"/>
    <w:rsid w:val="00C50B5A"/>
    <w:rsid w:val="00C516B0"/>
    <w:rsid w:val="00C53B05"/>
    <w:rsid w:val="00C61FB3"/>
    <w:rsid w:val="00C62ADB"/>
    <w:rsid w:val="00C64C4D"/>
    <w:rsid w:val="00C8025E"/>
    <w:rsid w:val="00C81641"/>
    <w:rsid w:val="00C82091"/>
    <w:rsid w:val="00C828F2"/>
    <w:rsid w:val="00C82D20"/>
    <w:rsid w:val="00C85804"/>
    <w:rsid w:val="00C86E7F"/>
    <w:rsid w:val="00C90E7C"/>
    <w:rsid w:val="00C93CF4"/>
    <w:rsid w:val="00C9438C"/>
    <w:rsid w:val="00C94C63"/>
    <w:rsid w:val="00CA3109"/>
    <w:rsid w:val="00CB360E"/>
    <w:rsid w:val="00CB5DCD"/>
    <w:rsid w:val="00CB677B"/>
    <w:rsid w:val="00CC59B6"/>
    <w:rsid w:val="00CD426D"/>
    <w:rsid w:val="00CE3AA5"/>
    <w:rsid w:val="00CE5CC8"/>
    <w:rsid w:val="00CF77C1"/>
    <w:rsid w:val="00D036AA"/>
    <w:rsid w:val="00D06FDC"/>
    <w:rsid w:val="00D11CC7"/>
    <w:rsid w:val="00D135A1"/>
    <w:rsid w:val="00D14B92"/>
    <w:rsid w:val="00D209A4"/>
    <w:rsid w:val="00D223A8"/>
    <w:rsid w:val="00D2505F"/>
    <w:rsid w:val="00D278C8"/>
    <w:rsid w:val="00D27C83"/>
    <w:rsid w:val="00D3093A"/>
    <w:rsid w:val="00D31403"/>
    <w:rsid w:val="00D368DF"/>
    <w:rsid w:val="00D41787"/>
    <w:rsid w:val="00D42769"/>
    <w:rsid w:val="00D44F18"/>
    <w:rsid w:val="00D46971"/>
    <w:rsid w:val="00D579AB"/>
    <w:rsid w:val="00D57D98"/>
    <w:rsid w:val="00D63C51"/>
    <w:rsid w:val="00D6456A"/>
    <w:rsid w:val="00D71AA7"/>
    <w:rsid w:val="00D81E23"/>
    <w:rsid w:val="00D81FC5"/>
    <w:rsid w:val="00D8720A"/>
    <w:rsid w:val="00D87E13"/>
    <w:rsid w:val="00DA1D08"/>
    <w:rsid w:val="00DA3261"/>
    <w:rsid w:val="00DA680C"/>
    <w:rsid w:val="00DB00E0"/>
    <w:rsid w:val="00DB0801"/>
    <w:rsid w:val="00DB29E3"/>
    <w:rsid w:val="00DB41D2"/>
    <w:rsid w:val="00DC3BD3"/>
    <w:rsid w:val="00DC5012"/>
    <w:rsid w:val="00DD1F42"/>
    <w:rsid w:val="00DD43B5"/>
    <w:rsid w:val="00DD4E48"/>
    <w:rsid w:val="00DD5E3B"/>
    <w:rsid w:val="00DE799A"/>
    <w:rsid w:val="00DF324E"/>
    <w:rsid w:val="00DF6BA0"/>
    <w:rsid w:val="00E00981"/>
    <w:rsid w:val="00E060E1"/>
    <w:rsid w:val="00E07A76"/>
    <w:rsid w:val="00E07B79"/>
    <w:rsid w:val="00E13189"/>
    <w:rsid w:val="00E15DBB"/>
    <w:rsid w:val="00E20479"/>
    <w:rsid w:val="00E21E13"/>
    <w:rsid w:val="00E279B9"/>
    <w:rsid w:val="00E32C31"/>
    <w:rsid w:val="00E406F5"/>
    <w:rsid w:val="00E426F2"/>
    <w:rsid w:val="00E46C2C"/>
    <w:rsid w:val="00E5401D"/>
    <w:rsid w:val="00E54253"/>
    <w:rsid w:val="00E56B38"/>
    <w:rsid w:val="00E81AFA"/>
    <w:rsid w:val="00E83AF4"/>
    <w:rsid w:val="00E87D8B"/>
    <w:rsid w:val="00E9485A"/>
    <w:rsid w:val="00E968AD"/>
    <w:rsid w:val="00E96DFE"/>
    <w:rsid w:val="00EA0528"/>
    <w:rsid w:val="00EA1624"/>
    <w:rsid w:val="00EA7621"/>
    <w:rsid w:val="00EA7C9D"/>
    <w:rsid w:val="00EB220E"/>
    <w:rsid w:val="00EB2407"/>
    <w:rsid w:val="00EB2718"/>
    <w:rsid w:val="00EC0D9A"/>
    <w:rsid w:val="00EC51EF"/>
    <w:rsid w:val="00EC6FF2"/>
    <w:rsid w:val="00EE15FB"/>
    <w:rsid w:val="00EE7A3F"/>
    <w:rsid w:val="00EF19D4"/>
    <w:rsid w:val="00EF78C7"/>
    <w:rsid w:val="00F01C6E"/>
    <w:rsid w:val="00F12CC3"/>
    <w:rsid w:val="00F20F05"/>
    <w:rsid w:val="00F21691"/>
    <w:rsid w:val="00F21DE4"/>
    <w:rsid w:val="00F23991"/>
    <w:rsid w:val="00F27400"/>
    <w:rsid w:val="00F3062A"/>
    <w:rsid w:val="00F30D25"/>
    <w:rsid w:val="00F33523"/>
    <w:rsid w:val="00F337A8"/>
    <w:rsid w:val="00F41132"/>
    <w:rsid w:val="00F47B3C"/>
    <w:rsid w:val="00F50EC7"/>
    <w:rsid w:val="00F57FBC"/>
    <w:rsid w:val="00F63086"/>
    <w:rsid w:val="00F81AB4"/>
    <w:rsid w:val="00F83D74"/>
    <w:rsid w:val="00F85127"/>
    <w:rsid w:val="00F87D2F"/>
    <w:rsid w:val="00FA1155"/>
    <w:rsid w:val="00FA6EAB"/>
    <w:rsid w:val="00FB44B7"/>
    <w:rsid w:val="00FB689D"/>
    <w:rsid w:val="00FC0F37"/>
    <w:rsid w:val="00FC7D7F"/>
    <w:rsid w:val="00FE0CD6"/>
    <w:rsid w:val="00FE35F3"/>
    <w:rsid w:val="00FF0143"/>
    <w:rsid w:val="00FF1BC0"/>
    <w:rsid w:val="00FF2FBD"/>
    <w:rsid w:val="00FF4DB4"/>
    <w:rsid w:val="011B6997"/>
    <w:rsid w:val="017215A0"/>
    <w:rsid w:val="020B29CE"/>
    <w:rsid w:val="027A42BA"/>
    <w:rsid w:val="02AD151D"/>
    <w:rsid w:val="02F96E2E"/>
    <w:rsid w:val="03C03826"/>
    <w:rsid w:val="04D16936"/>
    <w:rsid w:val="06015FF4"/>
    <w:rsid w:val="06682FFE"/>
    <w:rsid w:val="09B14274"/>
    <w:rsid w:val="0B0761B2"/>
    <w:rsid w:val="0D1C2EBC"/>
    <w:rsid w:val="0D7942FB"/>
    <w:rsid w:val="0D807CBF"/>
    <w:rsid w:val="0EB977F0"/>
    <w:rsid w:val="0F9B1B2A"/>
    <w:rsid w:val="10024434"/>
    <w:rsid w:val="10E62D7D"/>
    <w:rsid w:val="1127244D"/>
    <w:rsid w:val="12A165D1"/>
    <w:rsid w:val="1379487D"/>
    <w:rsid w:val="138542ED"/>
    <w:rsid w:val="13D42FA1"/>
    <w:rsid w:val="152C32B0"/>
    <w:rsid w:val="160D754A"/>
    <w:rsid w:val="163013EF"/>
    <w:rsid w:val="165247B2"/>
    <w:rsid w:val="169B124D"/>
    <w:rsid w:val="174F47CC"/>
    <w:rsid w:val="17920481"/>
    <w:rsid w:val="194F2F49"/>
    <w:rsid w:val="1A817DD5"/>
    <w:rsid w:val="1ADE7F1B"/>
    <w:rsid w:val="1B5403D6"/>
    <w:rsid w:val="1B7B7613"/>
    <w:rsid w:val="1C9B6FE1"/>
    <w:rsid w:val="1D460D5D"/>
    <w:rsid w:val="1E1C4369"/>
    <w:rsid w:val="1E5D2F0B"/>
    <w:rsid w:val="1F2C53CF"/>
    <w:rsid w:val="20180CF8"/>
    <w:rsid w:val="21BC0E48"/>
    <w:rsid w:val="21C27569"/>
    <w:rsid w:val="22DF031F"/>
    <w:rsid w:val="23DC6822"/>
    <w:rsid w:val="247B1377"/>
    <w:rsid w:val="2653442A"/>
    <w:rsid w:val="267007A4"/>
    <w:rsid w:val="272C067E"/>
    <w:rsid w:val="283205FE"/>
    <w:rsid w:val="28F16C89"/>
    <w:rsid w:val="29F82303"/>
    <w:rsid w:val="2B62646F"/>
    <w:rsid w:val="2B68623A"/>
    <w:rsid w:val="2BB21EB6"/>
    <w:rsid w:val="2BC77973"/>
    <w:rsid w:val="2C811F51"/>
    <w:rsid w:val="2C8303C3"/>
    <w:rsid w:val="2C844918"/>
    <w:rsid w:val="2DF54A4E"/>
    <w:rsid w:val="2EB931C8"/>
    <w:rsid w:val="2EFF6701"/>
    <w:rsid w:val="2F745341"/>
    <w:rsid w:val="30006E9F"/>
    <w:rsid w:val="305F706C"/>
    <w:rsid w:val="31576CC8"/>
    <w:rsid w:val="319E3992"/>
    <w:rsid w:val="31C31656"/>
    <w:rsid w:val="32464089"/>
    <w:rsid w:val="325C0328"/>
    <w:rsid w:val="32C51A10"/>
    <w:rsid w:val="33A41EA1"/>
    <w:rsid w:val="33E71D4E"/>
    <w:rsid w:val="34E81710"/>
    <w:rsid w:val="353B7D69"/>
    <w:rsid w:val="38F134DE"/>
    <w:rsid w:val="39957861"/>
    <w:rsid w:val="3B14683D"/>
    <w:rsid w:val="3BC12B25"/>
    <w:rsid w:val="3C8E169A"/>
    <w:rsid w:val="3D862CFF"/>
    <w:rsid w:val="3DFB1545"/>
    <w:rsid w:val="406D754E"/>
    <w:rsid w:val="41570042"/>
    <w:rsid w:val="42DA449F"/>
    <w:rsid w:val="433F5E31"/>
    <w:rsid w:val="43CD66B5"/>
    <w:rsid w:val="43D2534F"/>
    <w:rsid w:val="43FA2943"/>
    <w:rsid w:val="444C0DBE"/>
    <w:rsid w:val="447C3FF6"/>
    <w:rsid w:val="44983428"/>
    <w:rsid w:val="44AE0556"/>
    <w:rsid w:val="45844D4C"/>
    <w:rsid w:val="459A0A15"/>
    <w:rsid w:val="45F22EA2"/>
    <w:rsid w:val="46486CE8"/>
    <w:rsid w:val="46A65F47"/>
    <w:rsid w:val="46C11443"/>
    <w:rsid w:val="46CC5F43"/>
    <w:rsid w:val="46E066EC"/>
    <w:rsid w:val="46EB5889"/>
    <w:rsid w:val="46FC6968"/>
    <w:rsid w:val="4875243C"/>
    <w:rsid w:val="495C4AEC"/>
    <w:rsid w:val="4A66039D"/>
    <w:rsid w:val="4ABF170F"/>
    <w:rsid w:val="4B4D351F"/>
    <w:rsid w:val="4BDB45DA"/>
    <w:rsid w:val="4C8A3A49"/>
    <w:rsid w:val="4CA22890"/>
    <w:rsid w:val="4DBC0187"/>
    <w:rsid w:val="4F5601C4"/>
    <w:rsid w:val="4F5635EC"/>
    <w:rsid w:val="4F5B3B3D"/>
    <w:rsid w:val="50F45D2D"/>
    <w:rsid w:val="510507A1"/>
    <w:rsid w:val="513503C7"/>
    <w:rsid w:val="51714DE5"/>
    <w:rsid w:val="51851054"/>
    <w:rsid w:val="51D35483"/>
    <w:rsid w:val="52B14403"/>
    <w:rsid w:val="53DF5C7A"/>
    <w:rsid w:val="53F13BFB"/>
    <w:rsid w:val="54545DB4"/>
    <w:rsid w:val="548B28D5"/>
    <w:rsid w:val="55A04711"/>
    <w:rsid w:val="56293842"/>
    <w:rsid w:val="572C4477"/>
    <w:rsid w:val="59F87B5A"/>
    <w:rsid w:val="5A336E85"/>
    <w:rsid w:val="5A6571AC"/>
    <w:rsid w:val="5B34461C"/>
    <w:rsid w:val="5B8535D1"/>
    <w:rsid w:val="5D691E0C"/>
    <w:rsid w:val="5E580329"/>
    <w:rsid w:val="5F316194"/>
    <w:rsid w:val="5F973139"/>
    <w:rsid w:val="5FB82833"/>
    <w:rsid w:val="60456203"/>
    <w:rsid w:val="60673B2C"/>
    <w:rsid w:val="607B7E14"/>
    <w:rsid w:val="60FF4766"/>
    <w:rsid w:val="615B44DB"/>
    <w:rsid w:val="62256976"/>
    <w:rsid w:val="63981958"/>
    <w:rsid w:val="639C37C7"/>
    <w:rsid w:val="63E3649F"/>
    <w:rsid w:val="6412262E"/>
    <w:rsid w:val="642445A4"/>
    <w:rsid w:val="65400BC2"/>
    <w:rsid w:val="659348BB"/>
    <w:rsid w:val="65E21DBF"/>
    <w:rsid w:val="663B2396"/>
    <w:rsid w:val="66AD0F41"/>
    <w:rsid w:val="671F0635"/>
    <w:rsid w:val="68EE008B"/>
    <w:rsid w:val="68FA0EB0"/>
    <w:rsid w:val="692F35E7"/>
    <w:rsid w:val="69980AEC"/>
    <w:rsid w:val="699A7243"/>
    <w:rsid w:val="6A9A0475"/>
    <w:rsid w:val="6AB2054A"/>
    <w:rsid w:val="6CE4168C"/>
    <w:rsid w:val="6D343F39"/>
    <w:rsid w:val="6DA24FC4"/>
    <w:rsid w:val="6DCE0D50"/>
    <w:rsid w:val="6DCF4F15"/>
    <w:rsid w:val="6E94344D"/>
    <w:rsid w:val="6E985EFD"/>
    <w:rsid w:val="70E726B1"/>
    <w:rsid w:val="72991A9E"/>
    <w:rsid w:val="73BD13F3"/>
    <w:rsid w:val="73F764ED"/>
    <w:rsid w:val="74035608"/>
    <w:rsid w:val="74634912"/>
    <w:rsid w:val="766A0C95"/>
    <w:rsid w:val="77244524"/>
    <w:rsid w:val="777E0807"/>
    <w:rsid w:val="77B03B14"/>
    <w:rsid w:val="78130493"/>
    <w:rsid w:val="79377D2E"/>
    <w:rsid w:val="797C37B2"/>
    <w:rsid w:val="798E67C2"/>
    <w:rsid w:val="7B8427B5"/>
    <w:rsid w:val="7BE44263"/>
    <w:rsid w:val="7C5A1584"/>
    <w:rsid w:val="7E127B7F"/>
    <w:rsid w:val="7F6B553C"/>
    <w:rsid w:val="7FD94D28"/>
    <w:rsid w:val="7FFD78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qFormat="1" w:uiPriority="99" w:semiHidden="0" w:name="envelope return" w:locked="1"/>
    <w:lsdException w:qFormat="1" w:unhideWhenUsed="0" w:uiPriority="0" w:name="footnote reference"/>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iPriority="99" w:semiHidden="0" w:name="toa heading" w:locked="1"/>
    <w:lsdException w:qFormat="1" w:unhideWhenUsed="0" w:uiPriority="0" w:semiHidden="0" w:name="List"/>
    <w:lsdException w:unhideWhenUsed="0" w:uiPriority="0" w:semiHidden="0" w:name="List Bullet" w:locked="1"/>
    <w:lsdException w:unhideWhenUsed="0" w:uiPriority="0" w:semiHidden="0"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nhideWhenUsed="0" w:uiPriority="0" w:semiHidden="0" w:name="Note Heading" w:locked="1"/>
    <w:lsdException w:qFormat="1" w:unhideWhenUsed="0" w:uiPriority="0" w:semiHidden="0" w:name="Body Text 2"/>
    <w:lsdException w:unhideWhenUsed="0" w:uiPriority="0" w:semiHidden="0" w:name="Body Text 3" w:locked="1"/>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qFormat/>
    <w:uiPriority w:val="0"/>
    <w:pPr>
      <w:keepNext/>
      <w:keepLines/>
      <w:numPr>
        <w:ilvl w:val="0"/>
        <w:numId w:val="1"/>
      </w:numPr>
      <w:adjustRightInd w:val="0"/>
      <w:spacing w:before="340" w:beforeLines="0" w:after="330" w:afterLines="0" w:line="578" w:lineRule="atLeast"/>
      <w:textAlignment w:val="baseline"/>
      <w:outlineLvl w:val="0"/>
    </w:pPr>
    <w:rPr>
      <w:b/>
      <w:kern w:val="44"/>
      <w:sz w:val="44"/>
    </w:rPr>
  </w:style>
  <w:style w:type="paragraph" w:styleId="4">
    <w:name w:val="heading 2"/>
    <w:basedOn w:val="1"/>
    <w:next w:val="1"/>
    <w:link w:val="60"/>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rPr>
  </w:style>
  <w:style w:type="paragraph" w:styleId="5">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rPr>
  </w:style>
  <w:style w:type="paragraph" w:styleId="6">
    <w:name w:val="heading 4"/>
    <w:basedOn w:val="1"/>
    <w:next w:val="1"/>
    <w:link w:val="61"/>
    <w:qFormat/>
    <w:uiPriority w:val="0"/>
    <w:pPr>
      <w:keepNext/>
      <w:keepLines/>
      <w:adjustRightInd w:val="0"/>
      <w:spacing w:before="280" w:beforeLines="0" w:after="290" w:afterLines="0" w:line="376" w:lineRule="atLeast"/>
      <w:textAlignment w:val="baseline"/>
      <w:outlineLvl w:val="3"/>
    </w:pPr>
    <w:rPr>
      <w:rFonts w:ascii="Arial" w:hAnsi="Arial" w:eastAsia="黑体"/>
      <w:b/>
      <w:sz w:val="28"/>
    </w:rPr>
  </w:style>
  <w:style w:type="paragraph" w:styleId="7">
    <w:name w:val="heading 5"/>
    <w:basedOn w:val="1"/>
    <w:next w:val="1"/>
    <w:qFormat/>
    <w:uiPriority w:val="0"/>
    <w:pPr>
      <w:keepNext/>
      <w:keepLines/>
      <w:adjustRightInd w:val="0"/>
      <w:spacing w:before="280" w:beforeLines="0" w:after="290" w:afterLines="0" w:line="376" w:lineRule="atLeast"/>
      <w:textAlignment w:val="baseline"/>
      <w:outlineLvl w:val="4"/>
    </w:pPr>
    <w:rPr>
      <w:b/>
      <w:kern w:val="0"/>
      <w:sz w:val="28"/>
    </w:rPr>
  </w:style>
  <w:style w:type="paragraph" w:styleId="8">
    <w:name w:val="heading 6"/>
    <w:basedOn w:val="1"/>
    <w:next w:val="1"/>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beforeLines="0" w:after="64" w:afterLines="0" w:line="320" w:lineRule="atLeast"/>
      <w:textAlignment w:val="baseline"/>
      <w:outlineLvl w:val="6"/>
    </w:pPr>
    <w:rPr>
      <w:b/>
      <w:kern w:val="0"/>
      <w:sz w:val="24"/>
    </w:rPr>
  </w:style>
  <w:style w:type="paragraph" w:styleId="10">
    <w:name w:val="heading 8"/>
    <w:basedOn w:val="1"/>
    <w:next w:val="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beforeLines="0" w:after="64" w:afterLines="0" w:line="320" w:lineRule="atLeast"/>
      <w:textAlignment w:val="baseline"/>
      <w:outlineLvl w:val="8"/>
    </w:pPr>
    <w:rPr>
      <w:rFonts w:ascii="Arial" w:hAnsi="Arial" w:eastAsia="黑体"/>
      <w:kern w:val="0"/>
    </w:rPr>
  </w:style>
  <w:style w:type="character" w:default="1" w:styleId="54">
    <w:name w:val="Default Paragraph Font"/>
    <w:semiHidden/>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rPr>
      <w:sz w:val="18"/>
    </w:rPr>
  </w:style>
  <w:style w:type="paragraph" w:styleId="14">
    <w:name w:val="Normal Indent"/>
    <w:basedOn w:val="1"/>
    <w:link w:val="62"/>
    <w:qFormat/>
    <w:uiPriority w:val="0"/>
    <w:pPr>
      <w:ind w:firstLine="420"/>
    </w:pPr>
  </w:style>
  <w:style w:type="paragraph" w:styleId="15">
    <w:name w:val="Document Map"/>
    <w:basedOn w:val="1"/>
    <w:semiHidden/>
    <w:qFormat/>
    <w:uiPriority w:val="0"/>
    <w:pPr>
      <w:shd w:val="clear" w:color="auto" w:fill="000080"/>
    </w:pPr>
  </w:style>
  <w:style w:type="paragraph" w:styleId="16">
    <w:name w:val="toa heading"/>
    <w:basedOn w:val="1"/>
    <w:next w:val="1"/>
    <w:unhideWhenUsed/>
    <w:qFormat/>
    <w:locked/>
    <w:uiPriority w:val="99"/>
    <w:pPr>
      <w:spacing w:before="120"/>
    </w:pPr>
    <w:rPr>
      <w:rFonts w:ascii="Cambria" w:hAnsi="Cambria" w:eastAsia="宋体" w:cs="Times New Roman"/>
      <w:sz w:val="24"/>
    </w:rPr>
  </w:style>
  <w:style w:type="paragraph" w:styleId="17">
    <w:name w:val="annotation text"/>
    <w:basedOn w:val="1"/>
    <w:link w:val="63"/>
    <w:semiHidden/>
    <w:qFormat/>
    <w:uiPriority w:val="0"/>
    <w:pPr>
      <w:jc w:val="left"/>
    </w:pPr>
  </w:style>
  <w:style w:type="paragraph" w:styleId="18">
    <w:name w:val="Body Text Indent"/>
    <w:basedOn w:val="1"/>
    <w:next w:val="19"/>
    <w:link w:val="64"/>
    <w:qFormat/>
    <w:uiPriority w:val="0"/>
    <w:pPr>
      <w:spacing w:after="156" w:afterLines="0"/>
      <w:ind w:firstLine="480"/>
    </w:pPr>
    <w:rPr>
      <w:sz w:val="24"/>
    </w:rPr>
  </w:style>
  <w:style w:type="paragraph" w:styleId="19">
    <w:name w:val="envelope return"/>
    <w:basedOn w:val="1"/>
    <w:unhideWhenUsed/>
    <w:qFormat/>
    <w:locked/>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List Continue"/>
    <w:basedOn w:val="1"/>
    <w:qFormat/>
    <w:uiPriority w:val="0"/>
    <w:pPr>
      <w:spacing w:after="120" w:afterLines="0"/>
      <w:ind w:left="420" w:leftChars="200"/>
    </w:pPr>
  </w:style>
  <w:style w:type="paragraph" w:styleId="22">
    <w:name w:val="Block Text"/>
    <w:basedOn w:val="1"/>
    <w:qFormat/>
    <w:uiPriority w:val="0"/>
    <w:pPr>
      <w:autoSpaceDE w:val="0"/>
      <w:autoSpaceDN w:val="0"/>
      <w:adjustRightInd w:val="0"/>
      <w:spacing w:line="300" w:lineRule="auto"/>
      <w:ind w:left="29" w:leftChars="12" w:right="6" w:firstLine="560" w:firstLineChars="200"/>
    </w:pPr>
    <w:rPr>
      <w:kern w:val="0"/>
      <w:sz w:val="28"/>
    </w:rPr>
  </w:style>
  <w:style w:type="paragraph" w:styleId="23">
    <w:name w:val="toc 5"/>
    <w:basedOn w:val="1"/>
    <w:next w:val="1"/>
    <w:semiHidden/>
    <w:qFormat/>
    <w:uiPriority w:val="0"/>
    <w:pPr>
      <w:ind w:left="840"/>
      <w:jc w:val="left"/>
    </w:pPr>
    <w:rPr>
      <w:sz w:val="18"/>
    </w:rPr>
  </w:style>
  <w:style w:type="paragraph" w:styleId="24">
    <w:name w:val="toc 3"/>
    <w:basedOn w:val="1"/>
    <w:next w:val="1"/>
    <w:qFormat/>
    <w:uiPriority w:val="0"/>
    <w:pPr>
      <w:ind w:left="420"/>
      <w:jc w:val="left"/>
    </w:pPr>
    <w:rPr>
      <w:i/>
      <w:sz w:val="20"/>
    </w:rPr>
  </w:style>
  <w:style w:type="paragraph" w:styleId="25">
    <w:name w:val="Plain Text"/>
    <w:basedOn w:val="1"/>
    <w:qFormat/>
    <w:uiPriority w:val="0"/>
    <w:rPr>
      <w:rFonts w:ascii="宋体" w:hAnsi="Courier New"/>
    </w:rPr>
  </w:style>
  <w:style w:type="paragraph" w:styleId="26">
    <w:name w:val="toc 8"/>
    <w:basedOn w:val="1"/>
    <w:next w:val="1"/>
    <w:semiHidden/>
    <w:qFormat/>
    <w:uiPriority w:val="0"/>
    <w:pPr>
      <w:ind w:left="1470"/>
      <w:jc w:val="left"/>
    </w:pPr>
    <w:rPr>
      <w:sz w:val="18"/>
    </w:rPr>
  </w:style>
  <w:style w:type="paragraph" w:styleId="27">
    <w:name w:val="Date"/>
    <w:basedOn w:val="1"/>
    <w:next w:val="1"/>
    <w:qFormat/>
    <w:uiPriority w:val="0"/>
    <w:pPr>
      <w:widowControl/>
      <w:ind w:left="100"/>
      <w:jc w:val="left"/>
    </w:pPr>
    <w:rPr>
      <w:rFonts w:ascii="宋体" w:hAnsi="宋体"/>
      <w:kern w:val="0"/>
      <w:sz w:val="28"/>
    </w:rPr>
  </w:style>
  <w:style w:type="paragraph" w:styleId="28">
    <w:name w:val="Body Text Indent 2"/>
    <w:basedOn w:val="1"/>
    <w:qFormat/>
    <w:uiPriority w:val="0"/>
    <w:pPr>
      <w:ind w:left="1436" w:leftChars="684"/>
    </w:pPr>
    <w:rPr>
      <w:sz w:val="24"/>
    </w:rPr>
  </w:style>
  <w:style w:type="paragraph" w:styleId="29">
    <w:name w:val="List Continue 5"/>
    <w:basedOn w:val="1"/>
    <w:qFormat/>
    <w:uiPriority w:val="0"/>
    <w:pPr>
      <w:spacing w:after="120" w:afterLines="0"/>
      <w:ind w:left="2100" w:leftChars="1000"/>
    </w:pPr>
  </w:style>
  <w:style w:type="paragraph" w:styleId="30">
    <w:name w:val="Balloon Text"/>
    <w:basedOn w:val="1"/>
    <w:link w:val="65"/>
    <w:semiHidden/>
    <w:qFormat/>
    <w:uiPriority w:val="0"/>
    <w:rPr>
      <w:sz w:val="18"/>
    </w:rPr>
  </w:style>
  <w:style w:type="paragraph" w:styleId="31">
    <w:name w:val="footer"/>
    <w:basedOn w:val="1"/>
    <w:link w:val="66"/>
    <w:qFormat/>
    <w:uiPriority w:val="99"/>
    <w:pPr>
      <w:tabs>
        <w:tab w:val="center" w:pos="4153"/>
        <w:tab w:val="right" w:pos="8306"/>
      </w:tabs>
      <w:snapToGrid w:val="0"/>
      <w:jc w:val="left"/>
    </w:pPr>
    <w:rPr>
      <w:sz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semiHidden/>
    <w:qFormat/>
    <w:uiPriority w:val="0"/>
    <w:pPr>
      <w:tabs>
        <w:tab w:val="left" w:pos="840"/>
        <w:tab w:val="right" w:leader="dot" w:pos="9402"/>
      </w:tabs>
      <w:adjustRightInd w:val="0"/>
      <w:snapToGrid w:val="0"/>
      <w:spacing w:line="360" w:lineRule="auto"/>
      <w:jc w:val="left"/>
    </w:pPr>
    <w:rPr>
      <w:rFonts w:ascii="Arial" w:hAnsi="宋体"/>
      <w:caps/>
      <w:w w:val="80"/>
      <w:sz w:val="24"/>
    </w:rPr>
  </w:style>
  <w:style w:type="paragraph" w:styleId="34">
    <w:name w:val="List Continue 4"/>
    <w:basedOn w:val="1"/>
    <w:qFormat/>
    <w:uiPriority w:val="0"/>
    <w:pPr>
      <w:spacing w:after="120" w:afterLines="0"/>
      <w:ind w:left="1680" w:leftChars="800"/>
    </w:pPr>
  </w:style>
  <w:style w:type="paragraph" w:styleId="35">
    <w:name w:val="toc 4"/>
    <w:basedOn w:val="1"/>
    <w:next w:val="1"/>
    <w:semiHidden/>
    <w:qFormat/>
    <w:uiPriority w:val="0"/>
    <w:pPr>
      <w:tabs>
        <w:tab w:val="left" w:pos="1080"/>
        <w:tab w:val="right" w:leader="dot" w:pos="9125"/>
      </w:tabs>
      <w:adjustRightInd w:val="0"/>
      <w:snapToGrid w:val="0"/>
      <w:spacing w:line="360" w:lineRule="auto"/>
      <w:jc w:val="left"/>
    </w:pPr>
    <w:rPr>
      <w:sz w:val="18"/>
    </w:rPr>
  </w:style>
  <w:style w:type="paragraph" w:styleId="36">
    <w:name w:val="List"/>
    <w:basedOn w:val="1"/>
    <w:qFormat/>
    <w:uiPriority w:val="0"/>
    <w:pPr>
      <w:ind w:left="200" w:hanging="200" w:hangingChars="200"/>
    </w:pPr>
  </w:style>
  <w:style w:type="paragraph" w:styleId="37">
    <w:name w:val="footnote text"/>
    <w:basedOn w:val="1"/>
    <w:semiHidden/>
    <w:qFormat/>
    <w:uiPriority w:val="0"/>
    <w:pPr>
      <w:snapToGrid w:val="0"/>
      <w:jc w:val="left"/>
    </w:pPr>
    <w:rPr>
      <w:sz w:val="18"/>
    </w:rPr>
  </w:style>
  <w:style w:type="paragraph" w:styleId="38">
    <w:name w:val="toc 6"/>
    <w:basedOn w:val="1"/>
    <w:next w:val="1"/>
    <w:semiHidden/>
    <w:qFormat/>
    <w:uiPriority w:val="0"/>
    <w:pPr>
      <w:ind w:left="1050"/>
      <w:jc w:val="left"/>
    </w:pPr>
    <w:rPr>
      <w:sz w:val="18"/>
    </w:rPr>
  </w:style>
  <w:style w:type="paragraph" w:styleId="39">
    <w:name w:val="List 5"/>
    <w:basedOn w:val="1"/>
    <w:qFormat/>
    <w:uiPriority w:val="0"/>
    <w:pPr>
      <w:ind w:left="100" w:leftChars="800" w:hanging="200" w:hangingChars="200"/>
    </w:pPr>
  </w:style>
  <w:style w:type="paragraph" w:styleId="40">
    <w:name w:val="Body Text Indent 3"/>
    <w:basedOn w:val="1"/>
    <w:qFormat/>
    <w:uiPriority w:val="0"/>
    <w:pPr>
      <w:spacing w:after="120" w:afterLines="0"/>
      <w:ind w:left="420" w:leftChars="200"/>
    </w:pPr>
    <w:rPr>
      <w:sz w:val="16"/>
    </w:rPr>
  </w:style>
  <w:style w:type="paragraph" w:styleId="41">
    <w:name w:val="toc 2"/>
    <w:basedOn w:val="1"/>
    <w:next w:val="1"/>
    <w:semiHidden/>
    <w:qFormat/>
    <w:uiPriority w:val="0"/>
    <w:pPr>
      <w:ind w:left="210"/>
      <w:jc w:val="left"/>
    </w:pPr>
    <w:rPr>
      <w:smallCaps/>
      <w:sz w:val="20"/>
    </w:rPr>
  </w:style>
  <w:style w:type="paragraph" w:styleId="42">
    <w:name w:val="toc 9"/>
    <w:basedOn w:val="1"/>
    <w:next w:val="1"/>
    <w:semiHidden/>
    <w:qFormat/>
    <w:uiPriority w:val="0"/>
    <w:pPr>
      <w:ind w:left="1680"/>
      <w:jc w:val="left"/>
    </w:pPr>
    <w:rPr>
      <w:sz w:val="18"/>
    </w:rPr>
  </w:style>
  <w:style w:type="paragraph" w:styleId="43">
    <w:name w:val="Body Text 2"/>
    <w:basedOn w:val="1"/>
    <w:qFormat/>
    <w:uiPriority w:val="0"/>
    <w:rPr>
      <w:rFonts w:ascii="宋体" w:hAnsi="宋体"/>
      <w:sz w:val="24"/>
    </w:r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afterLines="0"/>
      <w:ind w:left="840" w:leftChars="400"/>
    </w:pPr>
  </w:style>
  <w:style w:type="paragraph" w:styleId="46">
    <w:name w:val="HTML Preformatted"/>
    <w:basedOn w:val="1"/>
    <w:link w:val="67"/>
    <w:qFormat/>
    <w:uiPriority w:val="0"/>
    <w:rPr>
      <w:rFonts w:ascii="Courier New" w:hAnsi="Courier New"/>
      <w:sz w:val="20"/>
    </w:rPr>
  </w:style>
  <w:style w:type="paragraph" w:styleId="4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8">
    <w:name w:val="List Continue 3"/>
    <w:basedOn w:val="1"/>
    <w:qFormat/>
    <w:uiPriority w:val="0"/>
    <w:pPr>
      <w:spacing w:after="120" w:afterLines="0"/>
      <w:ind w:left="1260" w:leftChars="600"/>
    </w:pPr>
  </w:style>
  <w:style w:type="paragraph" w:styleId="49">
    <w:name w:val="annotation subject"/>
    <w:basedOn w:val="17"/>
    <w:next w:val="17"/>
    <w:semiHidden/>
    <w:qFormat/>
    <w:uiPriority w:val="0"/>
    <w:rPr>
      <w:b/>
    </w:rPr>
  </w:style>
  <w:style w:type="paragraph" w:styleId="50">
    <w:name w:val="Body Text First Indent"/>
    <w:basedOn w:val="1"/>
    <w:qFormat/>
    <w:uiPriority w:val="0"/>
    <w:pPr>
      <w:spacing w:line="360" w:lineRule="auto"/>
      <w:ind w:firstLine="482"/>
    </w:pPr>
    <w:rPr>
      <w:b/>
      <w:sz w:val="24"/>
    </w:rPr>
  </w:style>
  <w:style w:type="paragraph" w:styleId="51">
    <w:name w:val="Body Text First Indent 2"/>
    <w:basedOn w:val="18"/>
    <w:link w:val="68"/>
    <w:qFormat/>
    <w:locked/>
    <w:uiPriority w:val="0"/>
    <w:pPr>
      <w:spacing w:after="120"/>
      <w:ind w:left="420" w:leftChars="200" w:firstLine="420" w:firstLineChars="200"/>
    </w:pPr>
    <w:rPr>
      <w:sz w:val="21"/>
    </w:rPr>
  </w:style>
  <w:style w:type="table" w:styleId="53">
    <w:name w:val="Table Grid"/>
    <w:basedOn w:val="5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qFormat/>
    <w:uiPriority w:val="0"/>
    <w:rPr>
      <w:rFonts w:cs="Times New Roman"/>
    </w:rPr>
  </w:style>
  <w:style w:type="character" w:styleId="56">
    <w:name w:val="Hyperlink"/>
    <w:qFormat/>
    <w:uiPriority w:val="0"/>
    <w:rPr>
      <w:color w:val="0000FF"/>
      <w:u w:val="single"/>
    </w:rPr>
  </w:style>
  <w:style w:type="character" w:styleId="57">
    <w:name w:val="annotation reference"/>
    <w:semiHidden/>
    <w:qFormat/>
    <w:uiPriority w:val="0"/>
    <w:rPr>
      <w:sz w:val="21"/>
    </w:rPr>
  </w:style>
  <w:style w:type="character" w:styleId="58">
    <w:name w:val="footnote reference"/>
    <w:semiHidden/>
    <w:qFormat/>
    <w:uiPriority w:val="0"/>
    <w:rPr>
      <w:vertAlign w:val="superscript"/>
    </w:rPr>
  </w:style>
  <w:style w:type="character" w:customStyle="1" w:styleId="59">
    <w:name w:val="标题 1 Char"/>
    <w:link w:val="3"/>
    <w:qFormat/>
    <w:locked/>
    <w:uiPriority w:val="0"/>
    <w:rPr>
      <w:b/>
      <w:kern w:val="44"/>
      <w:sz w:val="44"/>
    </w:rPr>
  </w:style>
  <w:style w:type="character" w:customStyle="1" w:styleId="60">
    <w:name w:val="标题 2 Char"/>
    <w:link w:val="4"/>
    <w:qFormat/>
    <w:uiPriority w:val="0"/>
    <w:rPr>
      <w:rFonts w:ascii="Arial" w:hAnsi="Arial" w:eastAsia="黑体"/>
      <w:b/>
      <w:sz w:val="32"/>
    </w:rPr>
  </w:style>
  <w:style w:type="character" w:customStyle="1" w:styleId="61">
    <w:name w:val="标题 4 Char"/>
    <w:link w:val="6"/>
    <w:qFormat/>
    <w:locked/>
    <w:uiPriority w:val="0"/>
    <w:rPr>
      <w:rFonts w:ascii="Arial" w:hAnsi="Arial" w:eastAsia="黑体"/>
      <w:b/>
      <w:kern w:val="2"/>
      <w:sz w:val="28"/>
      <w:lang w:val="en-US" w:eastAsia="zh-CN"/>
    </w:rPr>
  </w:style>
  <w:style w:type="character" w:customStyle="1" w:styleId="62">
    <w:name w:val="正文缩进 Char"/>
    <w:link w:val="14"/>
    <w:qFormat/>
    <w:locked/>
    <w:uiPriority w:val="0"/>
    <w:rPr>
      <w:kern w:val="2"/>
      <w:sz w:val="21"/>
    </w:rPr>
  </w:style>
  <w:style w:type="character" w:customStyle="1" w:styleId="63">
    <w:name w:val="批注文字 Char"/>
    <w:link w:val="17"/>
    <w:qFormat/>
    <w:locked/>
    <w:uiPriority w:val="0"/>
    <w:rPr>
      <w:kern w:val="2"/>
      <w:sz w:val="21"/>
    </w:rPr>
  </w:style>
  <w:style w:type="character" w:customStyle="1" w:styleId="64">
    <w:name w:val="正文文本缩进 Char"/>
    <w:link w:val="18"/>
    <w:qFormat/>
    <w:uiPriority w:val="0"/>
    <w:rPr>
      <w:kern w:val="2"/>
      <w:sz w:val="24"/>
    </w:rPr>
  </w:style>
  <w:style w:type="character" w:customStyle="1" w:styleId="65">
    <w:name w:val="批注框文本 Char"/>
    <w:link w:val="30"/>
    <w:qFormat/>
    <w:locked/>
    <w:uiPriority w:val="0"/>
    <w:rPr>
      <w:rFonts w:eastAsia="宋体"/>
      <w:kern w:val="2"/>
      <w:sz w:val="18"/>
      <w:lang w:val="en-US" w:eastAsia="zh-CN"/>
    </w:rPr>
  </w:style>
  <w:style w:type="character" w:customStyle="1" w:styleId="66">
    <w:name w:val="页脚 Char"/>
    <w:link w:val="31"/>
    <w:qFormat/>
    <w:locked/>
    <w:uiPriority w:val="99"/>
    <w:rPr>
      <w:kern w:val="2"/>
      <w:sz w:val="18"/>
    </w:rPr>
  </w:style>
  <w:style w:type="character" w:customStyle="1" w:styleId="67">
    <w:name w:val="HTML 预设格式 Char"/>
    <w:link w:val="46"/>
    <w:qFormat/>
    <w:locked/>
    <w:uiPriority w:val="0"/>
    <w:rPr>
      <w:rFonts w:ascii="Courier New" w:hAnsi="Courier New"/>
      <w:kern w:val="2"/>
    </w:rPr>
  </w:style>
  <w:style w:type="character" w:customStyle="1" w:styleId="68">
    <w:name w:val="正文首行缩进 2 Char"/>
    <w:link w:val="51"/>
    <w:qFormat/>
    <w:uiPriority w:val="0"/>
    <w:rPr>
      <w:kern w:val="2"/>
      <w:sz w:val="21"/>
    </w:rPr>
  </w:style>
  <w:style w:type="character" w:customStyle="1" w:styleId="69">
    <w:name w:val="Style Heading 3 + Char"/>
    <w:link w:val="70"/>
    <w:qFormat/>
    <w:locked/>
    <w:uiPriority w:val="0"/>
    <w:rPr>
      <w:rFonts w:eastAsia="宋体"/>
      <w:b/>
      <w:kern w:val="2"/>
      <w:sz w:val="28"/>
      <w:lang w:val="en-US" w:eastAsia="zh-CN"/>
    </w:rPr>
  </w:style>
  <w:style w:type="paragraph" w:customStyle="1" w:styleId="70">
    <w:name w:val="Style Heading 3 +"/>
    <w:basedOn w:val="5"/>
    <w:link w:val="69"/>
    <w:qFormat/>
    <w:uiPriority w:val="0"/>
    <w:pPr>
      <w:adjustRightInd/>
      <w:spacing w:before="120" w:beforeLines="0" w:after="120" w:afterLines="0" w:line="120" w:lineRule="atLeast"/>
      <w:textAlignment w:val="auto"/>
    </w:pPr>
    <w:rPr>
      <w:kern w:val="2"/>
      <w:sz w:val="28"/>
    </w:rPr>
  </w:style>
  <w:style w:type="character" w:customStyle="1" w:styleId="71">
    <w:name w:val="style1"/>
    <w:qFormat/>
    <w:uiPriority w:val="0"/>
    <w:rPr>
      <w:rFonts w:cs="Times New Roman"/>
    </w:rPr>
  </w:style>
  <w:style w:type="character" w:customStyle="1" w:styleId="72">
    <w:name w:val="标题 1 Char Char"/>
    <w:qFormat/>
    <w:uiPriority w:val="0"/>
    <w:rPr>
      <w:rFonts w:hint="eastAsia" w:ascii="宋体" w:hAnsi="宋体" w:eastAsia="宋体"/>
      <w:b/>
      <w:spacing w:val="-2"/>
      <w:sz w:val="24"/>
      <w:lang w:val="en-US" w:eastAsia="zh-CN"/>
    </w:rPr>
  </w:style>
  <w:style w:type="paragraph" w:customStyle="1" w:styleId="73">
    <w:name w:val="简单回函地址"/>
    <w:basedOn w:val="1"/>
    <w:qFormat/>
    <w:uiPriority w:val="0"/>
  </w:style>
  <w:style w:type="paragraph" w:customStyle="1" w:styleId="74">
    <w:name w:val="图文"/>
    <w:basedOn w:val="1"/>
    <w:qFormat/>
    <w:uiPriority w:val="0"/>
    <w:pPr>
      <w:adjustRightInd w:val="0"/>
      <w:snapToGrid w:val="0"/>
      <w:spacing w:after="50" w:afterLines="0" w:line="360" w:lineRule="auto"/>
    </w:pPr>
    <w:rPr>
      <w:sz w:val="24"/>
    </w:rPr>
  </w:style>
  <w:style w:type="paragraph" w:customStyle="1" w:styleId="75">
    <w:name w:val="List Paragraph1"/>
    <w:basedOn w:val="1"/>
    <w:qFormat/>
    <w:uiPriority w:val="0"/>
    <w:pPr>
      <w:ind w:firstLine="420" w:firstLineChars="200"/>
    </w:pPr>
  </w:style>
  <w:style w:type="paragraph" w:customStyle="1" w:styleId="76">
    <w:name w:val="6"/>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77">
    <w:name w:val="纯文本2"/>
    <w:basedOn w:val="1"/>
    <w:qFormat/>
    <w:uiPriority w:val="0"/>
    <w:rPr>
      <w:rFonts w:ascii="宋体" w:hAnsi="Courier New"/>
      <w:sz w:val="28"/>
      <w:szCs w:val="24"/>
    </w:rPr>
  </w:style>
  <w:style w:type="paragraph" w:customStyle="1" w:styleId="78">
    <w:name w:val="默认段落字体 Para Char Char Char Char"/>
    <w:basedOn w:val="1"/>
    <w:qFormat/>
    <w:uiPriority w:val="0"/>
  </w:style>
  <w:style w:type="paragraph" w:customStyle="1" w:styleId="79">
    <w:name w:val="1"/>
    <w:basedOn w:val="1"/>
    <w:next w:val="25"/>
    <w:qFormat/>
    <w:uiPriority w:val="0"/>
    <w:rPr>
      <w:rFonts w:ascii="宋体" w:hAnsi="Courier New"/>
    </w:rPr>
  </w:style>
  <w:style w:type="paragraph" w:customStyle="1" w:styleId="8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81">
    <w:name w:val="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82">
    <w:name w:val="Char2"/>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83">
    <w:name w:val="Plain Text1"/>
    <w:basedOn w:val="1"/>
    <w:qFormat/>
    <w:uiPriority w:val="0"/>
    <w:pPr>
      <w:widowControl/>
      <w:adjustRightInd w:val="0"/>
      <w:jc w:val="left"/>
      <w:textAlignment w:val="baseline"/>
    </w:pPr>
    <w:rPr>
      <w:rFonts w:ascii="宋体" w:hAnsi="Courier New" w:eastAsia="楷体_GB2312"/>
      <w:kern w:val="0"/>
      <w:sz w:val="26"/>
    </w:rPr>
  </w:style>
  <w:style w:type="paragraph" w:customStyle="1" w:styleId="84">
    <w:name w:val="样式 标题 2 + 黑色 行距: 1.5 倍行距"/>
    <w:basedOn w:val="4"/>
    <w:qFormat/>
    <w:uiPriority w:val="99"/>
    <w:pPr>
      <w:adjustRightInd/>
      <w:spacing w:line="360" w:lineRule="auto"/>
      <w:ind w:firstLine="3502" w:firstLineChars="1246"/>
      <w:textAlignment w:val="auto"/>
    </w:pPr>
    <w:rPr>
      <w:rFonts w:ascii="楷体_GB2312" w:hAnsi="宋体" w:eastAsia="楷体_GB2312" w:cs="仿宋_GB2312"/>
      <w:bCs/>
      <w:kern w:val="2"/>
      <w:sz w:val="28"/>
      <w:szCs w:val="28"/>
    </w:rPr>
  </w:style>
  <w:style w:type="paragraph" w:customStyle="1" w:styleId="85">
    <w:name w:val="Char Char Char1 Char"/>
    <w:basedOn w:val="1"/>
    <w:qFormat/>
    <w:uiPriority w:val="0"/>
  </w:style>
  <w:style w:type="paragraph" w:customStyle="1" w:styleId="86">
    <w:name w:val="p0"/>
    <w:basedOn w:val="1"/>
    <w:qFormat/>
    <w:uiPriority w:val="0"/>
    <w:pPr>
      <w:widowControl/>
    </w:pPr>
    <w:rPr>
      <w:kern w:val="0"/>
      <w:szCs w:val="21"/>
    </w:rPr>
  </w:style>
  <w:style w:type="paragraph" w:styleId="87">
    <w:name w:val="List Paragraph"/>
    <w:basedOn w:val="1"/>
    <w:qFormat/>
    <w:uiPriority w:val="34"/>
    <w:pPr>
      <w:ind w:firstLine="420" w:firstLineChars="200"/>
    </w:pPr>
    <w:rPr>
      <w:szCs w:val="24"/>
    </w:rPr>
  </w:style>
  <w:style w:type="paragraph" w:customStyle="1" w:styleId="88">
    <w:name w:val="标题1"/>
    <w:basedOn w:val="1"/>
    <w:next w:val="1"/>
    <w:qFormat/>
    <w:uiPriority w:val="99"/>
    <w:pPr>
      <w:tabs>
        <w:tab w:val="left" w:pos="9193"/>
        <w:tab w:val="left" w:pos="9827"/>
      </w:tabs>
      <w:spacing w:line="700" w:lineRule="atLeast"/>
      <w:ind w:firstLine="0"/>
      <w:jc w:val="center"/>
    </w:pPr>
    <w:rPr>
      <w:rFonts w:eastAsia="方正小标宋_GBK"/>
      <w:sz w:val="44"/>
      <w:szCs w:val="44"/>
    </w:rPr>
  </w:style>
  <w:style w:type="paragraph" w:customStyle="1" w:styleId="89">
    <w:name w:val="_Style 88"/>
    <w:unhideWhenUsed/>
    <w:qFormat/>
    <w:uiPriority w:val="99"/>
    <w:rPr>
      <w:rFonts w:ascii="Times New Roman" w:hAnsi="Times New Roman" w:eastAsia="宋体" w:cs="Times New Roman"/>
      <w:kern w:val="2"/>
      <w:sz w:val="21"/>
      <w:lang w:val="en-US" w:eastAsia="zh-CN" w:bidi="ar-SA"/>
    </w:rPr>
  </w:style>
  <w:style w:type="paragraph" w:customStyle="1" w:styleId="90">
    <w:name w:val="Body text|1"/>
    <w:basedOn w:val="1"/>
    <w:qFormat/>
    <w:uiPriority w:val="0"/>
    <w:pPr>
      <w:spacing w:line="480" w:lineRule="auto"/>
      <w:ind w:firstLine="400" w:firstLineChars="200"/>
    </w:pPr>
    <w:rPr>
      <w:rFonts w:ascii="宋体" w:hAnsi="宋体" w:eastAsia="宋体" w:cs="宋体"/>
      <w:sz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41</Pages>
  <Words>21203</Words>
  <Characters>21746</Characters>
  <Lines>163</Lines>
  <Paragraphs>46</Paragraphs>
  <TotalTime>4</TotalTime>
  <ScaleCrop>false</ScaleCrop>
  <LinksUpToDate>false</LinksUpToDate>
  <CharactersWithSpaces>23074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2023-02-15T02:30:00Z</dcterms:created>
  <dc:creator>Administrator</dc:creator>
  <cp:lastModifiedBy>Administrator</cp:lastModifiedBy>
  <cp:lastPrinted>2025-03-31T03:19:00Z</cp:lastPrinted>
  <dcterms:modified xsi:type="dcterms:W3CDTF">2025-04-02T08:26:34Z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C96587551C744BC38345A6EE9CB8F4FD_13</vt:lpwstr>
  </property>
  <property fmtid="{D5CDD505-2E9C-101B-9397-08002B2CF9AE}" pid="4" name="KSOTemplateDocerSaveRecord">
    <vt:lpwstr>eyJoZGlkIjoiMzNkMjJiMGYzMzE5M2M1YTUxZTBhYjY2NzVkZjM0MmYiLCJ1c2VySWQiOiIzODkxMzk0MjEifQ==</vt:lpwstr>
  </property>
</Properties>
</file>