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313AFA">
      <w:pPr>
        <w:tabs>
          <w:tab w:val="left" w:pos="6300"/>
        </w:tabs>
        <w:snapToGrid w:val="0"/>
        <w:spacing w:line="300" w:lineRule="auto"/>
        <w:jc w:val="center"/>
        <w:rPr>
          <w:rFonts w:ascii="宋体" w:hAnsi="宋体" w:cs="宋体"/>
          <w:b/>
          <w:sz w:val="44"/>
          <w:szCs w:val="44"/>
          <w:highlight w:val="none"/>
        </w:rPr>
      </w:pPr>
    </w:p>
    <w:p w14:paraId="381455CD">
      <w:pPr>
        <w:rPr>
          <w:rFonts w:ascii="宋体" w:hAnsi="宋体" w:cs="宋体"/>
          <w:b/>
          <w:sz w:val="44"/>
          <w:szCs w:val="44"/>
          <w:highlight w:val="none"/>
        </w:rPr>
      </w:pPr>
    </w:p>
    <w:p w14:paraId="0DF58803">
      <w:pPr>
        <w:pStyle w:val="18"/>
        <w:rPr>
          <w:highlight w:val="none"/>
        </w:rPr>
      </w:pPr>
    </w:p>
    <w:p w14:paraId="304064AD">
      <w:pPr>
        <w:pStyle w:val="18"/>
        <w:rPr>
          <w:highlight w:val="none"/>
        </w:rPr>
      </w:pPr>
    </w:p>
    <w:p w14:paraId="6EB5F7B6">
      <w:pPr>
        <w:tabs>
          <w:tab w:val="left" w:pos="6300"/>
        </w:tabs>
        <w:snapToGrid w:val="0"/>
        <w:spacing w:line="300" w:lineRule="auto"/>
        <w:jc w:val="center"/>
        <w:rPr>
          <w:rFonts w:ascii="宋体" w:hAnsi="宋体" w:cs="宋体"/>
          <w:b/>
          <w:w w:val="80"/>
          <w:sz w:val="36"/>
          <w:szCs w:val="36"/>
          <w:highlight w:val="none"/>
        </w:rPr>
      </w:pPr>
      <w:r>
        <w:rPr>
          <w:rFonts w:hint="eastAsia" w:ascii="宋体" w:hAnsi="宋体" w:cs="宋体"/>
          <w:b/>
          <w:sz w:val="36"/>
          <w:szCs w:val="36"/>
          <w:highlight w:val="none"/>
        </w:rPr>
        <w:t>报业大厦电梯维保</w:t>
      </w:r>
    </w:p>
    <w:p w14:paraId="16FF1DEF">
      <w:pPr>
        <w:pStyle w:val="18"/>
        <w:rPr>
          <w:highlight w:val="none"/>
        </w:rPr>
      </w:pPr>
    </w:p>
    <w:p w14:paraId="39C5D7AF">
      <w:pPr>
        <w:rPr>
          <w:highlight w:val="none"/>
        </w:rPr>
      </w:pPr>
    </w:p>
    <w:p w14:paraId="252D50C7">
      <w:pPr>
        <w:tabs>
          <w:tab w:val="left" w:pos="6300"/>
        </w:tabs>
        <w:snapToGrid w:val="0"/>
        <w:spacing w:line="300" w:lineRule="auto"/>
        <w:jc w:val="center"/>
        <w:rPr>
          <w:rFonts w:ascii="宋体" w:hAnsi="宋体" w:cs="宋体"/>
          <w:b/>
          <w:w w:val="80"/>
          <w:sz w:val="96"/>
          <w:szCs w:val="96"/>
          <w:highlight w:val="none"/>
        </w:rPr>
      </w:pPr>
    </w:p>
    <w:p w14:paraId="428C2755">
      <w:pPr>
        <w:tabs>
          <w:tab w:val="left" w:pos="6300"/>
        </w:tabs>
        <w:snapToGrid w:val="0"/>
        <w:spacing w:line="300" w:lineRule="auto"/>
        <w:jc w:val="center"/>
        <w:rPr>
          <w:rFonts w:ascii="宋体" w:hAnsi="宋体" w:cs="宋体"/>
          <w:b/>
          <w:w w:val="80"/>
          <w:sz w:val="96"/>
          <w:szCs w:val="96"/>
          <w:highlight w:val="none"/>
        </w:rPr>
      </w:pPr>
    </w:p>
    <w:p w14:paraId="7DF00A9B">
      <w:pPr>
        <w:tabs>
          <w:tab w:val="left" w:pos="6300"/>
        </w:tabs>
        <w:snapToGrid w:val="0"/>
        <w:spacing w:line="300" w:lineRule="auto"/>
        <w:jc w:val="center"/>
        <w:rPr>
          <w:rFonts w:ascii="宋体" w:hAnsi="宋体" w:cs="宋体"/>
          <w:b/>
          <w:w w:val="80"/>
          <w:sz w:val="96"/>
          <w:szCs w:val="96"/>
          <w:highlight w:val="none"/>
        </w:rPr>
      </w:pPr>
      <w:r>
        <w:rPr>
          <w:rFonts w:hint="eastAsia" w:ascii="宋体" w:hAnsi="宋体" w:cs="宋体"/>
          <w:b/>
          <w:w w:val="80"/>
          <w:sz w:val="96"/>
          <w:szCs w:val="96"/>
          <w:highlight w:val="none"/>
        </w:rPr>
        <w:t>竞争性磋商文件</w:t>
      </w:r>
    </w:p>
    <w:p w14:paraId="3A04E5F0">
      <w:pPr>
        <w:spacing w:line="360" w:lineRule="auto"/>
        <w:rPr>
          <w:rFonts w:ascii="宋体" w:hAnsi="宋体" w:cs="宋体"/>
          <w:b/>
          <w:sz w:val="44"/>
          <w:szCs w:val="44"/>
          <w:highlight w:val="none"/>
        </w:rPr>
      </w:pPr>
    </w:p>
    <w:p w14:paraId="594FF08E">
      <w:pPr>
        <w:snapToGrid w:val="0"/>
        <w:spacing w:line="360" w:lineRule="auto"/>
        <w:rPr>
          <w:rFonts w:ascii="宋体" w:hAnsi="宋体" w:cs="宋体"/>
          <w:b/>
          <w:sz w:val="36"/>
          <w:highlight w:val="none"/>
        </w:rPr>
      </w:pPr>
    </w:p>
    <w:p w14:paraId="568838D5">
      <w:pPr>
        <w:pStyle w:val="18"/>
        <w:rPr>
          <w:highlight w:val="none"/>
        </w:rPr>
      </w:pPr>
    </w:p>
    <w:p w14:paraId="63362806">
      <w:pPr>
        <w:rPr>
          <w:highlight w:val="none"/>
        </w:rPr>
      </w:pPr>
    </w:p>
    <w:p w14:paraId="7CA4225B">
      <w:pPr>
        <w:pStyle w:val="18"/>
        <w:rPr>
          <w:highlight w:val="none"/>
        </w:rPr>
      </w:pPr>
    </w:p>
    <w:p w14:paraId="6315126E">
      <w:pPr>
        <w:snapToGrid w:val="0"/>
        <w:spacing w:line="360" w:lineRule="auto"/>
        <w:rPr>
          <w:rFonts w:ascii="宋体" w:hAnsi="宋体" w:cs="宋体"/>
          <w:b/>
          <w:sz w:val="36"/>
          <w:highlight w:val="none"/>
        </w:rPr>
      </w:pPr>
    </w:p>
    <w:p w14:paraId="09A84FFC">
      <w:pPr>
        <w:snapToGrid w:val="0"/>
        <w:spacing w:line="360" w:lineRule="auto"/>
        <w:rPr>
          <w:rFonts w:ascii="宋体" w:hAnsi="宋体" w:cs="宋体"/>
          <w:b/>
          <w:sz w:val="36"/>
          <w:highlight w:val="none"/>
        </w:rPr>
      </w:pPr>
    </w:p>
    <w:p w14:paraId="16F4CD76">
      <w:pPr>
        <w:adjustRightInd w:val="0"/>
        <w:snapToGrid w:val="0"/>
        <w:spacing w:line="360" w:lineRule="auto"/>
        <w:ind w:firstLine="1807" w:firstLineChars="600"/>
        <w:rPr>
          <w:rFonts w:ascii="宋体" w:hAnsi="宋体" w:cs="宋体"/>
          <w:b/>
          <w:bCs/>
          <w:sz w:val="30"/>
          <w:szCs w:val="30"/>
          <w:highlight w:val="none"/>
        </w:rPr>
      </w:pPr>
      <w:bookmarkStart w:id="0" w:name="_Toc521201596"/>
      <w:bookmarkStart w:id="1" w:name="_Toc94544743"/>
      <w:bookmarkStart w:id="2" w:name="_Toc11500279"/>
      <w:bookmarkStart w:id="3" w:name="_Toc94544827"/>
      <w:bookmarkStart w:id="4" w:name="_Toc11554638"/>
      <w:bookmarkStart w:id="5" w:name="_Toc8895738"/>
      <w:bookmarkStart w:id="6" w:name="_Toc94585339"/>
      <w:bookmarkStart w:id="7" w:name="_Toc12670502"/>
      <w:bookmarkStart w:id="8" w:name="_Toc11499583"/>
      <w:bookmarkStart w:id="9" w:name="_Toc521203417"/>
      <w:r>
        <w:rPr>
          <w:rFonts w:hint="eastAsia" w:ascii="宋体" w:hAnsi="宋体" w:cs="宋体"/>
          <w:b/>
          <w:sz w:val="30"/>
          <w:szCs w:val="30"/>
          <w:highlight w:val="none"/>
        </w:rPr>
        <w:t xml:space="preserve">采购单位：南通日报社 </w:t>
      </w:r>
    </w:p>
    <w:p w14:paraId="6A2B10F2">
      <w:pPr>
        <w:adjustRightInd w:val="0"/>
        <w:snapToGrid w:val="0"/>
        <w:spacing w:line="360" w:lineRule="auto"/>
        <w:jc w:val="center"/>
        <w:rPr>
          <w:rFonts w:ascii="宋体" w:hAnsi="宋体" w:cs="宋体"/>
          <w:b/>
          <w:sz w:val="30"/>
          <w:szCs w:val="30"/>
          <w:highlight w:val="none"/>
        </w:rPr>
      </w:pPr>
      <w:r>
        <w:rPr>
          <w:rFonts w:hint="eastAsia" w:ascii="宋体" w:hAnsi="宋体" w:cs="宋体"/>
          <w:b/>
          <w:sz w:val="30"/>
          <w:szCs w:val="30"/>
          <w:highlight w:val="none"/>
        </w:rPr>
        <w:t xml:space="preserve">代理机构：江苏建达全过程工程咨询有限公司　                    </w:t>
      </w:r>
    </w:p>
    <w:p w14:paraId="4240892A">
      <w:pPr>
        <w:adjustRightInd w:val="0"/>
        <w:snapToGrid w:val="0"/>
        <w:spacing w:line="360" w:lineRule="auto"/>
        <w:jc w:val="center"/>
        <w:rPr>
          <w:rFonts w:ascii="宋体" w:hAnsi="宋体" w:cs="宋体"/>
          <w:b/>
          <w:sz w:val="30"/>
          <w:szCs w:val="30"/>
          <w:highlight w:val="none"/>
        </w:rPr>
      </w:pPr>
      <w:r>
        <w:rPr>
          <w:rFonts w:hint="eastAsia" w:ascii="宋体" w:hAnsi="宋体" w:cs="宋体"/>
          <w:b/>
          <w:sz w:val="30"/>
          <w:szCs w:val="30"/>
          <w:highlight w:val="none"/>
        </w:rPr>
        <w:t xml:space="preserve">   二〇二五年八月七日</w:t>
      </w:r>
    </w:p>
    <w:p w14:paraId="09C62201">
      <w:pPr>
        <w:overflowPunct w:val="0"/>
        <w:rPr>
          <w:rFonts w:ascii="宋体" w:hAnsi="宋体" w:cs="宋体"/>
          <w:b/>
          <w:sz w:val="32"/>
          <w:highlight w:val="none"/>
        </w:rPr>
        <w:sectPr>
          <w:footerReference r:id="rId6" w:type="first"/>
          <w:headerReference r:id="rId3" w:type="default"/>
          <w:footerReference r:id="rId4" w:type="default"/>
          <w:footerReference r:id="rId5" w:type="even"/>
          <w:type w:val="continuous"/>
          <w:pgSz w:w="11906" w:h="16838"/>
          <w:pgMar w:top="1134" w:right="1113" w:bottom="1134" w:left="1255" w:header="851" w:footer="992" w:gutter="0"/>
          <w:pgNumType w:fmt="numberInDash" w:start="1"/>
          <w:cols w:space="720" w:num="1"/>
          <w:titlePg/>
          <w:docGrid w:linePitch="380" w:charSpace="-5735"/>
        </w:sectPr>
      </w:pPr>
    </w:p>
    <w:p w14:paraId="13D1EF1A">
      <w:pPr>
        <w:jc w:val="center"/>
        <w:rPr>
          <w:rFonts w:ascii="宋体" w:hAnsi="宋体" w:cs="宋体"/>
          <w:b/>
          <w:sz w:val="44"/>
          <w:szCs w:val="44"/>
          <w:highlight w:val="none"/>
        </w:rPr>
        <w:sectPr>
          <w:type w:val="continuous"/>
          <w:pgSz w:w="11906" w:h="16838"/>
          <w:pgMar w:top="1134" w:right="1134" w:bottom="1134" w:left="1622" w:header="851" w:footer="992" w:gutter="0"/>
          <w:pgNumType w:fmt="numberInDash"/>
          <w:cols w:space="720" w:num="1"/>
          <w:docGrid w:linePitch="312" w:charSpace="0"/>
        </w:sectPr>
      </w:pPr>
    </w:p>
    <w:p w14:paraId="7D33C4F6">
      <w:pPr>
        <w:pStyle w:val="26"/>
        <w:tabs>
          <w:tab w:val="left" w:pos="1050"/>
          <w:tab w:val="right" w:leader="dot" w:pos="9402"/>
        </w:tabs>
        <w:spacing w:line="960" w:lineRule="exact"/>
        <w:ind w:left="0"/>
        <w:jc w:val="center"/>
        <w:outlineLvl w:val="0"/>
        <w:rPr>
          <w:rFonts w:ascii="宋体" w:hAnsi="宋体" w:cs="宋体"/>
          <w:b/>
          <w:i w:val="0"/>
          <w:w w:val="80"/>
          <w:sz w:val="52"/>
          <w:szCs w:val="52"/>
          <w:highlight w:val="none"/>
        </w:rPr>
      </w:pPr>
      <w:r>
        <w:rPr>
          <w:rFonts w:hint="eastAsia" w:ascii="宋体" w:hAnsi="宋体" w:cs="宋体"/>
          <w:b/>
          <w:i w:val="0"/>
          <w:w w:val="80"/>
          <w:sz w:val="52"/>
          <w:szCs w:val="52"/>
          <w:highlight w:val="none"/>
        </w:rPr>
        <w:t>目   录</w:t>
      </w:r>
    </w:p>
    <w:p w14:paraId="216767A0">
      <w:pPr>
        <w:spacing w:line="800" w:lineRule="exact"/>
        <w:jc w:val="center"/>
        <w:rPr>
          <w:rFonts w:ascii="宋体" w:hAnsi="宋体" w:cs="宋体"/>
          <w:b/>
          <w:sz w:val="52"/>
          <w:szCs w:val="52"/>
          <w:highlight w:val="none"/>
        </w:rPr>
      </w:pPr>
    </w:p>
    <w:p w14:paraId="42352671">
      <w:pPr>
        <w:pStyle w:val="26"/>
        <w:tabs>
          <w:tab w:val="left" w:pos="1050"/>
          <w:tab w:val="right" w:leader="dot" w:pos="9402"/>
        </w:tabs>
        <w:spacing w:line="520" w:lineRule="exact"/>
        <w:ind w:left="0"/>
        <w:rPr>
          <w:rFonts w:ascii="宋体" w:hAnsi="宋体" w:cs="宋体"/>
          <w:i w:val="0"/>
          <w:w w:val="80"/>
          <w:sz w:val="36"/>
          <w:szCs w:val="36"/>
          <w:highlight w:val="none"/>
        </w:rPr>
      </w:pPr>
      <w:r>
        <w:rPr>
          <w:rFonts w:hint="eastAsia" w:ascii="宋体" w:hAnsi="宋体" w:cs="宋体"/>
          <w:i w:val="0"/>
          <w:w w:val="80"/>
          <w:sz w:val="36"/>
          <w:szCs w:val="36"/>
          <w:highlight w:val="none"/>
        </w:rPr>
        <w:t>第一章       竞争性磋商公告</w:t>
      </w:r>
    </w:p>
    <w:p w14:paraId="28D44C2B">
      <w:pPr>
        <w:rPr>
          <w:rFonts w:ascii="宋体" w:hAnsi="宋体" w:cs="宋体"/>
          <w:sz w:val="36"/>
          <w:szCs w:val="36"/>
          <w:highlight w:val="none"/>
        </w:rPr>
      </w:pPr>
    </w:p>
    <w:p w14:paraId="07700127">
      <w:pPr>
        <w:pStyle w:val="26"/>
        <w:tabs>
          <w:tab w:val="left" w:pos="1050"/>
          <w:tab w:val="right" w:leader="dot" w:pos="9402"/>
        </w:tabs>
        <w:spacing w:line="520" w:lineRule="exact"/>
        <w:ind w:left="0"/>
        <w:rPr>
          <w:rFonts w:ascii="宋体" w:hAnsi="宋体" w:cs="宋体"/>
          <w:i w:val="0"/>
          <w:w w:val="80"/>
          <w:sz w:val="36"/>
          <w:szCs w:val="36"/>
          <w:highlight w:val="none"/>
        </w:rPr>
      </w:pPr>
      <w:r>
        <w:rPr>
          <w:rFonts w:hint="eastAsia" w:ascii="宋体" w:hAnsi="宋体" w:cs="宋体"/>
          <w:i w:val="0"/>
          <w:w w:val="80"/>
          <w:sz w:val="36"/>
          <w:szCs w:val="36"/>
          <w:highlight w:val="none"/>
        </w:rPr>
        <w:t>第二章       磋商供应商须知</w:t>
      </w:r>
    </w:p>
    <w:p w14:paraId="760DD90E">
      <w:pPr>
        <w:rPr>
          <w:rFonts w:ascii="宋体" w:hAnsi="宋体" w:cs="宋体"/>
          <w:sz w:val="36"/>
          <w:szCs w:val="36"/>
          <w:highlight w:val="none"/>
        </w:rPr>
      </w:pPr>
    </w:p>
    <w:p w14:paraId="4B644039">
      <w:pPr>
        <w:pStyle w:val="26"/>
        <w:tabs>
          <w:tab w:val="left" w:pos="1050"/>
          <w:tab w:val="right" w:leader="dot" w:pos="9402"/>
        </w:tabs>
        <w:spacing w:line="520" w:lineRule="exact"/>
        <w:ind w:left="1"/>
        <w:rPr>
          <w:rFonts w:ascii="宋体" w:hAnsi="宋体" w:cs="宋体"/>
          <w:i w:val="0"/>
          <w:w w:val="80"/>
          <w:sz w:val="36"/>
          <w:szCs w:val="36"/>
          <w:highlight w:val="none"/>
        </w:rPr>
      </w:pPr>
      <w:r>
        <w:rPr>
          <w:rFonts w:hint="eastAsia" w:ascii="宋体" w:hAnsi="宋体" w:cs="宋体"/>
          <w:i w:val="0"/>
          <w:w w:val="80"/>
          <w:sz w:val="36"/>
          <w:szCs w:val="36"/>
          <w:highlight w:val="none"/>
        </w:rPr>
        <w:t>第三章       项目需求</w:t>
      </w:r>
    </w:p>
    <w:p w14:paraId="78DAC475">
      <w:pPr>
        <w:rPr>
          <w:rFonts w:ascii="宋体" w:hAnsi="宋体" w:cs="宋体"/>
          <w:sz w:val="36"/>
          <w:szCs w:val="36"/>
          <w:highlight w:val="none"/>
        </w:rPr>
      </w:pPr>
    </w:p>
    <w:p w14:paraId="3F01E813">
      <w:pPr>
        <w:pStyle w:val="26"/>
        <w:tabs>
          <w:tab w:val="left" w:pos="1050"/>
          <w:tab w:val="right" w:leader="dot" w:pos="9402"/>
        </w:tabs>
        <w:spacing w:line="520" w:lineRule="exact"/>
        <w:ind w:left="0"/>
        <w:rPr>
          <w:rFonts w:ascii="宋体" w:hAnsi="宋体" w:cs="宋体"/>
          <w:i w:val="0"/>
          <w:w w:val="80"/>
          <w:sz w:val="36"/>
          <w:szCs w:val="36"/>
          <w:highlight w:val="none"/>
        </w:rPr>
      </w:pPr>
      <w:r>
        <w:rPr>
          <w:rFonts w:hint="eastAsia" w:ascii="宋体" w:hAnsi="宋体" w:cs="宋体"/>
          <w:i w:val="0"/>
          <w:w w:val="80"/>
          <w:sz w:val="36"/>
          <w:szCs w:val="36"/>
          <w:highlight w:val="none"/>
        </w:rPr>
        <w:t>第四章       评审方法和程序</w:t>
      </w:r>
    </w:p>
    <w:p w14:paraId="24B3F1E7">
      <w:pPr>
        <w:rPr>
          <w:rFonts w:ascii="宋体" w:hAnsi="宋体" w:cs="宋体"/>
          <w:i/>
          <w:w w:val="80"/>
          <w:sz w:val="36"/>
          <w:szCs w:val="36"/>
          <w:highlight w:val="none"/>
        </w:rPr>
      </w:pPr>
    </w:p>
    <w:p w14:paraId="31BE0F52">
      <w:pPr>
        <w:pStyle w:val="26"/>
        <w:numPr>
          <w:ilvl w:val="0"/>
          <w:numId w:val="2"/>
        </w:numPr>
        <w:tabs>
          <w:tab w:val="left" w:pos="1050"/>
          <w:tab w:val="right" w:leader="dot" w:pos="9402"/>
        </w:tabs>
        <w:spacing w:line="520" w:lineRule="exact"/>
        <w:ind w:left="0"/>
        <w:rPr>
          <w:rFonts w:ascii="宋体" w:hAnsi="宋体" w:cs="宋体"/>
          <w:i w:val="0"/>
          <w:iCs/>
          <w:w w:val="80"/>
          <w:sz w:val="36"/>
          <w:szCs w:val="36"/>
          <w:highlight w:val="none"/>
        </w:rPr>
      </w:pPr>
      <w:r>
        <w:rPr>
          <w:rFonts w:hint="eastAsia" w:ascii="宋体" w:hAnsi="宋体" w:cs="宋体"/>
          <w:i w:val="0"/>
          <w:iCs/>
          <w:w w:val="80"/>
          <w:sz w:val="36"/>
          <w:szCs w:val="36"/>
          <w:highlight w:val="none"/>
        </w:rPr>
        <w:t xml:space="preserve">      合同授予</w:t>
      </w:r>
    </w:p>
    <w:p w14:paraId="4E40EF97">
      <w:pPr>
        <w:rPr>
          <w:rFonts w:ascii="宋体" w:hAnsi="宋体" w:cs="宋体"/>
          <w:sz w:val="36"/>
          <w:szCs w:val="36"/>
          <w:highlight w:val="none"/>
        </w:rPr>
      </w:pPr>
    </w:p>
    <w:p w14:paraId="0FCEF4AA">
      <w:pPr>
        <w:pStyle w:val="26"/>
        <w:tabs>
          <w:tab w:val="left" w:pos="1050"/>
          <w:tab w:val="right" w:leader="dot" w:pos="9402"/>
        </w:tabs>
        <w:spacing w:line="520" w:lineRule="exact"/>
        <w:ind w:left="0"/>
        <w:rPr>
          <w:rFonts w:ascii="宋体" w:hAnsi="宋体" w:cs="宋体"/>
          <w:i w:val="0"/>
          <w:w w:val="80"/>
          <w:sz w:val="36"/>
          <w:szCs w:val="36"/>
          <w:highlight w:val="none"/>
        </w:rPr>
      </w:pPr>
      <w:r>
        <w:rPr>
          <w:rFonts w:hint="eastAsia" w:ascii="宋体" w:hAnsi="宋体" w:cs="宋体"/>
          <w:i w:val="0"/>
          <w:w w:val="80"/>
          <w:sz w:val="36"/>
          <w:szCs w:val="36"/>
          <w:highlight w:val="none"/>
        </w:rPr>
        <w:t>第六章       质疑提出和处理</w:t>
      </w:r>
    </w:p>
    <w:p w14:paraId="10AE87D3">
      <w:pPr>
        <w:rPr>
          <w:rFonts w:ascii="宋体" w:hAnsi="宋体" w:cs="宋体"/>
          <w:sz w:val="36"/>
          <w:szCs w:val="36"/>
          <w:highlight w:val="none"/>
        </w:rPr>
      </w:pPr>
    </w:p>
    <w:p w14:paraId="7AA9F728">
      <w:pPr>
        <w:pStyle w:val="26"/>
        <w:tabs>
          <w:tab w:val="left" w:pos="1050"/>
          <w:tab w:val="right" w:leader="dot" w:pos="9402"/>
        </w:tabs>
        <w:spacing w:line="520" w:lineRule="exact"/>
        <w:ind w:left="0"/>
        <w:rPr>
          <w:rFonts w:ascii="宋体" w:hAnsi="宋体" w:cs="宋体"/>
          <w:i w:val="0"/>
          <w:w w:val="80"/>
          <w:sz w:val="36"/>
          <w:szCs w:val="36"/>
          <w:highlight w:val="none"/>
        </w:rPr>
      </w:pPr>
      <w:r>
        <w:rPr>
          <w:rFonts w:hint="eastAsia" w:ascii="宋体" w:hAnsi="宋体" w:cs="宋体"/>
          <w:i w:val="0"/>
          <w:w w:val="80"/>
          <w:sz w:val="36"/>
          <w:szCs w:val="36"/>
          <w:highlight w:val="none"/>
        </w:rPr>
        <w:t>第七章       响应文件组成及格式</w:t>
      </w:r>
    </w:p>
    <w:p w14:paraId="72CFD44A">
      <w:pPr>
        <w:rPr>
          <w:rFonts w:ascii="宋体" w:hAnsi="宋体" w:cs="宋体"/>
          <w:sz w:val="36"/>
          <w:szCs w:val="36"/>
          <w:highlight w:val="none"/>
        </w:rPr>
      </w:pPr>
    </w:p>
    <w:p w14:paraId="43CEA71E">
      <w:pPr>
        <w:rPr>
          <w:rFonts w:ascii="宋体" w:hAnsi="宋体" w:cs="宋体"/>
          <w:sz w:val="36"/>
          <w:szCs w:val="36"/>
          <w:highlight w:val="none"/>
        </w:rPr>
      </w:pPr>
    </w:p>
    <w:p w14:paraId="3B3098B0">
      <w:pPr>
        <w:snapToGrid w:val="0"/>
        <w:spacing w:line="360" w:lineRule="auto"/>
        <w:rPr>
          <w:rFonts w:ascii="宋体" w:hAnsi="宋体" w:cs="宋体"/>
          <w:b/>
          <w:szCs w:val="21"/>
          <w:highlight w:val="none"/>
        </w:rPr>
      </w:pPr>
      <w:r>
        <w:rPr>
          <w:rFonts w:hint="eastAsia" w:ascii="宋体" w:hAnsi="宋体" w:cs="宋体"/>
          <w:b/>
          <w:szCs w:val="21"/>
          <w:highlight w:val="none"/>
        </w:rPr>
        <w:br w:type="page"/>
      </w:r>
      <w:r>
        <w:rPr>
          <w:rFonts w:hint="eastAsia" w:ascii="宋体" w:hAnsi="宋体" w:cs="宋体"/>
          <w:b/>
          <w:szCs w:val="21"/>
          <w:highlight w:val="none"/>
        </w:rPr>
        <w:t>尊敬的投标供应商：</w:t>
      </w:r>
    </w:p>
    <w:p w14:paraId="66C0ADE7">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欢迎参加本采购项目的竞争性磋商。为了保证本次磋商项目顺利进行，请在制作响应文件之前，仔细阅读本竞争性磋商文件的各项条款，并按要求制作和递交响应文件。谢谢合作！</w:t>
      </w:r>
    </w:p>
    <w:p w14:paraId="77580425">
      <w:pPr>
        <w:snapToGrid w:val="0"/>
        <w:spacing w:line="360" w:lineRule="auto"/>
        <w:ind w:firstLine="422" w:firstLineChars="200"/>
        <w:rPr>
          <w:rFonts w:ascii="宋体" w:hAnsi="宋体" w:cs="宋体"/>
          <w:b/>
          <w:szCs w:val="21"/>
          <w:highlight w:val="none"/>
        </w:rPr>
      </w:pPr>
    </w:p>
    <w:p w14:paraId="13A4C8F9">
      <w:pPr>
        <w:pStyle w:val="26"/>
        <w:tabs>
          <w:tab w:val="left" w:pos="1050"/>
          <w:tab w:val="right" w:leader="dot" w:pos="9402"/>
        </w:tabs>
        <w:spacing w:line="360" w:lineRule="auto"/>
        <w:ind w:left="0"/>
        <w:jc w:val="center"/>
        <w:outlineLvl w:val="0"/>
        <w:rPr>
          <w:rFonts w:ascii="宋体" w:hAnsi="宋体" w:cs="宋体"/>
          <w:b/>
          <w:i w:val="0"/>
          <w:w w:val="80"/>
          <w:sz w:val="44"/>
          <w:szCs w:val="44"/>
          <w:highlight w:val="none"/>
        </w:rPr>
      </w:pPr>
      <w:bookmarkStart w:id="10" w:name="_Toc363573853"/>
      <w:r>
        <w:rPr>
          <w:rFonts w:hint="eastAsia" w:ascii="宋体" w:hAnsi="宋体" w:cs="宋体"/>
          <w:b/>
          <w:i w:val="0"/>
          <w:w w:val="80"/>
          <w:sz w:val="44"/>
          <w:szCs w:val="44"/>
          <w:highlight w:val="none"/>
        </w:rPr>
        <w:t xml:space="preserve">第一章  </w:t>
      </w:r>
      <w:bookmarkStart w:id="67" w:name="_GoBack"/>
      <w:r>
        <w:rPr>
          <w:rFonts w:hint="eastAsia" w:ascii="宋体" w:hAnsi="宋体" w:cs="宋体"/>
          <w:b/>
          <w:i w:val="0"/>
          <w:w w:val="80"/>
          <w:sz w:val="44"/>
          <w:szCs w:val="44"/>
          <w:highlight w:val="none"/>
        </w:rPr>
        <w:t>竞争性磋商公</w:t>
      </w:r>
      <w:bookmarkEnd w:id="0"/>
      <w:bookmarkEnd w:id="1"/>
      <w:bookmarkEnd w:id="2"/>
      <w:bookmarkEnd w:id="3"/>
      <w:bookmarkEnd w:id="4"/>
      <w:bookmarkEnd w:id="5"/>
      <w:bookmarkEnd w:id="6"/>
      <w:bookmarkEnd w:id="7"/>
      <w:bookmarkEnd w:id="8"/>
      <w:bookmarkEnd w:id="9"/>
      <w:r>
        <w:rPr>
          <w:rFonts w:hint="eastAsia" w:ascii="宋体" w:hAnsi="宋体" w:cs="宋体"/>
          <w:b/>
          <w:i w:val="0"/>
          <w:w w:val="80"/>
          <w:sz w:val="44"/>
          <w:szCs w:val="44"/>
          <w:highlight w:val="none"/>
        </w:rPr>
        <w:t>告</w:t>
      </w:r>
      <w:bookmarkEnd w:id="10"/>
    </w:p>
    <w:p w14:paraId="3C46D6E9">
      <w:pPr>
        <w:rPr>
          <w:highlight w:val="none"/>
        </w:rPr>
      </w:pPr>
    </w:p>
    <w:tbl>
      <w:tblPr>
        <w:tblStyle w:val="54"/>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14:paraId="1D0B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856" w:type="dxa"/>
          </w:tcPr>
          <w:p w14:paraId="7B54A6C4">
            <w:pPr>
              <w:shd w:val="clear" w:color="auto" w:fill="FFFFFF"/>
              <w:spacing w:before="120" w:beforeLines="50" w:line="360" w:lineRule="auto"/>
              <w:rPr>
                <w:rFonts w:ascii="宋体" w:hAnsi="宋体"/>
                <w:sz w:val="24"/>
                <w:szCs w:val="24"/>
                <w:highlight w:val="none"/>
              </w:rPr>
            </w:pPr>
            <w:r>
              <w:rPr>
                <w:rFonts w:hint="eastAsia" w:ascii="宋体" w:hAnsi="宋体"/>
                <w:b/>
                <w:bCs/>
                <w:sz w:val="24"/>
                <w:szCs w:val="24"/>
                <w:highlight w:val="none"/>
              </w:rPr>
              <w:t>项目概况</w:t>
            </w:r>
          </w:p>
          <w:p w14:paraId="59E9B28B">
            <w:pPr>
              <w:ind w:firstLine="480" w:firstLineChars="200"/>
              <w:rPr>
                <w:rFonts w:ascii="宋体" w:hAnsi="宋体"/>
                <w:sz w:val="24"/>
                <w:szCs w:val="24"/>
                <w:highlight w:val="none"/>
              </w:rPr>
            </w:pPr>
            <w:r>
              <w:rPr>
                <w:rFonts w:hint="eastAsia" w:ascii="宋体" w:hAnsi="宋体"/>
                <w:sz w:val="24"/>
                <w:szCs w:val="24"/>
                <w:highlight w:val="none"/>
                <w:u w:val="single"/>
              </w:rPr>
              <w:t>报业大厦电梯维保</w:t>
            </w:r>
            <w:r>
              <w:rPr>
                <w:rFonts w:hint="eastAsia" w:ascii="宋体" w:hAnsi="宋体"/>
                <w:sz w:val="24"/>
                <w:szCs w:val="24"/>
                <w:highlight w:val="none"/>
              </w:rPr>
              <w:t>的潜在供应商应</w:t>
            </w:r>
            <w:r>
              <w:rPr>
                <w:rFonts w:hint="eastAsia" w:ascii="宋体" w:hAnsi="宋体"/>
                <w:b/>
                <w:bCs/>
                <w:sz w:val="24"/>
                <w:szCs w:val="24"/>
                <w:highlight w:val="none"/>
                <w:u w:val="single"/>
              </w:rPr>
              <w:t>“南通网→通知公告”</w:t>
            </w:r>
            <w:r>
              <w:rPr>
                <w:rFonts w:hint="eastAsia" w:ascii="宋体" w:hAnsi="宋体"/>
                <w:sz w:val="24"/>
                <w:szCs w:val="24"/>
                <w:highlight w:val="none"/>
              </w:rPr>
              <w:t>内获取采购文件，并于</w:t>
            </w:r>
            <w:r>
              <w:rPr>
                <w:rFonts w:hint="eastAsia" w:ascii="宋体" w:hAnsi="宋体"/>
                <w:sz w:val="24"/>
                <w:szCs w:val="24"/>
                <w:highlight w:val="none"/>
                <w:u w:val="single"/>
              </w:rPr>
              <w:t>2</w:t>
            </w:r>
            <w:r>
              <w:rPr>
                <w:rFonts w:ascii="宋体" w:hAnsi="宋体"/>
                <w:sz w:val="24"/>
                <w:szCs w:val="24"/>
                <w:highlight w:val="none"/>
                <w:u w:val="single"/>
              </w:rPr>
              <w:t>02</w:t>
            </w:r>
            <w:r>
              <w:rPr>
                <w:rFonts w:hint="eastAsia" w:ascii="宋体" w:hAnsi="宋体"/>
                <w:sz w:val="24"/>
                <w:szCs w:val="24"/>
                <w:highlight w:val="none"/>
                <w:u w:val="single"/>
              </w:rPr>
              <w:t>5年</w:t>
            </w:r>
            <w:r>
              <w:rPr>
                <w:rFonts w:ascii="宋体" w:hAnsi="宋体"/>
                <w:sz w:val="24"/>
                <w:szCs w:val="24"/>
                <w:highlight w:val="none"/>
                <w:u w:val="single"/>
              </w:rPr>
              <w:t>8</w:t>
            </w:r>
            <w:r>
              <w:rPr>
                <w:rFonts w:hint="eastAsia" w:ascii="宋体" w:hAnsi="宋体" w:eastAsia="宋体" w:cs="Times New Roman"/>
                <w:sz w:val="24"/>
                <w:szCs w:val="24"/>
                <w:highlight w:val="none"/>
                <w:u w:val="single"/>
              </w:rPr>
              <w:t>月</w:t>
            </w:r>
            <w:r>
              <w:rPr>
                <w:rFonts w:ascii="宋体" w:hAnsi="宋体" w:eastAsia="宋体" w:cs="Times New Roman"/>
                <w:sz w:val="24"/>
                <w:szCs w:val="24"/>
                <w:highlight w:val="none"/>
                <w:u w:val="single"/>
              </w:rPr>
              <w:t>19</w:t>
            </w:r>
            <w:r>
              <w:rPr>
                <w:rFonts w:hint="eastAsia" w:ascii="宋体" w:hAnsi="宋体" w:eastAsia="宋体" w:cs="Times New Roman"/>
                <w:sz w:val="24"/>
                <w:szCs w:val="24"/>
                <w:highlight w:val="none"/>
                <w:u w:val="single"/>
              </w:rPr>
              <w:t>日1</w:t>
            </w:r>
            <w:r>
              <w:rPr>
                <w:rFonts w:hint="eastAsia" w:ascii="宋体" w:hAnsi="宋体"/>
                <w:sz w:val="24"/>
                <w:szCs w:val="24"/>
                <w:highlight w:val="none"/>
                <w:u w:val="single"/>
              </w:rPr>
              <w:t>4 时00分</w:t>
            </w:r>
            <w:r>
              <w:rPr>
                <w:rFonts w:hint="eastAsia" w:ascii="宋体" w:hAnsi="宋体"/>
                <w:sz w:val="24"/>
                <w:szCs w:val="24"/>
                <w:highlight w:val="none"/>
              </w:rPr>
              <w:t>（北京时间）前提交响应文件。</w:t>
            </w:r>
          </w:p>
        </w:tc>
      </w:tr>
    </w:tbl>
    <w:p w14:paraId="538A8B02">
      <w:pPr>
        <w:widowControl/>
        <w:snapToGrid w:val="0"/>
        <w:spacing w:line="360" w:lineRule="auto"/>
        <w:ind w:firstLine="600" w:firstLineChars="250"/>
        <w:jc w:val="left"/>
        <w:rPr>
          <w:rFonts w:ascii="宋体" w:hAnsi="宋体" w:cs="宋体"/>
          <w:sz w:val="24"/>
          <w:szCs w:val="24"/>
          <w:highlight w:val="none"/>
        </w:rPr>
      </w:pPr>
      <w:r>
        <w:rPr>
          <w:rFonts w:hint="eastAsia" w:ascii="宋体" w:hAnsi="宋体" w:cs="宋体"/>
          <w:sz w:val="24"/>
          <w:szCs w:val="24"/>
          <w:highlight w:val="none"/>
        </w:rPr>
        <w:t>江苏建达全过程工程咨询有限公司（以下称代理机构）受南通日报社（以下称采购单位）的委托，就其举办报业大厦电梯维保组织争性磋商采购，诚邀符合条件的潜在供应商参加该项目的竞争性磋商。</w:t>
      </w:r>
    </w:p>
    <w:p w14:paraId="35273DF7">
      <w:pPr>
        <w:widowControl/>
        <w:snapToGrid w:val="0"/>
        <w:spacing w:line="360" w:lineRule="auto"/>
        <w:ind w:firstLine="470" w:firstLineChars="196"/>
        <w:jc w:val="left"/>
        <w:rPr>
          <w:rFonts w:ascii="宋体" w:hAnsi="宋体" w:cs="宋体"/>
          <w:sz w:val="24"/>
          <w:szCs w:val="24"/>
          <w:highlight w:val="none"/>
        </w:rPr>
      </w:pPr>
      <w:r>
        <w:rPr>
          <w:rFonts w:hint="eastAsia" w:ascii="宋体" w:hAnsi="宋体" w:cs="宋体"/>
          <w:sz w:val="24"/>
          <w:szCs w:val="24"/>
          <w:highlight w:val="none"/>
        </w:rPr>
        <w:t>一、项目名称：</w:t>
      </w:r>
      <w:r>
        <w:rPr>
          <w:rFonts w:hint="eastAsia" w:ascii="宋体" w:hAnsi="宋体"/>
          <w:sz w:val="24"/>
          <w:szCs w:val="24"/>
          <w:highlight w:val="none"/>
        </w:rPr>
        <w:t>报业大厦电梯维保</w:t>
      </w:r>
    </w:p>
    <w:p w14:paraId="23631638">
      <w:pPr>
        <w:widowControl/>
        <w:snapToGrid w:val="0"/>
        <w:spacing w:line="360" w:lineRule="auto"/>
        <w:ind w:firstLine="470" w:firstLineChars="196"/>
        <w:jc w:val="left"/>
        <w:rPr>
          <w:rFonts w:ascii="宋体" w:hAnsi="宋体" w:cs="宋体"/>
          <w:sz w:val="24"/>
          <w:szCs w:val="24"/>
          <w:highlight w:val="none"/>
        </w:rPr>
      </w:pPr>
      <w:r>
        <w:rPr>
          <w:rFonts w:hint="eastAsia" w:ascii="宋体" w:hAnsi="宋体" w:cs="宋体"/>
          <w:sz w:val="24"/>
          <w:szCs w:val="24"/>
          <w:highlight w:val="none"/>
        </w:rPr>
        <w:t>二、项目限价：12万元（含税）/3年。</w:t>
      </w:r>
    </w:p>
    <w:p w14:paraId="5B14D128">
      <w:pPr>
        <w:widowControl/>
        <w:snapToGrid w:val="0"/>
        <w:spacing w:line="360" w:lineRule="auto"/>
        <w:ind w:firstLine="470" w:firstLineChars="196"/>
        <w:jc w:val="left"/>
        <w:rPr>
          <w:rFonts w:ascii="宋体" w:hAnsi="宋体" w:cs="宋体"/>
          <w:sz w:val="24"/>
          <w:szCs w:val="24"/>
          <w:highlight w:val="none"/>
        </w:rPr>
      </w:pPr>
      <w:r>
        <w:rPr>
          <w:rFonts w:hint="eastAsia" w:ascii="宋体" w:hAnsi="宋体" w:cs="宋体"/>
          <w:sz w:val="24"/>
          <w:szCs w:val="24"/>
          <w:highlight w:val="none"/>
        </w:rPr>
        <w:t>三、服务期限：暂定三年。</w:t>
      </w:r>
    </w:p>
    <w:p w14:paraId="560F7959">
      <w:pPr>
        <w:widowControl/>
        <w:snapToGrid w:val="0"/>
        <w:spacing w:line="360" w:lineRule="auto"/>
        <w:ind w:firstLine="470" w:firstLineChars="196"/>
        <w:jc w:val="left"/>
        <w:rPr>
          <w:rFonts w:ascii="宋体" w:hAnsi="宋体" w:cs="宋体"/>
          <w:sz w:val="24"/>
          <w:szCs w:val="24"/>
          <w:highlight w:val="none"/>
        </w:rPr>
      </w:pPr>
      <w:r>
        <w:rPr>
          <w:rFonts w:hint="eastAsia" w:ascii="宋体" w:hAnsi="宋体" w:cs="宋体"/>
          <w:sz w:val="24"/>
          <w:szCs w:val="24"/>
          <w:highlight w:val="none"/>
        </w:rPr>
        <w:t>四、项目需求：详见第三部分</w:t>
      </w:r>
    </w:p>
    <w:p w14:paraId="6B30FD0A">
      <w:pPr>
        <w:widowControl/>
        <w:snapToGrid w:val="0"/>
        <w:spacing w:line="360" w:lineRule="auto"/>
        <w:ind w:firstLine="470" w:firstLineChars="196"/>
        <w:jc w:val="left"/>
        <w:rPr>
          <w:rFonts w:ascii="宋体" w:hAnsi="宋体" w:cs="宋体"/>
          <w:sz w:val="24"/>
          <w:szCs w:val="24"/>
          <w:highlight w:val="none"/>
        </w:rPr>
      </w:pPr>
      <w:r>
        <w:rPr>
          <w:rFonts w:hint="eastAsia" w:ascii="宋体" w:hAnsi="宋体" w:cs="宋体"/>
          <w:sz w:val="24"/>
          <w:szCs w:val="24"/>
          <w:highlight w:val="none"/>
        </w:rPr>
        <w:t>五、潜在的供应商资格要求：</w:t>
      </w:r>
    </w:p>
    <w:p w14:paraId="13D1D92A">
      <w:pPr>
        <w:widowControl/>
        <w:snapToGrid w:val="0"/>
        <w:spacing w:line="360" w:lineRule="auto"/>
        <w:ind w:firstLine="470" w:firstLineChars="196"/>
        <w:jc w:val="left"/>
        <w:rPr>
          <w:rFonts w:ascii="宋体" w:hAnsi="宋体" w:cs="宋体"/>
          <w:sz w:val="24"/>
          <w:szCs w:val="24"/>
          <w:highlight w:val="none"/>
        </w:rPr>
      </w:pPr>
      <w:r>
        <w:rPr>
          <w:rFonts w:hint="eastAsia" w:ascii="宋体" w:hAnsi="宋体" w:cs="宋体"/>
          <w:sz w:val="24"/>
          <w:szCs w:val="24"/>
          <w:highlight w:val="none"/>
        </w:rPr>
        <w:t>1、符合《政府采购法》第二十二条之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18D1CFC4">
      <w:pPr>
        <w:widowControl/>
        <w:snapToGrid w:val="0"/>
        <w:spacing w:line="360" w:lineRule="auto"/>
        <w:ind w:firstLine="470" w:firstLineChars="196"/>
        <w:jc w:val="left"/>
        <w:rPr>
          <w:rFonts w:ascii="宋体" w:hAnsi="宋体" w:cs="宋体"/>
          <w:sz w:val="24"/>
          <w:szCs w:val="24"/>
          <w:highlight w:val="none"/>
        </w:rPr>
      </w:pPr>
      <w:r>
        <w:rPr>
          <w:rFonts w:hint="eastAsia" w:ascii="宋体" w:hAnsi="宋体" w:cs="宋体"/>
          <w:sz w:val="24"/>
          <w:szCs w:val="24"/>
          <w:highlight w:val="none"/>
        </w:rPr>
        <w:t>2、法定代表人为同一个人的两个及两个以上法人，母公司、全资子公司及其控股公司，都不得在同一采购项目或同一标段中同时参加磋商，一经发现，将视同围标处理；</w:t>
      </w:r>
    </w:p>
    <w:p w14:paraId="05473436">
      <w:pPr>
        <w:widowControl/>
        <w:snapToGrid w:val="0"/>
        <w:spacing w:line="360" w:lineRule="auto"/>
        <w:ind w:firstLine="470" w:firstLineChars="196"/>
        <w:jc w:val="left"/>
        <w:rPr>
          <w:rFonts w:ascii="宋体" w:hAnsi="宋体" w:cs="宋体"/>
          <w:sz w:val="24"/>
          <w:szCs w:val="24"/>
          <w:highlight w:val="none"/>
        </w:rPr>
      </w:pPr>
      <w:r>
        <w:rPr>
          <w:rFonts w:hint="eastAsia" w:ascii="宋体" w:hAnsi="宋体" w:cs="宋体"/>
          <w:sz w:val="24"/>
          <w:szCs w:val="24"/>
          <w:highlight w:val="none"/>
        </w:rPr>
        <w:t>3、</w:t>
      </w:r>
      <w:r>
        <w:rPr>
          <w:rFonts w:ascii="宋体" w:hAnsi="宋体"/>
          <w:sz w:val="24"/>
          <w:szCs w:val="24"/>
          <w:highlight w:val="none"/>
        </w:rPr>
        <w:t>未被“信用中国”网站（www.creditchina.gov.cn）列入失信被执行人、重大税收违法案件当事人名单、政府采购严重失信行为记录名单；</w:t>
      </w:r>
    </w:p>
    <w:p w14:paraId="1E065EAA">
      <w:pPr>
        <w:widowControl/>
        <w:snapToGrid w:val="0"/>
        <w:spacing w:line="360" w:lineRule="auto"/>
        <w:ind w:firstLine="472" w:firstLineChars="196"/>
        <w:jc w:val="left"/>
        <w:rPr>
          <w:rFonts w:ascii="宋体" w:hAnsi="宋体" w:cs="宋体"/>
          <w:b/>
          <w:bCs/>
          <w:sz w:val="24"/>
          <w:szCs w:val="24"/>
          <w:highlight w:val="none"/>
        </w:rPr>
      </w:pPr>
      <w:r>
        <w:rPr>
          <w:rFonts w:hint="eastAsia" w:ascii="宋体" w:hAnsi="宋体" w:cs="宋体"/>
          <w:b/>
          <w:bCs/>
          <w:sz w:val="24"/>
          <w:szCs w:val="24"/>
          <w:highlight w:val="none"/>
        </w:rPr>
        <w:t>供应商其它资格要求：</w:t>
      </w:r>
    </w:p>
    <w:p w14:paraId="7C10D937">
      <w:pPr>
        <w:widowControl/>
        <w:snapToGrid w:val="0"/>
        <w:spacing w:line="360" w:lineRule="auto"/>
        <w:ind w:firstLine="470" w:firstLineChars="196"/>
        <w:jc w:val="left"/>
        <w:rPr>
          <w:rFonts w:ascii="宋体" w:hAnsi="宋体" w:cs="宋体"/>
          <w:sz w:val="24"/>
          <w:szCs w:val="24"/>
          <w:highlight w:val="none"/>
        </w:rPr>
      </w:pPr>
      <w:r>
        <w:rPr>
          <w:rFonts w:hint="eastAsia" w:ascii="宋体" w:hAnsi="宋体" w:cs="宋体"/>
          <w:sz w:val="24"/>
          <w:szCs w:val="24"/>
          <w:highlight w:val="none"/>
        </w:rPr>
        <w:t>4、磋商响应供应商</w:t>
      </w:r>
      <w:r>
        <w:rPr>
          <w:rFonts w:hint="eastAsia" w:ascii="宋体" w:hAnsi="宋体"/>
          <w:sz w:val="24"/>
          <w:szCs w:val="24"/>
          <w:highlight w:val="none"/>
        </w:rPr>
        <w:t>必须具有独立法人资格，提供有效的营业执照及税务登记证（或者是三证合一的营业执照）。</w:t>
      </w:r>
    </w:p>
    <w:p w14:paraId="402E317C">
      <w:pPr>
        <w:widowControl/>
        <w:snapToGrid w:val="0"/>
        <w:spacing w:line="360" w:lineRule="auto"/>
        <w:ind w:firstLine="470" w:firstLineChars="196"/>
        <w:jc w:val="left"/>
        <w:rPr>
          <w:rFonts w:ascii="宋体" w:hAnsi="宋体" w:cs="宋体"/>
          <w:sz w:val="24"/>
          <w:szCs w:val="24"/>
          <w:highlight w:val="none"/>
        </w:rPr>
      </w:pPr>
      <w:r>
        <w:rPr>
          <w:rFonts w:hint="eastAsia" w:ascii="宋体" w:hAnsi="宋体" w:cs="宋体"/>
          <w:sz w:val="24"/>
          <w:szCs w:val="24"/>
          <w:highlight w:val="none"/>
        </w:rPr>
        <w:t>5、磋商响应供应商法定代表人参加磋商响应的，必须提供法定代表人身份证明及法定代表人本人身份证复印件；非法定代表人参加磋商响应的，必须提供法定代表人签字或盖章的授权委托书及法定代表人、被授权人的两人身份证的复印件。</w:t>
      </w:r>
    </w:p>
    <w:p w14:paraId="1416CFC1">
      <w:pPr>
        <w:widowControl/>
        <w:snapToGrid w:val="0"/>
        <w:spacing w:line="360" w:lineRule="auto"/>
        <w:ind w:firstLine="470" w:firstLineChars="196"/>
        <w:jc w:val="left"/>
        <w:rPr>
          <w:highlight w:val="none"/>
        </w:rPr>
      </w:pPr>
      <w:r>
        <w:rPr>
          <w:rFonts w:hint="eastAsia" w:ascii="宋体" w:hAnsi="宋体" w:cs="宋体"/>
          <w:sz w:val="24"/>
          <w:szCs w:val="24"/>
          <w:highlight w:val="none"/>
        </w:rPr>
        <w:t>6、磋商响应供应商须提供参与本次项目政府采购活动前三年内，在经营活动中没有重大违法记录的书面《无重大违法记录声明函》（格式参见磋商文件第七章）。</w:t>
      </w:r>
    </w:p>
    <w:p w14:paraId="6C15724E">
      <w:pPr>
        <w:widowControl/>
        <w:snapToGrid w:val="0"/>
        <w:spacing w:line="360" w:lineRule="auto"/>
        <w:ind w:firstLine="470" w:firstLineChars="196"/>
        <w:jc w:val="left"/>
        <w:rPr>
          <w:rFonts w:ascii="宋体" w:hAnsi="宋体"/>
          <w:sz w:val="24"/>
          <w:szCs w:val="24"/>
          <w:highlight w:val="none"/>
        </w:rPr>
      </w:pPr>
      <w:r>
        <w:rPr>
          <w:rFonts w:hint="eastAsia" w:ascii="宋体" w:hAnsi="宋体" w:cs="宋体"/>
          <w:sz w:val="24"/>
          <w:szCs w:val="24"/>
          <w:highlight w:val="none"/>
        </w:rPr>
        <w:t>7、磋商响应供应商</w:t>
      </w:r>
      <w:r>
        <w:rPr>
          <w:rFonts w:hint="eastAsia" w:ascii="宋体" w:hAnsi="宋体"/>
          <w:sz w:val="24"/>
          <w:szCs w:val="24"/>
          <w:highlight w:val="none"/>
        </w:rPr>
        <w:t>必须具供应商必须具备有效的《中华人民共和国特种设备安装改造维修许可证（曳引与强制驱动电梯，施工类别：安装改造修理资质）》B级及以上资质或《中华人民共和国特种设备生产许可证（许可项目：电梯安装（含修理）, 许可子项目：曳引驱动乘客电梯（含消防员电梯）》B及以上资质；</w:t>
      </w:r>
    </w:p>
    <w:p w14:paraId="7E1A2A83">
      <w:pPr>
        <w:widowControl/>
        <w:snapToGrid w:val="0"/>
        <w:spacing w:line="360" w:lineRule="auto"/>
        <w:ind w:firstLine="470" w:firstLineChars="196"/>
        <w:jc w:val="left"/>
        <w:rPr>
          <w:rFonts w:ascii="宋体" w:hAnsi="宋体" w:cs="宋体"/>
          <w:sz w:val="24"/>
          <w:szCs w:val="24"/>
          <w:highlight w:val="none"/>
        </w:rPr>
      </w:pPr>
      <w:r>
        <w:rPr>
          <w:rFonts w:hint="eastAsia" w:ascii="宋体" w:hAnsi="宋体" w:cs="宋体"/>
          <w:sz w:val="24"/>
          <w:szCs w:val="24"/>
          <w:highlight w:val="none"/>
        </w:rPr>
        <w:t>8、关于资格文件的声明函（格式参见第七章）。</w:t>
      </w:r>
    </w:p>
    <w:p w14:paraId="3D7589F7">
      <w:pPr>
        <w:widowControl/>
        <w:snapToGrid w:val="0"/>
        <w:spacing w:line="360" w:lineRule="auto"/>
        <w:ind w:firstLine="470" w:firstLineChars="196"/>
        <w:jc w:val="left"/>
        <w:rPr>
          <w:rFonts w:ascii="宋体" w:hAnsi="宋体" w:cs="宋体"/>
          <w:sz w:val="24"/>
          <w:szCs w:val="24"/>
          <w:highlight w:val="none"/>
        </w:rPr>
      </w:pPr>
      <w:r>
        <w:rPr>
          <w:rFonts w:hint="eastAsia" w:ascii="宋体" w:hAnsi="宋体" w:cs="宋体"/>
          <w:sz w:val="24"/>
          <w:szCs w:val="24"/>
          <w:highlight w:val="none"/>
        </w:rPr>
        <w:t>9、本项目不接受任何形式的联合体参与磋商。</w:t>
      </w:r>
    </w:p>
    <w:p w14:paraId="4FD88EFA">
      <w:pPr>
        <w:widowControl/>
        <w:snapToGrid w:val="0"/>
        <w:spacing w:line="360" w:lineRule="auto"/>
        <w:ind w:firstLine="482" w:firstLineChars="200"/>
        <w:jc w:val="left"/>
        <w:rPr>
          <w:rFonts w:ascii="宋体" w:hAnsi="宋体" w:cs="宋体"/>
          <w:b/>
          <w:sz w:val="24"/>
          <w:szCs w:val="24"/>
          <w:highlight w:val="none"/>
          <w:u w:val="single"/>
        </w:rPr>
      </w:pPr>
      <w:r>
        <w:rPr>
          <w:rFonts w:hint="eastAsia" w:ascii="宋体" w:hAnsi="宋体" w:cs="宋体"/>
          <w:b/>
          <w:sz w:val="24"/>
          <w:szCs w:val="24"/>
          <w:highlight w:val="none"/>
          <w:u w:val="single"/>
        </w:rPr>
        <w:t xml:space="preserve">具体资格要求详见附件中的“资格审查文件”。 </w:t>
      </w:r>
    </w:p>
    <w:p w14:paraId="26270E31">
      <w:pPr>
        <w:widowControl/>
        <w:snapToGri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请供应商认真对照资格要求，如不符合要求，无意或故意参与投标的，所产生的一切后果由供应商承担。对提供虚假材料的响应供应商作无效标处理。</w:t>
      </w:r>
    </w:p>
    <w:p w14:paraId="37DD9798">
      <w:pPr>
        <w:widowControl/>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六、响应文件的递交、开标</w:t>
      </w:r>
    </w:p>
    <w:p w14:paraId="70C54A12">
      <w:pPr>
        <w:widowControl/>
        <w:snapToGrid w:val="0"/>
        <w:spacing w:line="360" w:lineRule="auto"/>
        <w:ind w:firstLine="560" w:firstLineChars="200"/>
        <w:jc w:val="left"/>
        <w:rPr>
          <w:rFonts w:ascii="宋体" w:hAnsi="宋体" w:cs="宋体"/>
          <w:sz w:val="24"/>
          <w:szCs w:val="24"/>
          <w:highlight w:val="none"/>
        </w:rPr>
      </w:pPr>
      <w:r>
        <w:rPr>
          <w:rFonts w:hint="eastAsia" w:ascii="宋体" w:hAnsi="宋体" w:cs="宋体"/>
          <w:sz w:val="28"/>
          <w:szCs w:val="28"/>
          <w:highlight w:val="none"/>
        </w:rPr>
        <w:t>1、</w:t>
      </w:r>
      <w:r>
        <w:rPr>
          <w:rFonts w:hint="eastAsia" w:ascii="宋体" w:hAnsi="宋体" w:cs="宋体"/>
          <w:sz w:val="24"/>
          <w:szCs w:val="24"/>
          <w:highlight w:val="none"/>
        </w:rPr>
        <w:t>响应文件接收截止及评审磋商开始时间：</w:t>
      </w:r>
      <w:r>
        <w:rPr>
          <w:rFonts w:hint="eastAsia" w:ascii="宋体" w:hAnsi="宋体" w:cs="宋体"/>
          <w:b/>
          <w:sz w:val="24"/>
          <w:szCs w:val="24"/>
          <w:highlight w:val="none"/>
        </w:rPr>
        <w:t>2025年</w:t>
      </w:r>
      <w:r>
        <w:rPr>
          <w:rFonts w:ascii="宋体" w:hAnsi="宋体" w:cs="宋体"/>
          <w:b/>
          <w:sz w:val="24"/>
          <w:szCs w:val="24"/>
          <w:highlight w:val="none"/>
          <w:u w:val="single"/>
        </w:rPr>
        <w:t>8</w:t>
      </w:r>
      <w:r>
        <w:rPr>
          <w:rFonts w:hint="eastAsia" w:ascii="宋体" w:hAnsi="宋体" w:cs="宋体"/>
          <w:b/>
          <w:sz w:val="24"/>
          <w:szCs w:val="24"/>
          <w:highlight w:val="none"/>
        </w:rPr>
        <w:t>月</w:t>
      </w:r>
      <w:r>
        <w:rPr>
          <w:rFonts w:hint="eastAsia" w:ascii="宋体" w:hAnsi="宋体" w:cs="宋体"/>
          <w:b/>
          <w:sz w:val="24"/>
          <w:szCs w:val="24"/>
          <w:highlight w:val="none"/>
          <w:u w:val="single"/>
        </w:rPr>
        <w:t xml:space="preserve"> </w:t>
      </w:r>
      <w:r>
        <w:rPr>
          <w:rFonts w:ascii="宋体" w:hAnsi="宋体" w:cs="宋体"/>
          <w:b/>
          <w:sz w:val="24"/>
          <w:szCs w:val="24"/>
          <w:highlight w:val="none"/>
          <w:u w:val="single"/>
        </w:rPr>
        <w:t>19</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日</w:t>
      </w:r>
      <w:r>
        <w:rPr>
          <w:rFonts w:hint="eastAsia" w:ascii="宋体" w:hAnsi="宋体" w:cs="宋体"/>
          <w:b/>
          <w:sz w:val="24"/>
          <w:szCs w:val="24"/>
          <w:highlight w:val="none"/>
          <w:u w:val="single"/>
        </w:rPr>
        <w:t>14</w:t>
      </w:r>
      <w:r>
        <w:rPr>
          <w:rFonts w:hint="eastAsia" w:ascii="宋体" w:hAnsi="宋体" w:cs="宋体"/>
          <w:b/>
          <w:sz w:val="24"/>
          <w:szCs w:val="24"/>
          <w:highlight w:val="none"/>
        </w:rPr>
        <w:t>时</w:t>
      </w:r>
      <w:r>
        <w:rPr>
          <w:rFonts w:hint="eastAsia" w:ascii="宋体" w:hAnsi="宋体" w:cs="宋体"/>
          <w:b/>
          <w:sz w:val="24"/>
          <w:szCs w:val="24"/>
          <w:highlight w:val="none"/>
          <w:u w:val="single"/>
        </w:rPr>
        <w:t>00</w:t>
      </w:r>
      <w:r>
        <w:rPr>
          <w:rFonts w:hint="eastAsia" w:ascii="宋体" w:hAnsi="宋体" w:cs="宋体"/>
          <w:b/>
          <w:sz w:val="24"/>
          <w:szCs w:val="24"/>
          <w:highlight w:val="none"/>
        </w:rPr>
        <w:t>分，</w:t>
      </w:r>
      <w:r>
        <w:rPr>
          <w:rFonts w:hint="eastAsia" w:ascii="宋体" w:hAnsi="宋体" w:cs="宋体"/>
          <w:sz w:val="24"/>
          <w:szCs w:val="24"/>
          <w:highlight w:val="none"/>
        </w:rPr>
        <w:t>逾期送达，不予受理。</w:t>
      </w:r>
    </w:p>
    <w:p w14:paraId="24E566FF">
      <w:pPr>
        <w:widowControl/>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2、响应文件递交地址：南通世纪大道8号，南通报业大厦24楼2415室，如有变动，另行通知。</w:t>
      </w:r>
    </w:p>
    <w:p w14:paraId="0E9649C1">
      <w:pPr>
        <w:pStyle w:val="18"/>
        <w:spacing w:line="360" w:lineRule="auto"/>
        <w:ind w:firstLine="480" w:firstLineChars="200"/>
        <w:rPr>
          <w:rFonts w:ascii="宋体" w:hAnsi="宋体" w:cs="宋体"/>
          <w:szCs w:val="24"/>
          <w:highlight w:val="none"/>
        </w:rPr>
      </w:pPr>
      <w:r>
        <w:rPr>
          <w:rFonts w:hint="eastAsia" w:ascii="宋体" w:hAnsi="宋体" w:cs="宋体"/>
          <w:szCs w:val="24"/>
          <w:highlight w:val="none"/>
        </w:rPr>
        <w:t>3、开标时间和地点：同递交响应文件截止时间、地点</w:t>
      </w:r>
    </w:p>
    <w:p w14:paraId="0025E72E">
      <w:pPr>
        <w:widowControl/>
        <w:snapToGrid w:val="0"/>
        <w:spacing w:line="360" w:lineRule="auto"/>
        <w:ind w:firstLine="470" w:firstLineChars="196"/>
        <w:jc w:val="left"/>
        <w:rPr>
          <w:rFonts w:ascii="宋体" w:hAnsi="宋体" w:cs="宋体"/>
          <w:bCs/>
          <w:sz w:val="24"/>
          <w:szCs w:val="24"/>
          <w:highlight w:val="none"/>
        </w:rPr>
      </w:pPr>
      <w:r>
        <w:rPr>
          <w:rFonts w:hint="eastAsia" w:ascii="宋体" w:hAnsi="宋体" w:cs="宋体"/>
          <w:sz w:val="24"/>
          <w:szCs w:val="24"/>
          <w:highlight w:val="none"/>
        </w:rPr>
        <w:t>七、</w:t>
      </w:r>
      <w:r>
        <w:rPr>
          <w:rFonts w:hint="eastAsia" w:ascii="宋体" w:hAnsi="宋体" w:cs="宋体"/>
          <w:bCs/>
          <w:sz w:val="24"/>
          <w:szCs w:val="24"/>
          <w:highlight w:val="none"/>
        </w:rPr>
        <w:t>联系方式：</w:t>
      </w:r>
    </w:p>
    <w:p w14:paraId="344594F0">
      <w:pPr>
        <w:widowControl/>
        <w:spacing w:line="360" w:lineRule="auto"/>
        <w:ind w:firstLine="480" w:firstLineChars="200"/>
        <w:jc w:val="left"/>
        <w:rPr>
          <w:rFonts w:ascii="宋体" w:hAnsi="宋体" w:cs="宋体"/>
          <w:bCs/>
          <w:sz w:val="24"/>
          <w:szCs w:val="24"/>
          <w:highlight w:val="none"/>
        </w:rPr>
      </w:pPr>
      <w:bookmarkStart w:id="11" w:name="_Toc521203418"/>
      <w:bookmarkStart w:id="12" w:name="_Toc94544744"/>
      <w:bookmarkStart w:id="13" w:name="_Toc8895739"/>
      <w:bookmarkStart w:id="14" w:name="_Toc11554639"/>
      <w:bookmarkStart w:id="15" w:name="_Toc11499584"/>
      <w:bookmarkStart w:id="16" w:name="_Toc11500280"/>
      <w:bookmarkStart w:id="17" w:name="_Toc521201597"/>
      <w:bookmarkStart w:id="18" w:name="_Toc94544828"/>
      <w:bookmarkStart w:id="19" w:name="_Toc94585340"/>
      <w:bookmarkStart w:id="20" w:name="_Toc12670503"/>
      <w:r>
        <w:rPr>
          <w:rFonts w:hint="eastAsia" w:ascii="宋体" w:hAnsi="宋体" w:cs="宋体"/>
          <w:bCs/>
          <w:sz w:val="24"/>
          <w:szCs w:val="24"/>
          <w:highlight w:val="none"/>
        </w:rPr>
        <w:t xml:space="preserve">采购单位：南通日报社 </w:t>
      </w:r>
    </w:p>
    <w:p w14:paraId="0E9DD743">
      <w:pPr>
        <w:widowControl/>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联系人：张先生0513-68218829</w:t>
      </w:r>
    </w:p>
    <w:p w14:paraId="5DA0FEA9">
      <w:pPr>
        <w:spacing w:line="48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现场勘察联系人：朱先生  13962900197</w:t>
      </w:r>
    </w:p>
    <w:p w14:paraId="069ADCFD">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代理机构：江苏建达全过程工程咨询有限公司　</w:t>
      </w:r>
    </w:p>
    <w:p w14:paraId="6B32B0E5">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地址：南通市世纪大道58号恒隆国际大厦</w:t>
      </w:r>
      <w:r>
        <w:rPr>
          <w:rFonts w:ascii="宋体" w:hAnsi="宋体" w:cs="宋体"/>
          <w:sz w:val="24"/>
          <w:szCs w:val="24"/>
          <w:highlight w:val="none"/>
        </w:rPr>
        <w:t>B</w:t>
      </w:r>
      <w:r>
        <w:rPr>
          <w:rFonts w:hint="eastAsia" w:ascii="宋体" w:hAnsi="宋体" w:cs="宋体"/>
          <w:sz w:val="24"/>
          <w:szCs w:val="24"/>
          <w:highlight w:val="none"/>
        </w:rPr>
        <w:t>座</w:t>
      </w:r>
      <w:r>
        <w:rPr>
          <w:rFonts w:ascii="宋体" w:hAnsi="宋体" w:cs="宋体"/>
          <w:sz w:val="24"/>
          <w:szCs w:val="24"/>
          <w:highlight w:val="none"/>
        </w:rPr>
        <w:t>1411</w:t>
      </w:r>
      <w:r>
        <w:rPr>
          <w:rFonts w:hint="eastAsia" w:ascii="宋体" w:hAnsi="宋体" w:cs="宋体"/>
          <w:sz w:val="24"/>
          <w:szCs w:val="24"/>
          <w:highlight w:val="none"/>
        </w:rPr>
        <w:t>室</w:t>
      </w:r>
    </w:p>
    <w:p w14:paraId="6A4AB2EC">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联系人：贲智涵        联系电话：18051668292</w:t>
      </w:r>
    </w:p>
    <w:p w14:paraId="6EEA4AE4">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邮箱：</w:t>
      </w:r>
      <w:bookmarkStart w:id="21" w:name="_Hlt28328873"/>
      <w:bookmarkStart w:id="22" w:name="_Hlt28328872"/>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"mailto:fgyjszx2@163.com"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bbenzhihan@163.com</w:t>
      </w:r>
      <w:r>
        <w:rPr>
          <w:rFonts w:hint="eastAsia" w:ascii="宋体" w:hAnsi="宋体" w:cs="宋体"/>
          <w:sz w:val="24"/>
          <w:szCs w:val="24"/>
          <w:highlight w:val="none"/>
        </w:rPr>
        <w:fldChar w:fldCharType="end"/>
      </w:r>
      <w:bookmarkEnd w:id="21"/>
      <w:bookmarkEnd w:id="22"/>
    </w:p>
    <w:p w14:paraId="62589AD3">
      <w:pPr>
        <w:widowControl/>
        <w:spacing w:line="360" w:lineRule="auto"/>
        <w:ind w:firstLine="480" w:firstLineChars="200"/>
        <w:jc w:val="left"/>
        <w:rPr>
          <w:rFonts w:ascii="宋体" w:hAnsi="宋体" w:cs="宋体"/>
          <w:bCs/>
          <w:sz w:val="24"/>
          <w:szCs w:val="24"/>
          <w:highlight w:val="none"/>
        </w:rPr>
      </w:pPr>
    </w:p>
    <w:p w14:paraId="06422B27">
      <w:pPr>
        <w:spacing w:line="480" w:lineRule="exact"/>
        <w:ind w:firstLine="480" w:firstLineChars="200"/>
        <w:jc w:val="right"/>
        <w:rPr>
          <w:rFonts w:ascii="宋体" w:hAnsi="宋体" w:cs="宋体"/>
          <w:sz w:val="24"/>
          <w:szCs w:val="24"/>
          <w:highlight w:val="none"/>
        </w:rPr>
      </w:pPr>
      <w:bookmarkStart w:id="23" w:name="_Toc363573854"/>
      <w:r>
        <w:rPr>
          <w:rFonts w:ascii="宋体" w:hAnsi="宋体" w:cs="宋体"/>
          <w:sz w:val="24"/>
          <w:szCs w:val="24"/>
          <w:highlight w:val="none"/>
        </w:rPr>
        <w:t>20</w:t>
      </w:r>
      <w:r>
        <w:rPr>
          <w:rFonts w:hint="eastAsia" w:ascii="宋体" w:hAnsi="宋体" w:cs="宋体"/>
          <w:sz w:val="24"/>
          <w:szCs w:val="24"/>
          <w:highlight w:val="none"/>
        </w:rPr>
        <w:t>25</w:t>
      </w:r>
      <w:r>
        <w:rPr>
          <w:rFonts w:ascii="宋体" w:hAnsi="宋体" w:cs="宋体"/>
          <w:sz w:val="24"/>
          <w:szCs w:val="24"/>
          <w:highlight w:val="none"/>
        </w:rPr>
        <w:t>年</w:t>
      </w:r>
      <w:r>
        <w:rPr>
          <w:rFonts w:hint="eastAsia" w:ascii="宋体" w:hAnsi="宋体" w:cs="宋体"/>
          <w:sz w:val="24"/>
          <w:szCs w:val="24"/>
          <w:highlight w:val="none"/>
        </w:rPr>
        <w:t>8</w:t>
      </w:r>
      <w:r>
        <w:rPr>
          <w:rFonts w:ascii="宋体" w:hAnsi="宋体" w:cs="宋体"/>
          <w:sz w:val="24"/>
          <w:szCs w:val="24"/>
          <w:highlight w:val="none"/>
        </w:rPr>
        <w:t>月7日</w:t>
      </w:r>
    </w:p>
    <w:bookmarkEnd w:id="67"/>
    <w:p w14:paraId="7DE5C9CF">
      <w:pPr>
        <w:pStyle w:val="3"/>
        <w:keepNext w:val="0"/>
        <w:keepLines w:val="0"/>
        <w:numPr>
          <w:ilvl w:val="0"/>
          <w:numId w:val="0"/>
        </w:numPr>
        <w:snapToGrid w:val="0"/>
        <w:spacing w:before="0" w:after="0" w:line="360" w:lineRule="auto"/>
        <w:jc w:val="center"/>
        <w:rPr>
          <w:rFonts w:ascii="宋体" w:hAnsi="宋体" w:cs="宋体"/>
          <w:w w:val="80"/>
          <w:szCs w:val="44"/>
          <w:highlight w:val="none"/>
        </w:rPr>
      </w:pPr>
      <w:r>
        <w:rPr>
          <w:rFonts w:ascii="宋体" w:hAnsi="宋体" w:cs="宋体"/>
          <w:w w:val="80"/>
          <w:szCs w:val="44"/>
          <w:highlight w:val="none"/>
        </w:rPr>
        <w:br w:type="page"/>
      </w:r>
      <w:r>
        <w:rPr>
          <w:rFonts w:hint="eastAsia" w:ascii="宋体" w:hAnsi="宋体" w:cs="宋体"/>
          <w:w w:val="80"/>
          <w:szCs w:val="44"/>
          <w:highlight w:val="none"/>
        </w:rPr>
        <w:t xml:space="preserve">第二章  </w:t>
      </w:r>
      <w:bookmarkEnd w:id="11"/>
      <w:bookmarkEnd w:id="12"/>
      <w:bookmarkEnd w:id="13"/>
      <w:bookmarkEnd w:id="14"/>
      <w:bookmarkEnd w:id="15"/>
      <w:bookmarkEnd w:id="16"/>
      <w:bookmarkEnd w:id="17"/>
      <w:bookmarkEnd w:id="18"/>
      <w:bookmarkEnd w:id="19"/>
      <w:bookmarkEnd w:id="20"/>
      <w:r>
        <w:rPr>
          <w:rFonts w:hint="eastAsia" w:ascii="宋体" w:hAnsi="宋体" w:cs="宋体"/>
          <w:w w:val="80"/>
          <w:szCs w:val="44"/>
          <w:highlight w:val="none"/>
        </w:rPr>
        <w:t>磋商供应商须知</w:t>
      </w:r>
      <w:bookmarkEnd w:id="23"/>
    </w:p>
    <w:p w14:paraId="57E88949">
      <w:pPr>
        <w:snapToGrid w:val="0"/>
        <w:spacing w:line="480" w:lineRule="exact"/>
        <w:ind w:firstLine="482" w:firstLineChars="200"/>
        <w:outlineLvl w:val="1"/>
        <w:rPr>
          <w:rFonts w:ascii="宋体" w:hAnsi="宋体" w:cs="宋体"/>
          <w:b/>
          <w:bCs/>
          <w:sz w:val="24"/>
          <w:szCs w:val="24"/>
          <w:highlight w:val="none"/>
        </w:rPr>
      </w:pPr>
      <w:bookmarkStart w:id="24" w:name="_Toc521201598"/>
      <w:bookmarkStart w:id="25" w:name="_Toc12670504"/>
      <w:bookmarkStart w:id="26" w:name="_Toc94585341"/>
      <w:bookmarkStart w:id="27" w:name="_Toc8895740"/>
      <w:bookmarkStart w:id="28" w:name="_Toc94544871"/>
      <w:bookmarkStart w:id="29" w:name="_Toc11499585"/>
      <w:bookmarkStart w:id="30" w:name="_Toc521203419"/>
      <w:bookmarkStart w:id="31" w:name="_Toc94544745"/>
      <w:bookmarkStart w:id="32" w:name="_Toc11554640"/>
      <w:bookmarkStart w:id="33" w:name="_Toc11500281"/>
      <w:r>
        <w:rPr>
          <w:rFonts w:hint="eastAsia" w:ascii="宋体" w:hAnsi="宋体" w:cs="宋体"/>
          <w:b/>
          <w:bCs/>
          <w:sz w:val="24"/>
          <w:szCs w:val="24"/>
          <w:highlight w:val="none"/>
        </w:rPr>
        <w:t>一、说明</w:t>
      </w:r>
    </w:p>
    <w:p w14:paraId="3F595E2A">
      <w:pPr>
        <w:snapToGrid w:val="0"/>
        <w:spacing w:line="48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1、本竞争性磋商文件仅适用于江苏建达全过程工程咨询有限公司组织的竞争性磋商采购活动。</w:t>
      </w:r>
    </w:p>
    <w:p w14:paraId="447AEB74">
      <w:pPr>
        <w:snapToGrid w:val="0"/>
        <w:spacing w:line="48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2、竞争性磋商活动及因本次磋商产生的合同受中国法律制约和保护。</w:t>
      </w:r>
    </w:p>
    <w:p w14:paraId="6AEA3316">
      <w:pPr>
        <w:snapToGrid w:val="0"/>
        <w:spacing w:line="48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3、竞争性磋商文件的解释权属于江苏建达全过程工程咨询有限公司　。</w:t>
      </w:r>
    </w:p>
    <w:p w14:paraId="7D290BCB">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供应商下载磋商文件后，应仔细检查磋商文件的所有内容。如内容中有页码短缺、资格要求以及任何设置有不合理的条件对供应商实行差别待遇或者歧视待遇的，应在磋商文件发布后的3日内，以书面形式向本单位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ascii="宋体" w:hAnsi="宋体" w:cs="宋体"/>
          <w:b/>
          <w:sz w:val="24"/>
          <w:szCs w:val="24"/>
          <w:highlight w:val="none"/>
        </w:rPr>
        <w:t>非书面形式的不作为日后质疑提出的依据。</w:t>
      </w:r>
    </w:p>
    <w:p w14:paraId="13A7DF33">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5、供应商应认真审阅磋商文件中所有的事项、格式、条款和规范要求等，如果供应商没有按照磋商文件要求提交响应文件，或者响应文件没有对磋商文件做出实质性响应，将被拒绝参与项目的磋商。</w:t>
      </w:r>
    </w:p>
    <w:p w14:paraId="75115C1E">
      <w:pPr>
        <w:snapToGrid w:val="0"/>
        <w:spacing w:line="480" w:lineRule="exact"/>
        <w:ind w:firstLine="482" w:firstLineChars="200"/>
        <w:outlineLvl w:val="1"/>
        <w:rPr>
          <w:rFonts w:ascii="宋体" w:hAnsi="宋体" w:cs="宋体"/>
          <w:b/>
          <w:sz w:val="24"/>
          <w:szCs w:val="24"/>
          <w:highlight w:val="none"/>
        </w:rPr>
      </w:pPr>
      <w:r>
        <w:rPr>
          <w:rFonts w:hint="eastAsia" w:ascii="宋体" w:hAnsi="宋体" w:cs="宋体"/>
          <w:b/>
          <w:sz w:val="24"/>
          <w:szCs w:val="24"/>
          <w:highlight w:val="none"/>
        </w:rPr>
        <w:t>二、磋商文件的澄清、修改、答疑</w:t>
      </w:r>
    </w:p>
    <w:p w14:paraId="79DDB44F">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1、本单位有权对发出的磋商文件进行必要的澄清、修改或补充。</w:t>
      </w:r>
    </w:p>
    <w:p w14:paraId="5F3F6BC7">
      <w:pPr>
        <w:snapToGrid w:val="0"/>
        <w:spacing w:line="48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2、磋商文件的澄清、修改、补充等内容均以书面明确的形式发布，并以本公告发布网站发布的信息为准。</w:t>
      </w:r>
    </w:p>
    <w:p w14:paraId="43795B33">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3、本单位对磋商文件的澄清、修改将构成磋商文件的一部分，对响应磋商的供应商具有约束力。</w:t>
      </w:r>
    </w:p>
    <w:p w14:paraId="1710E85C">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4、澄清或者修改的内容可能影响到响应文件编制的，本单位将在提交响应文件接收截止之日5日前，发布澄清或者修改公告，不足5日的，当顺延提交响应文件接收截止时间。</w:t>
      </w:r>
    </w:p>
    <w:p w14:paraId="5E813BE6">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5、除非本单位以书面的形式对磋商文件作出澄清、修改及补充，供应商对涉及磋商文件的任何推论、理解和结论所造成的结果，均由供应商自负。</w:t>
      </w:r>
    </w:p>
    <w:p w14:paraId="406FE689">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6、采购单位视情组织答疑会。如有产生答疑且对磋商文件内容有修改，本单位将按照本须知有关规定，以补充通知（公告）的方式发出。</w:t>
      </w:r>
    </w:p>
    <w:p w14:paraId="253B2ED7">
      <w:pPr>
        <w:snapToGrid w:val="0"/>
        <w:spacing w:line="480" w:lineRule="exact"/>
        <w:ind w:firstLine="482" w:firstLineChars="200"/>
        <w:outlineLvl w:val="1"/>
        <w:rPr>
          <w:rFonts w:ascii="宋体" w:hAnsi="宋体" w:cs="宋体"/>
          <w:b/>
          <w:sz w:val="24"/>
          <w:szCs w:val="24"/>
          <w:highlight w:val="none"/>
        </w:rPr>
      </w:pPr>
      <w:r>
        <w:rPr>
          <w:rFonts w:hint="eastAsia" w:ascii="宋体" w:hAnsi="宋体" w:cs="宋体"/>
          <w:b/>
          <w:sz w:val="24"/>
          <w:szCs w:val="24"/>
          <w:highlight w:val="none"/>
        </w:rPr>
        <w:t>三、响应文件的编制及装订</w:t>
      </w:r>
    </w:p>
    <w:p w14:paraId="52B55663">
      <w:pPr>
        <w:spacing w:line="480" w:lineRule="exact"/>
        <w:ind w:firstLine="484" w:firstLineChars="202"/>
        <w:rPr>
          <w:rFonts w:ascii="宋体" w:hAnsi="宋体" w:cs="宋体"/>
          <w:sz w:val="24"/>
          <w:szCs w:val="24"/>
          <w:highlight w:val="none"/>
        </w:rPr>
      </w:pPr>
      <w:r>
        <w:rPr>
          <w:rFonts w:hint="eastAsia" w:ascii="宋体" w:hAnsi="宋体" w:cs="宋体"/>
          <w:sz w:val="24"/>
          <w:szCs w:val="24"/>
          <w:highlight w:val="none"/>
        </w:rPr>
        <w:t>供应商按磋商文件要求编写响应文件，并牢固装订成册。响应文件均需采用A4纸（图纸等除外），响应文件不得行间插字、涂改、增删，如修改错漏处，须经响应文件签署人签字并加盖公章。</w:t>
      </w:r>
    </w:p>
    <w:p w14:paraId="43CE6A08">
      <w:pPr>
        <w:snapToGrid w:val="0"/>
        <w:spacing w:line="480" w:lineRule="exact"/>
        <w:ind w:firstLine="482" w:firstLineChars="200"/>
        <w:outlineLvl w:val="1"/>
        <w:rPr>
          <w:rFonts w:ascii="宋体" w:hAnsi="宋体" w:cs="宋体"/>
          <w:b/>
          <w:bCs/>
          <w:sz w:val="24"/>
          <w:szCs w:val="24"/>
          <w:highlight w:val="none"/>
        </w:rPr>
      </w:pPr>
      <w:r>
        <w:rPr>
          <w:rFonts w:hint="eastAsia" w:ascii="宋体" w:hAnsi="宋体" w:cs="宋体"/>
          <w:b/>
          <w:bCs/>
          <w:sz w:val="24"/>
          <w:szCs w:val="24"/>
          <w:highlight w:val="none"/>
        </w:rPr>
        <w:t>四、响应文件的份数和签署</w:t>
      </w:r>
    </w:p>
    <w:p w14:paraId="79362FFD">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1、响应文件由</w:t>
      </w:r>
      <w:bookmarkStart w:id="34" w:name="_Hlk120485090"/>
      <w:r>
        <w:rPr>
          <w:rFonts w:hint="eastAsia" w:ascii="宋体" w:hAnsi="宋体" w:cs="宋体"/>
          <w:sz w:val="24"/>
          <w:szCs w:val="24"/>
          <w:highlight w:val="none"/>
        </w:rPr>
        <w:t>：</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 1 \* GB3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①</w:t>
      </w:r>
      <w:r>
        <w:rPr>
          <w:rFonts w:hint="eastAsia" w:ascii="宋体" w:hAnsi="宋体" w:cs="宋体"/>
          <w:sz w:val="24"/>
          <w:szCs w:val="24"/>
          <w:highlight w:val="none"/>
        </w:rPr>
        <w:fldChar w:fldCharType="end"/>
      </w:r>
      <w:r>
        <w:rPr>
          <w:rFonts w:hint="eastAsia" w:ascii="宋体" w:hAnsi="宋体" w:cs="宋体"/>
          <w:sz w:val="24"/>
          <w:szCs w:val="24"/>
          <w:highlight w:val="none"/>
        </w:rPr>
        <w:t>资格审查文件、</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 2 \* GB3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②</w:t>
      </w:r>
      <w:r>
        <w:rPr>
          <w:rFonts w:hint="eastAsia" w:ascii="宋体" w:hAnsi="宋体" w:cs="宋体"/>
          <w:sz w:val="24"/>
          <w:szCs w:val="24"/>
          <w:highlight w:val="none"/>
        </w:rPr>
        <w:fldChar w:fldCharType="end"/>
      </w:r>
      <w:r>
        <w:rPr>
          <w:rFonts w:hint="eastAsia" w:ascii="宋体" w:hAnsi="宋体" w:cs="宋体"/>
          <w:sz w:val="24"/>
          <w:szCs w:val="24"/>
          <w:highlight w:val="none"/>
        </w:rPr>
        <w:t>技术响应文件、③商务报价响</w:t>
      </w:r>
      <w:bookmarkEnd w:id="34"/>
      <w:r>
        <w:rPr>
          <w:rFonts w:hint="eastAsia" w:ascii="宋体" w:hAnsi="宋体" w:cs="宋体"/>
          <w:sz w:val="24"/>
          <w:szCs w:val="24"/>
          <w:highlight w:val="none"/>
        </w:rPr>
        <w:t>应文件共3部分组成（以下由文件序号代称）。</w:t>
      </w:r>
    </w:p>
    <w:p w14:paraId="2BD43CCE">
      <w:pPr>
        <w:snapToGrid w:val="0"/>
        <w:spacing w:line="480" w:lineRule="exact"/>
        <w:ind w:firstLine="480" w:firstLineChars="200"/>
        <w:rPr>
          <w:rFonts w:ascii="宋体" w:hAnsi="宋体" w:cs="宋体"/>
          <w:b/>
          <w:sz w:val="24"/>
          <w:szCs w:val="24"/>
          <w:highlight w:val="none"/>
          <w:u w:val="single"/>
        </w:rPr>
      </w:pPr>
      <w:r>
        <w:rPr>
          <w:rFonts w:hint="eastAsia" w:ascii="宋体" w:hAnsi="宋体" w:cs="宋体"/>
          <w:sz w:val="24"/>
          <w:szCs w:val="24"/>
          <w:highlight w:val="none"/>
        </w:rPr>
        <w:t>2、响应文件均为</w:t>
      </w:r>
      <w:r>
        <w:rPr>
          <w:rFonts w:hint="eastAsia" w:ascii="宋体" w:hAnsi="宋体" w:cs="宋体"/>
          <w:b/>
          <w:sz w:val="24"/>
          <w:szCs w:val="24"/>
          <w:highlight w:val="none"/>
        </w:rPr>
        <w:t>一式叁份，其中“正本”壹份和“副本”贰份。</w:t>
      </w:r>
    </w:p>
    <w:p w14:paraId="754DFB6D">
      <w:pPr>
        <w:snapToGrid w:val="0"/>
        <w:spacing w:line="480" w:lineRule="exact"/>
        <w:ind w:firstLine="470" w:firstLineChars="196"/>
        <w:rPr>
          <w:rFonts w:ascii="宋体" w:hAnsi="宋体" w:cs="宋体"/>
          <w:sz w:val="24"/>
          <w:szCs w:val="24"/>
          <w:highlight w:val="none"/>
        </w:rPr>
      </w:pPr>
      <w:r>
        <w:rPr>
          <w:rFonts w:hint="eastAsia" w:ascii="宋体" w:hAnsi="宋体" w:cs="宋体"/>
          <w:sz w:val="24"/>
          <w:szCs w:val="24"/>
          <w:highlight w:val="none"/>
        </w:rPr>
        <w:t>3、在每份响应文件上要明确标注项目名称、对应的响应文件名称、供应商的全称、日期、“正本”、“副本”字样。“正本”和“副本”若有差异，概以“正本”为准。</w:t>
      </w:r>
    </w:p>
    <w:p w14:paraId="329067BA">
      <w:pPr>
        <w:snapToGrid w:val="0"/>
        <w:spacing w:line="480" w:lineRule="exact"/>
        <w:ind w:firstLine="470" w:firstLineChars="196"/>
        <w:rPr>
          <w:rFonts w:ascii="宋体" w:hAnsi="宋体" w:cs="宋体"/>
          <w:sz w:val="24"/>
          <w:szCs w:val="24"/>
          <w:highlight w:val="none"/>
        </w:rPr>
      </w:pPr>
      <w:r>
        <w:rPr>
          <w:rFonts w:hint="eastAsia" w:ascii="宋体" w:hAnsi="宋体" w:cs="宋体"/>
          <w:sz w:val="24"/>
          <w:szCs w:val="24"/>
          <w:highlight w:val="none"/>
        </w:rPr>
        <w:t>4、供应商可将响应文件正副本统一密封或分别密封，如正本和副本分别密封的，应在封袋上标明正、副本字样。</w:t>
      </w:r>
    </w:p>
    <w:p w14:paraId="4F1C041E">
      <w:pPr>
        <w:snapToGrid w:val="0"/>
        <w:spacing w:line="480" w:lineRule="exact"/>
        <w:ind w:firstLine="470" w:firstLineChars="196"/>
        <w:rPr>
          <w:rFonts w:ascii="宋体" w:hAnsi="宋体" w:cs="宋体"/>
          <w:sz w:val="24"/>
          <w:szCs w:val="24"/>
          <w:highlight w:val="none"/>
        </w:rPr>
      </w:pPr>
      <w:r>
        <w:rPr>
          <w:rFonts w:hint="eastAsia" w:ascii="宋体" w:hAnsi="宋体" w:cs="宋体"/>
          <w:sz w:val="24"/>
          <w:szCs w:val="24"/>
          <w:highlight w:val="none"/>
        </w:rPr>
        <w:t>5、响应文件中的所有“正本”，其正文内容须按磋商文件要求由供应商法定代表人或被授权人签字（或盖章）并加盖单位公章。“副本”可复印，但须加盖单位公章。</w:t>
      </w:r>
    </w:p>
    <w:p w14:paraId="44D301B6">
      <w:pPr>
        <w:snapToGrid w:val="0"/>
        <w:spacing w:line="480" w:lineRule="exact"/>
        <w:ind w:firstLine="472" w:firstLineChars="196"/>
        <w:rPr>
          <w:rFonts w:ascii="宋体" w:hAnsi="宋体" w:cs="宋体"/>
          <w:b/>
          <w:bCs/>
          <w:sz w:val="24"/>
          <w:szCs w:val="24"/>
          <w:highlight w:val="none"/>
        </w:rPr>
      </w:pPr>
      <w:r>
        <w:rPr>
          <w:rFonts w:hint="eastAsia" w:ascii="宋体" w:hAnsi="宋体" w:cs="宋体"/>
          <w:b/>
          <w:bCs/>
          <w:sz w:val="24"/>
          <w:szCs w:val="24"/>
          <w:highlight w:val="none"/>
        </w:rPr>
        <w:t>五、响应文件的密封及标记</w:t>
      </w:r>
    </w:p>
    <w:p w14:paraId="3B6008F6">
      <w:pPr>
        <w:snapToGrid w:val="0"/>
        <w:spacing w:line="48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1、供应商须将本项目响应文件：</w:t>
      </w:r>
      <w:bookmarkStart w:id="35" w:name="_Hlk120485102"/>
      <w:r>
        <w:rPr>
          <w:rFonts w:hint="eastAsia" w:ascii="宋体" w:hAnsi="宋体" w:cs="宋体"/>
          <w:sz w:val="24"/>
          <w:szCs w:val="24"/>
          <w:highlight w:val="none"/>
        </w:rPr>
        <w:t>①资格审查文件、②技术响应文件</w:t>
      </w:r>
      <w:bookmarkEnd w:id="35"/>
      <w:r>
        <w:rPr>
          <w:rFonts w:hint="eastAsia" w:ascii="宋体" w:hAnsi="宋体" w:cs="宋体"/>
          <w:sz w:val="24"/>
          <w:szCs w:val="24"/>
          <w:highlight w:val="none"/>
        </w:rPr>
        <w:t>、③商务报价响应文。</w:t>
      </w:r>
    </w:p>
    <w:p w14:paraId="136A7E0F">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2、密封后，应在每一密封的响应文件上明确标注磋商项目名称、响应文件各自对应的名称、供应商的全称及日期。</w:t>
      </w:r>
      <w:r>
        <w:rPr>
          <w:rFonts w:hint="eastAsia" w:ascii="宋体" w:hAnsi="宋体" w:cs="宋体"/>
          <w:sz w:val="24"/>
          <w:szCs w:val="24"/>
          <w:highlight w:val="none"/>
        </w:rPr>
        <w:tab/>
      </w:r>
      <w:r>
        <w:rPr>
          <w:rFonts w:hint="eastAsia" w:ascii="宋体" w:hAnsi="宋体" w:cs="宋体"/>
          <w:sz w:val="24"/>
          <w:szCs w:val="24"/>
          <w:highlight w:val="none"/>
        </w:rPr>
        <w:tab/>
      </w:r>
    </w:p>
    <w:p w14:paraId="56FE77B5">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3、在边缝处加盖供应商公章或骑缝签字。</w:t>
      </w:r>
    </w:p>
    <w:p w14:paraId="7E2293C1">
      <w:pPr>
        <w:snapToGrid w:val="0"/>
        <w:spacing w:line="480" w:lineRule="exact"/>
        <w:ind w:firstLine="482" w:firstLineChars="200"/>
        <w:rPr>
          <w:rFonts w:ascii="宋体" w:hAnsi="宋体" w:cs="宋体"/>
          <w:sz w:val="24"/>
          <w:szCs w:val="24"/>
          <w:highlight w:val="none"/>
        </w:rPr>
      </w:pPr>
      <w:r>
        <w:rPr>
          <w:rFonts w:hint="eastAsia" w:ascii="宋体" w:hAnsi="宋体" w:cs="宋体"/>
          <w:b/>
          <w:sz w:val="24"/>
          <w:szCs w:val="24"/>
          <w:highlight w:val="none"/>
        </w:rPr>
        <w:t>【特别提醒】</w:t>
      </w:r>
      <w:r>
        <w:rPr>
          <w:rFonts w:hint="eastAsia" w:ascii="宋体" w:hAnsi="宋体" w:cs="宋体"/>
          <w:sz w:val="24"/>
          <w:szCs w:val="24"/>
          <w:highlight w:val="none"/>
        </w:rPr>
        <w:t>响应文件中的①资格审查文件和②技术响应文件的“正本”或“副本”中，均不得含有商务报价响应文件中报价表（报价单）内的任何项目价格，否则作无效投标处理。</w:t>
      </w:r>
    </w:p>
    <w:p w14:paraId="2E6F0506">
      <w:pPr>
        <w:snapToGrid w:val="0"/>
        <w:spacing w:line="480" w:lineRule="exact"/>
        <w:ind w:firstLine="496" w:firstLineChars="206"/>
        <w:outlineLvl w:val="1"/>
        <w:rPr>
          <w:rFonts w:ascii="宋体" w:hAnsi="宋体" w:cs="宋体"/>
          <w:b/>
          <w:bCs/>
          <w:sz w:val="24"/>
          <w:szCs w:val="24"/>
          <w:highlight w:val="none"/>
        </w:rPr>
      </w:pPr>
      <w:r>
        <w:rPr>
          <w:rFonts w:hint="eastAsia" w:ascii="宋体" w:hAnsi="宋体" w:cs="宋体"/>
          <w:b/>
          <w:bCs/>
          <w:sz w:val="24"/>
          <w:szCs w:val="24"/>
          <w:highlight w:val="none"/>
        </w:rPr>
        <w:t>六、磋商报价</w:t>
      </w:r>
    </w:p>
    <w:p w14:paraId="4F376F49">
      <w:pPr>
        <w:snapToGrid w:val="0"/>
        <w:spacing w:line="480" w:lineRule="exact"/>
        <w:ind w:firstLine="494" w:firstLineChars="206"/>
        <w:rPr>
          <w:rFonts w:ascii="宋体" w:hAnsi="宋体" w:cs="宋体"/>
          <w:sz w:val="24"/>
          <w:szCs w:val="24"/>
          <w:highlight w:val="none"/>
        </w:rPr>
      </w:pPr>
      <w:r>
        <w:rPr>
          <w:rFonts w:hint="eastAsia" w:ascii="宋体" w:hAnsi="宋体" w:cs="宋体"/>
          <w:sz w:val="24"/>
          <w:szCs w:val="24"/>
          <w:highlight w:val="none"/>
        </w:rPr>
        <w:t>1、本项目不接受任何有选择的报价。</w:t>
      </w:r>
    </w:p>
    <w:p w14:paraId="5F0A93C9">
      <w:pPr>
        <w:snapToGrid w:val="0"/>
        <w:spacing w:line="480" w:lineRule="exact"/>
        <w:ind w:firstLine="494" w:firstLineChars="206"/>
        <w:rPr>
          <w:rFonts w:ascii="宋体" w:hAnsi="宋体" w:cs="宋体"/>
          <w:sz w:val="24"/>
          <w:szCs w:val="24"/>
          <w:highlight w:val="none"/>
        </w:rPr>
      </w:pPr>
      <w:r>
        <w:rPr>
          <w:rFonts w:hint="eastAsia" w:ascii="宋体" w:hAnsi="宋体" w:cs="宋体"/>
          <w:sz w:val="24"/>
          <w:szCs w:val="24"/>
          <w:highlight w:val="none"/>
        </w:rPr>
        <w:t>2、磋商报价均以人民币为报价的币种。</w:t>
      </w:r>
    </w:p>
    <w:p w14:paraId="7853B97F">
      <w:pPr>
        <w:snapToGrid w:val="0"/>
        <w:spacing w:line="480" w:lineRule="exact"/>
        <w:ind w:firstLine="494" w:firstLineChars="206"/>
        <w:rPr>
          <w:rFonts w:ascii="宋体" w:hAnsi="宋体" w:cs="宋体"/>
          <w:sz w:val="24"/>
          <w:szCs w:val="24"/>
          <w:highlight w:val="none"/>
        </w:rPr>
      </w:pPr>
      <w:r>
        <w:rPr>
          <w:rFonts w:hint="eastAsia" w:ascii="宋体" w:hAnsi="宋体" w:cs="宋体"/>
          <w:sz w:val="24"/>
          <w:szCs w:val="24"/>
          <w:highlight w:val="none"/>
        </w:rPr>
        <w:t>3、磋商报价表必须加盖单位公章且必须经法定代表人或被授权人签字或盖章。报价表中的大写金额与小写金额、总价金额与按单价汇总金额，若有差异，将执行《政府采购货物和服务招标投标管理办法》第41条的规定。</w:t>
      </w:r>
    </w:p>
    <w:p w14:paraId="5C124350">
      <w:pPr>
        <w:snapToGrid w:val="0"/>
        <w:spacing w:line="480" w:lineRule="exact"/>
        <w:ind w:firstLine="494" w:firstLineChars="206"/>
        <w:rPr>
          <w:rFonts w:ascii="宋体" w:hAnsi="宋体" w:cs="宋体"/>
          <w:sz w:val="24"/>
          <w:szCs w:val="24"/>
          <w:highlight w:val="none"/>
        </w:rPr>
      </w:pPr>
      <w:r>
        <w:rPr>
          <w:rFonts w:hint="eastAsia" w:ascii="宋体" w:hAnsi="宋体" w:cs="宋体"/>
          <w:sz w:val="24"/>
          <w:szCs w:val="24"/>
          <w:highlight w:val="none"/>
        </w:rPr>
        <w:t>4、供应商应按本竞争性磋商文件内项目需求的全部采购内容计算总价。</w:t>
      </w:r>
    </w:p>
    <w:p w14:paraId="3379EBE8">
      <w:pPr>
        <w:spacing w:line="520" w:lineRule="exact"/>
        <w:rPr>
          <w:rFonts w:ascii="宋体" w:hAnsi="宋体" w:cs="宋体"/>
          <w:sz w:val="24"/>
          <w:szCs w:val="24"/>
          <w:highlight w:val="none"/>
        </w:rPr>
      </w:pPr>
      <w:r>
        <w:rPr>
          <w:rFonts w:hint="eastAsia" w:ascii="宋体" w:hAnsi="宋体" w:cs="宋体"/>
          <w:sz w:val="24"/>
          <w:szCs w:val="24"/>
          <w:highlight w:val="none"/>
        </w:rPr>
        <w:t xml:space="preserve">    5、磋商报价的总价中应包含：供应商为完成本报业大厦电梯维保规定的各项工作所承担的全部费用、利润和税金及政策性文件规定合同包含内的所有风险责任等各项费用，不论其在招标文件中是否提及。即招标物交付使用前的所有费用以及免保期内的服务费用等包含响应竞争性磋商文件采购要求的所有费用。</w:t>
      </w:r>
    </w:p>
    <w:p w14:paraId="438C8406">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6、供应商应详细阅读竞争性磋商文件的全部内容，根据采购项目需求，准确制定相关工作方案等，必须对本采购项目全部进行报价，如有漏项，视同对本项目的优惠。不按竞争性磋商文件的要求提供响应文件，导致报价无效，作无效标处理。</w:t>
      </w:r>
    </w:p>
    <w:p w14:paraId="6AC744AC">
      <w:pPr>
        <w:spacing w:line="480" w:lineRule="exact"/>
        <w:ind w:firstLine="494" w:firstLineChars="206"/>
        <w:rPr>
          <w:rFonts w:ascii="宋体" w:hAnsi="宋体" w:cs="宋体"/>
          <w:sz w:val="24"/>
          <w:szCs w:val="24"/>
          <w:highlight w:val="none"/>
        </w:rPr>
      </w:pPr>
      <w:r>
        <w:rPr>
          <w:rFonts w:hint="eastAsia" w:ascii="宋体" w:hAnsi="宋体" w:cs="宋体"/>
          <w:sz w:val="24"/>
          <w:szCs w:val="24"/>
          <w:highlight w:val="none"/>
        </w:rPr>
        <w:t>7、竞争性磋商的最终报价为成交价。同时，供应商的最终成交价在合同实施期间不因市场变化因素而变动。</w:t>
      </w:r>
    </w:p>
    <w:p w14:paraId="16469B88">
      <w:pPr>
        <w:tabs>
          <w:tab w:val="left" w:pos="1950"/>
        </w:tabs>
        <w:snapToGrid w:val="0"/>
        <w:spacing w:line="48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七、</w:t>
      </w:r>
      <w:r>
        <w:rPr>
          <w:rFonts w:ascii="宋体" w:hAnsi="宋体" w:cs="宋体"/>
          <w:b/>
          <w:sz w:val="24"/>
          <w:szCs w:val="24"/>
          <w:highlight w:val="none"/>
        </w:rPr>
        <w:t>本项目付款方式</w:t>
      </w:r>
    </w:p>
    <w:p w14:paraId="60B517CC">
      <w:pPr>
        <w:snapToGrid w:val="0"/>
        <w:spacing w:line="480" w:lineRule="exact"/>
        <w:ind w:firstLine="460" w:firstLineChars="192"/>
        <w:rPr>
          <w:sz w:val="24"/>
          <w:highlight w:val="none"/>
        </w:rPr>
      </w:pPr>
      <w:r>
        <w:rPr>
          <w:rFonts w:hint="eastAsia"/>
          <w:sz w:val="24"/>
          <w:highlight w:val="none"/>
        </w:rPr>
        <w:t>本合同自签订之日起，每半年根据维保考核情况支付当年年度维保费的50%；成交人需提供等额、合法有效的增值税专用发票凭证。采购人自收到成交人提供的发票后，一个月内支付。所有款项由采购人按相关财务支付规定办理支付手续，不得故意拖延支付时间。</w:t>
      </w:r>
    </w:p>
    <w:p w14:paraId="3F7B5728">
      <w:pPr>
        <w:snapToGrid w:val="0"/>
        <w:spacing w:line="480" w:lineRule="exact"/>
        <w:ind w:firstLine="463" w:firstLineChars="192"/>
        <w:rPr>
          <w:rFonts w:ascii="宋体" w:hAnsi="宋体" w:cs="宋体"/>
          <w:b/>
          <w:sz w:val="24"/>
          <w:szCs w:val="24"/>
          <w:highlight w:val="none"/>
        </w:rPr>
      </w:pPr>
      <w:r>
        <w:rPr>
          <w:rFonts w:hint="eastAsia" w:ascii="宋体" w:hAnsi="宋体" w:cs="宋体"/>
          <w:b/>
          <w:sz w:val="24"/>
          <w:szCs w:val="24"/>
          <w:highlight w:val="none"/>
        </w:rPr>
        <w:t>八、招标代理服相关费用</w:t>
      </w:r>
    </w:p>
    <w:p w14:paraId="0A6D07E1">
      <w:pPr>
        <w:snapToGrid w:val="0"/>
        <w:spacing w:line="480" w:lineRule="exact"/>
        <w:ind w:firstLine="494" w:firstLineChars="206"/>
        <w:rPr>
          <w:rFonts w:ascii="宋体" w:hAnsi="宋体" w:cs="宋体"/>
          <w:sz w:val="24"/>
          <w:szCs w:val="24"/>
          <w:highlight w:val="none"/>
        </w:rPr>
      </w:pPr>
      <w:r>
        <w:rPr>
          <w:rFonts w:hint="eastAsia" w:ascii="宋体" w:hAnsi="宋体" w:cs="宋体"/>
          <w:sz w:val="24"/>
          <w:szCs w:val="24"/>
          <w:highlight w:val="none"/>
        </w:rPr>
        <w:t>1、本项目采购代理服务费按3000元，供应商须综合考虑在投标报价内（不得单列），成交供应商在领取成交通知书前支付给采购代理机构。</w:t>
      </w:r>
    </w:p>
    <w:p w14:paraId="055008D1">
      <w:pPr>
        <w:snapToGrid w:val="0"/>
        <w:spacing w:line="480" w:lineRule="exact"/>
        <w:ind w:firstLine="494" w:firstLineChars="206"/>
        <w:rPr>
          <w:rFonts w:ascii="宋体" w:hAnsi="宋体" w:cs="宋体"/>
          <w:sz w:val="24"/>
          <w:szCs w:val="24"/>
          <w:highlight w:val="none"/>
        </w:rPr>
      </w:pPr>
      <w:r>
        <w:rPr>
          <w:rFonts w:hint="eastAsia" w:ascii="宋体" w:hAnsi="宋体" w:cs="宋体"/>
          <w:sz w:val="24"/>
          <w:szCs w:val="24"/>
          <w:highlight w:val="none"/>
        </w:rPr>
        <w:t>2、以上费用投标人自行考虑包含在投标总价内。</w:t>
      </w:r>
    </w:p>
    <w:p w14:paraId="75964C56">
      <w:pPr>
        <w:wordWrap w:val="0"/>
        <w:spacing w:line="360" w:lineRule="auto"/>
        <w:ind w:firstLine="482" w:firstLineChars="200"/>
        <w:rPr>
          <w:rFonts w:ascii="宋体" w:hAnsi="宋体" w:cs="宋体"/>
          <w:sz w:val="24"/>
          <w:szCs w:val="22"/>
          <w:highlight w:val="none"/>
        </w:rPr>
      </w:pPr>
      <w:r>
        <w:rPr>
          <w:rFonts w:hint="eastAsia" w:ascii="宋体" w:hAnsi="宋体" w:cs="宋体"/>
          <w:b/>
          <w:sz w:val="24"/>
          <w:szCs w:val="22"/>
          <w:highlight w:val="none"/>
        </w:rPr>
        <w:t>九、履约保证金</w:t>
      </w:r>
    </w:p>
    <w:p w14:paraId="08DDCCCA">
      <w:pPr>
        <w:snapToGrid w:val="0"/>
        <w:spacing w:line="360" w:lineRule="auto"/>
        <w:ind w:firstLine="494" w:firstLineChars="206"/>
        <w:outlineLvl w:val="1"/>
        <w:rPr>
          <w:rFonts w:ascii="宋体" w:hAnsi="宋体" w:cs="宋体"/>
          <w:sz w:val="24"/>
          <w:szCs w:val="22"/>
          <w:highlight w:val="none"/>
        </w:rPr>
      </w:pPr>
      <w:r>
        <w:rPr>
          <w:rFonts w:hint="eastAsia" w:ascii="宋体" w:hAnsi="宋体" w:cs="宋体"/>
          <w:sz w:val="24"/>
          <w:szCs w:val="22"/>
          <w:highlight w:val="none"/>
        </w:rPr>
        <w:t>本项目不涉及履约保证金。</w:t>
      </w:r>
    </w:p>
    <w:p w14:paraId="1F59DC18">
      <w:pPr>
        <w:snapToGrid w:val="0"/>
        <w:spacing w:line="360" w:lineRule="auto"/>
        <w:ind w:firstLine="496" w:firstLineChars="206"/>
        <w:outlineLvl w:val="1"/>
        <w:rPr>
          <w:rFonts w:ascii="宋体" w:hAnsi="宋体" w:cs="宋体"/>
          <w:b/>
          <w:sz w:val="24"/>
          <w:szCs w:val="24"/>
          <w:highlight w:val="none"/>
        </w:rPr>
      </w:pPr>
      <w:r>
        <w:rPr>
          <w:rFonts w:hint="eastAsia" w:ascii="宋体" w:hAnsi="宋体" w:cs="宋体"/>
          <w:b/>
          <w:sz w:val="24"/>
          <w:szCs w:val="24"/>
          <w:highlight w:val="none"/>
        </w:rPr>
        <w:t>十、合同签订</w:t>
      </w:r>
    </w:p>
    <w:p w14:paraId="470F89CF">
      <w:pPr>
        <w:snapToGrid w:val="0"/>
        <w:spacing w:line="360" w:lineRule="auto"/>
        <w:ind w:firstLine="480" w:firstLineChars="200"/>
        <w:outlineLvl w:val="1"/>
        <w:rPr>
          <w:rFonts w:ascii="宋体" w:hAnsi="宋体" w:cs="宋体"/>
          <w:sz w:val="24"/>
          <w:szCs w:val="24"/>
          <w:highlight w:val="none"/>
        </w:rPr>
      </w:pPr>
      <w:r>
        <w:rPr>
          <w:rFonts w:hint="eastAsia" w:ascii="宋体" w:hAnsi="宋体" w:cs="宋体"/>
          <w:sz w:val="24"/>
          <w:szCs w:val="24"/>
          <w:highlight w:val="none"/>
        </w:rPr>
        <w:t>成交人在成交通知书发出后</w:t>
      </w:r>
      <w:r>
        <w:rPr>
          <w:rFonts w:ascii="宋体" w:hAnsi="宋体" w:cs="宋体"/>
          <w:sz w:val="24"/>
          <w:szCs w:val="24"/>
          <w:highlight w:val="none"/>
        </w:rPr>
        <w:t>5</w:t>
      </w:r>
      <w:r>
        <w:rPr>
          <w:rFonts w:hint="eastAsia" w:ascii="宋体" w:hAnsi="宋体" w:cs="宋体"/>
          <w:sz w:val="24"/>
          <w:szCs w:val="24"/>
          <w:highlight w:val="none"/>
        </w:rPr>
        <w:t>日内与采购单位签订合同，未与采购单位签订合同，超期或未有协商，则视为自动放弃成交资格。</w:t>
      </w:r>
    </w:p>
    <w:p w14:paraId="4E9EF6B9">
      <w:pPr>
        <w:snapToGrid w:val="0"/>
        <w:spacing w:line="480" w:lineRule="exact"/>
        <w:ind w:firstLine="496" w:firstLineChars="206"/>
        <w:outlineLvl w:val="1"/>
        <w:rPr>
          <w:rFonts w:ascii="宋体" w:hAnsi="宋体" w:cs="宋体"/>
          <w:b/>
          <w:sz w:val="24"/>
          <w:szCs w:val="24"/>
          <w:highlight w:val="none"/>
        </w:rPr>
      </w:pPr>
      <w:r>
        <w:rPr>
          <w:rFonts w:hint="eastAsia" w:ascii="宋体" w:hAnsi="宋体" w:cs="宋体"/>
          <w:b/>
          <w:sz w:val="24"/>
          <w:szCs w:val="24"/>
          <w:highlight w:val="none"/>
        </w:rPr>
        <w:t>十一、未尽事宜</w:t>
      </w:r>
    </w:p>
    <w:p w14:paraId="653003B6">
      <w:pPr>
        <w:snapToGrid w:val="0"/>
        <w:spacing w:line="480" w:lineRule="exact"/>
        <w:ind w:firstLine="494" w:firstLineChars="206"/>
        <w:rPr>
          <w:rFonts w:ascii="宋体" w:hAnsi="宋体" w:cs="宋体"/>
          <w:sz w:val="24"/>
          <w:szCs w:val="24"/>
          <w:highlight w:val="none"/>
        </w:rPr>
      </w:pPr>
      <w:r>
        <w:rPr>
          <w:rFonts w:hint="eastAsia" w:ascii="宋体" w:hAnsi="宋体" w:cs="宋体"/>
          <w:sz w:val="24"/>
          <w:szCs w:val="24"/>
          <w:highlight w:val="none"/>
        </w:rPr>
        <w:t>按《中华人民共和国政府采购法》、《政府采购竞争性磋商采购方式管理暂行办法》及其他有关法律法规的规定执行。</w:t>
      </w:r>
    </w:p>
    <w:p w14:paraId="0A4EF5F4">
      <w:pPr>
        <w:pStyle w:val="18"/>
        <w:rPr>
          <w:highlight w:val="none"/>
        </w:rPr>
      </w:pPr>
    </w:p>
    <w:p w14:paraId="48D929D5">
      <w:pPr>
        <w:snapToGrid w:val="0"/>
        <w:spacing w:line="360" w:lineRule="auto"/>
        <w:ind w:firstLine="576" w:firstLineChars="206"/>
        <w:jc w:val="center"/>
        <w:rPr>
          <w:rFonts w:ascii="宋体" w:hAnsi="宋体" w:cs="宋体"/>
          <w:b/>
          <w:iCs/>
          <w:w w:val="80"/>
          <w:sz w:val="44"/>
          <w:szCs w:val="44"/>
          <w:highlight w:val="none"/>
        </w:rPr>
      </w:pPr>
      <w:r>
        <w:rPr>
          <w:rFonts w:hint="eastAsia" w:ascii="宋体" w:hAnsi="宋体" w:cs="宋体"/>
          <w:sz w:val="28"/>
          <w:szCs w:val="28"/>
          <w:highlight w:val="none"/>
        </w:rPr>
        <w:br w:type="page"/>
      </w:r>
      <w:bookmarkStart w:id="36" w:name="_Toc363573855"/>
      <w:r>
        <w:rPr>
          <w:rFonts w:hint="eastAsia" w:ascii="宋体" w:hAnsi="宋体" w:cs="宋体"/>
          <w:b/>
          <w:iCs/>
          <w:w w:val="80"/>
          <w:sz w:val="44"/>
          <w:szCs w:val="44"/>
          <w:highlight w:val="none"/>
        </w:rPr>
        <w:t xml:space="preserve">第三章  </w:t>
      </w:r>
      <w:bookmarkEnd w:id="24"/>
      <w:bookmarkEnd w:id="25"/>
      <w:bookmarkEnd w:id="26"/>
      <w:bookmarkEnd w:id="27"/>
      <w:bookmarkEnd w:id="28"/>
      <w:bookmarkEnd w:id="29"/>
      <w:bookmarkEnd w:id="30"/>
      <w:bookmarkEnd w:id="31"/>
      <w:bookmarkEnd w:id="32"/>
      <w:bookmarkEnd w:id="33"/>
      <w:r>
        <w:rPr>
          <w:rFonts w:hint="eastAsia" w:ascii="宋体" w:hAnsi="宋体" w:cs="宋体"/>
          <w:b/>
          <w:iCs/>
          <w:w w:val="80"/>
          <w:sz w:val="44"/>
          <w:szCs w:val="44"/>
          <w:highlight w:val="none"/>
        </w:rPr>
        <w:t>项目需求</w:t>
      </w:r>
      <w:bookmarkEnd w:id="36"/>
      <w:bookmarkStart w:id="37" w:name="_Toc94585342"/>
      <w:bookmarkStart w:id="38" w:name="_Toc11554641"/>
      <w:bookmarkStart w:id="39" w:name="_Toc13803483"/>
      <w:bookmarkStart w:id="40" w:name="_Toc521203420"/>
      <w:bookmarkStart w:id="41" w:name="_Toc11500282"/>
      <w:bookmarkStart w:id="42" w:name="_Toc521201599"/>
      <w:bookmarkStart w:id="43" w:name="_Toc11499586"/>
      <w:bookmarkStart w:id="44" w:name="_Toc94544746"/>
      <w:bookmarkStart w:id="45" w:name="_Toc8895741"/>
      <w:bookmarkStart w:id="46" w:name="_Toc94544872"/>
      <w:bookmarkStart w:id="47" w:name="_Toc12670505"/>
      <w:bookmarkStart w:id="48" w:name="_Toc363573856"/>
    </w:p>
    <w:p w14:paraId="011E82FF">
      <w:pPr>
        <w:pStyle w:val="14"/>
        <w:spacing w:line="360" w:lineRule="auto"/>
        <w:ind w:firstLine="562" w:firstLineChars="200"/>
        <w:outlineLvl w:val="0"/>
        <w:rPr>
          <w:rFonts w:cs="宋体"/>
          <w:b/>
          <w:bCs/>
          <w:color w:val="000000"/>
          <w:sz w:val="28"/>
          <w:szCs w:val="28"/>
          <w:highlight w:val="none"/>
        </w:rPr>
      </w:pPr>
      <w:r>
        <w:rPr>
          <w:rFonts w:hint="eastAsia" w:cs="宋体"/>
          <w:b/>
          <w:bCs/>
          <w:color w:val="000000"/>
          <w:sz w:val="28"/>
          <w:szCs w:val="28"/>
          <w:highlight w:val="none"/>
        </w:rPr>
        <w:t>一、项目概况：</w:t>
      </w:r>
    </w:p>
    <w:p w14:paraId="5FBFF6C9">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1、项目预算：12万元/3年。</w:t>
      </w:r>
    </w:p>
    <w:p w14:paraId="721ED412">
      <w:pPr>
        <w:pStyle w:val="14"/>
        <w:spacing w:line="360" w:lineRule="auto"/>
        <w:ind w:firstLine="562" w:firstLineChars="200"/>
        <w:outlineLvl w:val="0"/>
        <w:rPr>
          <w:rFonts w:cs="宋体"/>
          <w:b/>
          <w:bCs/>
          <w:sz w:val="28"/>
          <w:szCs w:val="28"/>
          <w:highlight w:val="none"/>
        </w:rPr>
      </w:pPr>
      <w:r>
        <w:rPr>
          <w:rFonts w:hint="eastAsia" w:cs="宋体"/>
          <w:b/>
          <w:bCs/>
          <w:color w:val="000000"/>
          <w:sz w:val="28"/>
          <w:szCs w:val="28"/>
          <w:highlight w:val="none"/>
        </w:rPr>
        <w:t>二、项目需求内容：</w:t>
      </w:r>
    </w:p>
    <w:p w14:paraId="0A50AFD1">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按技术规范要求对本单位在运行的</w:t>
      </w:r>
      <w:r>
        <w:rPr>
          <w:rFonts w:hint="eastAsia" w:ascii="宋体" w:hAnsi="宋体" w:cs="宋体"/>
          <w:kern w:val="0"/>
          <w:sz w:val="24"/>
          <w:highlight w:val="none"/>
          <w:u w:val="single"/>
        </w:rPr>
        <w:t xml:space="preserve"> 11  </w:t>
      </w:r>
      <w:r>
        <w:rPr>
          <w:rFonts w:hint="eastAsia" w:ascii="宋体" w:hAnsi="宋体" w:cs="宋体"/>
          <w:kern w:val="0"/>
          <w:sz w:val="24"/>
          <w:highlight w:val="none"/>
        </w:rPr>
        <w:t>台电梯进行日常运行维修保养服务。</w:t>
      </w:r>
    </w:p>
    <w:p w14:paraId="4238C2BA">
      <w:pPr>
        <w:snapToGrid w:val="0"/>
        <w:spacing w:line="360" w:lineRule="auto"/>
        <w:ind w:firstLine="482" w:firstLineChars="200"/>
        <w:rPr>
          <w:rFonts w:ascii="宋体" w:hAnsi="宋体" w:cs="宋体"/>
          <w:kern w:val="0"/>
          <w:sz w:val="24"/>
          <w:highlight w:val="none"/>
        </w:rPr>
      </w:pPr>
      <w:r>
        <w:rPr>
          <w:rFonts w:hint="eastAsia" w:ascii="宋体" w:hAnsi="宋体" w:cs="宋体"/>
          <w:b/>
          <w:bCs/>
          <w:kern w:val="0"/>
          <w:sz w:val="24"/>
          <w:highlight w:val="none"/>
        </w:rPr>
        <w:t>本项目电梯所在地点、数量如下：</w:t>
      </w:r>
    </w:p>
    <w:tbl>
      <w:tblPr>
        <w:tblStyle w:val="54"/>
        <w:tblW w:w="106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08"/>
        <w:gridCol w:w="2631"/>
        <w:gridCol w:w="1395"/>
        <w:gridCol w:w="1335"/>
        <w:gridCol w:w="1095"/>
        <w:gridCol w:w="1535"/>
        <w:gridCol w:w="1535"/>
      </w:tblGrid>
      <w:tr w14:paraId="27E9A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108" w:type="dxa"/>
            <w:tcBorders>
              <w:top w:val="single" w:color="auto" w:sz="12" w:space="0"/>
              <w:bottom w:val="double" w:color="auto" w:sz="4" w:space="0"/>
            </w:tcBorders>
            <w:vAlign w:val="center"/>
          </w:tcPr>
          <w:p w14:paraId="364E81E9">
            <w:pPr>
              <w:spacing w:line="296" w:lineRule="exact"/>
              <w:jc w:val="center"/>
              <w:rPr>
                <w:rFonts w:ascii="Arial" w:hAnsi="Arial" w:eastAsia="黑体" w:cs="Arial"/>
                <w:b/>
                <w:bCs/>
                <w:sz w:val="18"/>
                <w:szCs w:val="18"/>
                <w:highlight w:val="none"/>
              </w:rPr>
            </w:pPr>
            <w:r>
              <w:rPr>
                <w:rFonts w:hint="eastAsia" w:ascii="Arial" w:hAnsi="Arial" w:eastAsia="黑体" w:cs="Arial"/>
                <w:b/>
                <w:bCs/>
                <w:sz w:val="18"/>
                <w:szCs w:val="18"/>
                <w:highlight w:val="none"/>
              </w:rPr>
              <w:t>序号</w:t>
            </w:r>
          </w:p>
        </w:tc>
        <w:tc>
          <w:tcPr>
            <w:tcW w:w="2631" w:type="dxa"/>
            <w:tcBorders>
              <w:top w:val="single" w:color="auto" w:sz="12" w:space="0"/>
              <w:bottom w:val="double" w:color="auto" w:sz="4" w:space="0"/>
            </w:tcBorders>
            <w:vAlign w:val="center"/>
          </w:tcPr>
          <w:p w14:paraId="469895B4">
            <w:pPr>
              <w:spacing w:line="296" w:lineRule="exact"/>
              <w:jc w:val="center"/>
              <w:rPr>
                <w:rFonts w:ascii="Arial" w:hAnsi="Arial" w:eastAsia="黑体" w:cs="Arial"/>
                <w:b/>
                <w:bCs/>
                <w:sz w:val="18"/>
                <w:highlight w:val="none"/>
              </w:rPr>
            </w:pPr>
            <w:r>
              <w:rPr>
                <w:rFonts w:hint="eastAsia" w:ascii="Arial" w:hAnsi="Arial" w:eastAsia="黑体" w:cs="Arial"/>
                <w:b/>
                <w:bCs/>
                <w:sz w:val="18"/>
                <w:szCs w:val="18"/>
                <w:highlight w:val="none"/>
              </w:rPr>
              <w:t>电梯位置</w:t>
            </w:r>
          </w:p>
        </w:tc>
        <w:tc>
          <w:tcPr>
            <w:tcW w:w="1395" w:type="dxa"/>
            <w:tcBorders>
              <w:top w:val="single" w:color="auto" w:sz="12" w:space="0"/>
              <w:bottom w:val="double" w:color="auto" w:sz="4" w:space="0"/>
            </w:tcBorders>
            <w:vAlign w:val="center"/>
          </w:tcPr>
          <w:p w14:paraId="0972D11D">
            <w:pPr>
              <w:spacing w:line="296" w:lineRule="exact"/>
              <w:jc w:val="center"/>
              <w:rPr>
                <w:rFonts w:ascii="Arial" w:hAnsi="Arial" w:eastAsia="黑体" w:cs="Arial"/>
                <w:b/>
                <w:bCs/>
                <w:sz w:val="18"/>
                <w:highlight w:val="none"/>
              </w:rPr>
            </w:pPr>
            <w:r>
              <w:rPr>
                <w:rFonts w:hint="eastAsia" w:ascii="Arial" w:hAnsi="Arial" w:eastAsia="黑体" w:cs="Arial"/>
                <w:b/>
                <w:bCs/>
                <w:sz w:val="18"/>
                <w:szCs w:val="18"/>
                <w:highlight w:val="none"/>
              </w:rPr>
              <w:t>品牌</w:t>
            </w:r>
          </w:p>
        </w:tc>
        <w:tc>
          <w:tcPr>
            <w:tcW w:w="1335" w:type="dxa"/>
            <w:tcBorders>
              <w:top w:val="single" w:color="auto" w:sz="12" w:space="0"/>
              <w:bottom w:val="double" w:color="auto" w:sz="4" w:space="0"/>
            </w:tcBorders>
            <w:vAlign w:val="center"/>
          </w:tcPr>
          <w:p w14:paraId="0746ED1F">
            <w:pPr>
              <w:spacing w:line="296" w:lineRule="exact"/>
              <w:jc w:val="center"/>
              <w:rPr>
                <w:rFonts w:ascii="Arial" w:hAnsi="Arial" w:eastAsia="黑体" w:cs="Arial"/>
                <w:b/>
                <w:bCs/>
                <w:sz w:val="18"/>
                <w:highlight w:val="none"/>
              </w:rPr>
            </w:pPr>
            <w:r>
              <w:rPr>
                <w:rFonts w:hint="eastAsia" w:ascii="Arial" w:hAnsi="Arial" w:eastAsia="黑体" w:cs="Arial"/>
                <w:b/>
                <w:bCs/>
                <w:sz w:val="18"/>
                <w:szCs w:val="18"/>
                <w:highlight w:val="none"/>
              </w:rPr>
              <w:t>型</w:t>
            </w:r>
            <w:r>
              <w:rPr>
                <w:rFonts w:ascii="Arial" w:hAnsi="Arial" w:eastAsia="黑体" w:cs="Arial"/>
                <w:b/>
                <w:bCs/>
                <w:sz w:val="18"/>
                <w:szCs w:val="18"/>
                <w:highlight w:val="none"/>
              </w:rPr>
              <w:t xml:space="preserve">  </w:t>
            </w:r>
            <w:r>
              <w:rPr>
                <w:rFonts w:hint="eastAsia" w:ascii="Arial" w:hAnsi="Arial" w:eastAsia="黑体" w:cs="Arial"/>
                <w:b/>
                <w:bCs/>
                <w:sz w:val="18"/>
                <w:szCs w:val="18"/>
                <w:highlight w:val="none"/>
              </w:rPr>
              <w:t>号</w:t>
            </w:r>
          </w:p>
        </w:tc>
        <w:tc>
          <w:tcPr>
            <w:tcW w:w="1095" w:type="dxa"/>
            <w:tcBorders>
              <w:top w:val="single" w:color="auto" w:sz="12" w:space="0"/>
              <w:bottom w:val="double" w:color="auto" w:sz="4" w:space="0"/>
            </w:tcBorders>
            <w:vAlign w:val="center"/>
          </w:tcPr>
          <w:p w14:paraId="64712B05">
            <w:pPr>
              <w:spacing w:line="296" w:lineRule="exact"/>
              <w:jc w:val="center"/>
              <w:rPr>
                <w:rFonts w:ascii="Arial" w:hAnsi="Arial" w:eastAsia="黑体" w:cs="Arial"/>
                <w:b/>
                <w:bCs/>
                <w:sz w:val="18"/>
                <w:szCs w:val="18"/>
                <w:highlight w:val="none"/>
              </w:rPr>
            </w:pPr>
            <w:r>
              <w:rPr>
                <w:rFonts w:hint="eastAsia" w:ascii="Arial" w:hAnsi="Arial" w:eastAsia="黑体" w:cs="Arial"/>
                <w:b/>
                <w:bCs/>
                <w:sz w:val="18"/>
                <w:szCs w:val="18"/>
                <w:highlight w:val="none"/>
              </w:rPr>
              <w:t>层站</w:t>
            </w:r>
          </w:p>
          <w:p w14:paraId="13FACAAC">
            <w:pPr>
              <w:spacing w:line="296" w:lineRule="exact"/>
              <w:jc w:val="center"/>
              <w:rPr>
                <w:rFonts w:ascii="Arial" w:hAnsi="Arial" w:eastAsia="黑体" w:cs="Arial"/>
                <w:b/>
                <w:bCs/>
                <w:sz w:val="18"/>
                <w:highlight w:val="none"/>
              </w:rPr>
            </w:pPr>
            <w:r>
              <w:rPr>
                <w:rFonts w:eastAsia="黑体"/>
                <w:sz w:val="18"/>
                <w:szCs w:val="18"/>
                <w:highlight w:val="none"/>
              </w:rPr>
              <w:t>(</w:t>
            </w:r>
            <w:r>
              <w:rPr>
                <w:rFonts w:hint="eastAsia" w:eastAsia="黑体"/>
                <w:sz w:val="18"/>
                <w:szCs w:val="18"/>
                <w:highlight w:val="none"/>
              </w:rPr>
              <w:t>站</w:t>
            </w:r>
            <w:r>
              <w:rPr>
                <w:rFonts w:eastAsia="黑体"/>
                <w:sz w:val="18"/>
                <w:szCs w:val="18"/>
                <w:highlight w:val="none"/>
              </w:rPr>
              <w:t>/</w:t>
            </w:r>
            <w:r>
              <w:rPr>
                <w:rFonts w:hint="eastAsia" w:eastAsia="黑体"/>
                <w:sz w:val="18"/>
                <w:szCs w:val="18"/>
                <w:highlight w:val="none"/>
              </w:rPr>
              <w:t>门</w:t>
            </w:r>
            <w:r>
              <w:rPr>
                <w:rFonts w:eastAsia="黑体"/>
                <w:sz w:val="18"/>
                <w:szCs w:val="18"/>
                <w:highlight w:val="none"/>
              </w:rPr>
              <w:t>)</w:t>
            </w:r>
          </w:p>
        </w:tc>
        <w:tc>
          <w:tcPr>
            <w:tcW w:w="1535" w:type="dxa"/>
            <w:tcBorders>
              <w:top w:val="single" w:color="auto" w:sz="12" w:space="0"/>
              <w:bottom w:val="double" w:color="auto" w:sz="4" w:space="0"/>
            </w:tcBorders>
            <w:vAlign w:val="center"/>
          </w:tcPr>
          <w:p w14:paraId="2BF10437">
            <w:pPr>
              <w:spacing w:line="296" w:lineRule="exact"/>
              <w:jc w:val="center"/>
              <w:rPr>
                <w:rFonts w:ascii="Arial" w:hAnsi="Arial" w:eastAsia="黑体" w:cs="Arial"/>
                <w:b/>
                <w:bCs/>
                <w:sz w:val="18"/>
                <w:szCs w:val="18"/>
                <w:highlight w:val="none"/>
              </w:rPr>
            </w:pPr>
            <w:r>
              <w:rPr>
                <w:rFonts w:hint="eastAsia" w:ascii="Arial" w:hAnsi="Arial" w:eastAsia="黑体" w:cs="Arial"/>
                <w:b/>
                <w:bCs/>
                <w:sz w:val="18"/>
                <w:szCs w:val="18"/>
                <w:highlight w:val="none"/>
              </w:rPr>
              <w:t>数量</w:t>
            </w:r>
          </w:p>
          <w:p w14:paraId="36B5CC7B">
            <w:pPr>
              <w:spacing w:line="296" w:lineRule="exact"/>
              <w:jc w:val="center"/>
              <w:rPr>
                <w:rFonts w:ascii="Arial" w:hAnsi="Arial" w:eastAsia="黑体" w:cs="Arial"/>
                <w:b/>
                <w:bCs/>
                <w:sz w:val="18"/>
                <w:highlight w:val="none"/>
              </w:rPr>
            </w:pPr>
            <w:r>
              <w:rPr>
                <w:rFonts w:ascii="宋体" w:hAnsi="宋体" w:cs="Arial"/>
                <w:sz w:val="18"/>
                <w:szCs w:val="18"/>
                <w:highlight w:val="none"/>
              </w:rPr>
              <w:t>(</w:t>
            </w:r>
            <w:r>
              <w:rPr>
                <w:rFonts w:hint="eastAsia" w:ascii="宋体" w:hAnsi="宋体" w:cs="Arial"/>
                <w:sz w:val="18"/>
                <w:szCs w:val="18"/>
                <w:highlight w:val="none"/>
              </w:rPr>
              <w:t>台</w:t>
            </w:r>
            <w:r>
              <w:rPr>
                <w:rFonts w:ascii="宋体" w:hAnsi="宋体" w:cs="Arial"/>
                <w:sz w:val="18"/>
                <w:szCs w:val="18"/>
                <w:highlight w:val="none"/>
              </w:rPr>
              <w:t>)</w:t>
            </w:r>
          </w:p>
        </w:tc>
        <w:tc>
          <w:tcPr>
            <w:tcW w:w="1535" w:type="dxa"/>
            <w:tcBorders>
              <w:top w:val="single" w:color="auto" w:sz="12" w:space="0"/>
              <w:bottom w:val="double" w:color="auto" w:sz="4" w:space="0"/>
            </w:tcBorders>
            <w:vAlign w:val="center"/>
          </w:tcPr>
          <w:p w14:paraId="5078D3A9">
            <w:pPr>
              <w:spacing w:line="296" w:lineRule="exact"/>
              <w:jc w:val="center"/>
              <w:rPr>
                <w:rFonts w:ascii="Arial" w:hAnsi="Arial" w:eastAsia="黑体" w:cs="Arial"/>
                <w:b/>
                <w:bCs/>
                <w:sz w:val="18"/>
                <w:szCs w:val="18"/>
                <w:highlight w:val="none"/>
              </w:rPr>
            </w:pPr>
            <w:r>
              <w:rPr>
                <w:rFonts w:hint="eastAsia" w:ascii="Arial" w:hAnsi="Arial" w:eastAsia="黑体" w:cs="Arial"/>
                <w:b/>
                <w:bCs/>
                <w:sz w:val="18"/>
                <w:szCs w:val="18"/>
                <w:highlight w:val="none"/>
              </w:rPr>
              <w:t>开始使用日期</w:t>
            </w:r>
          </w:p>
        </w:tc>
      </w:tr>
      <w:tr w14:paraId="72626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59" w:hRule="exact"/>
          <w:jc w:val="center"/>
        </w:trPr>
        <w:tc>
          <w:tcPr>
            <w:tcW w:w="1108" w:type="dxa"/>
            <w:tcBorders>
              <w:top w:val="double" w:color="auto" w:sz="4" w:space="0"/>
              <w:bottom w:val="double" w:color="auto" w:sz="4" w:space="0"/>
            </w:tcBorders>
            <w:vAlign w:val="center"/>
          </w:tcPr>
          <w:p w14:paraId="18970B4E">
            <w:pPr>
              <w:jc w:val="center"/>
              <w:rPr>
                <w:color w:val="000000"/>
                <w:sz w:val="22"/>
                <w:szCs w:val="22"/>
                <w:highlight w:val="none"/>
              </w:rPr>
            </w:pPr>
            <w:r>
              <w:rPr>
                <w:rFonts w:hint="eastAsia"/>
                <w:color w:val="000000"/>
                <w:sz w:val="22"/>
                <w:szCs w:val="22"/>
                <w:highlight w:val="none"/>
              </w:rPr>
              <w:t>1</w:t>
            </w:r>
          </w:p>
        </w:tc>
        <w:tc>
          <w:tcPr>
            <w:tcW w:w="2631" w:type="dxa"/>
            <w:tcBorders>
              <w:top w:val="double" w:color="auto" w:sz="4" w:space="0"/>
              <w:bottom w:val="double" w:color="auto" w:sz="4" w:space="0"/>
            </w:tcBorders>
            <w:vAlign w:val="center"/>
          </w:tcPr>
          <w:p w14:paraId="6BD28E67">
            <w:pPr>
              <w:jc w:val="center"/>
              <w:rPr>
                <w:rFonts w:ascii="宋体" w:cs="宋体"/>
                <w:color w:val="000000"/>
                <w:sz w:val="22"/>
                <w:szCs w:val="22"/>
                <w:highlight w:val="none"/>
              </w:rPr>
            </w:pPr>
            <w:r>
              <w:rPr>
                <w:rFonts w:hint="eastAsia"/>
                <w:color w:val="000000"/>
                <w:sz w:val="22"/>
                <w:szCs w:val="22"/>
                <w:highlight w:val="none"/>
              </w:rPr>
              <w:t>裙楼北货梯</w:t>
            </w:r>
          </w:p>
        </w:tc>
        <w:tc>
          <w:tcPr>
            <w:tcW w:w="1395" w:type="dxa"/>
            <w:tcBorders>
              <w:top w:val="double" w:color="auto" w:sz="4" w:space="0"/>
              <w:bottom w:val="double" w:color="auto" w:sz="4" w:space="0"/>
            </w:tcBorders>
            <w:vAlign w:val="center"/>
          </w:tcPr>
          <w:p w14:paraId="2BBFE4EF">
            <w:pPr>
              <w:jc w:val="center"/>
              <w:rPr>
                <w:rFonts w:ascii="宋体" w:cs="宋体"/>
                <w:color w:val="000000"/>
                <w:sz w:val="22"/>
                <w:szCs w:val="22"/>
                <w:highlight w:val="none"/>
              </w:rPr>
            </w:pPr>
            <w:r>
              <w:rPr>
                <w:rFonts w:hint="eastAsia"/>
                <w:color w:val="000000"/>
                <w:sz w:val="22"/>
                <w:szCs w:val="22"/>
                <w:highlight w:val="none"/>
              </w:rPr>
              <w:t>三菱</w:t>
            </w:r>
          </w:p>
        </w:tc>
        <w:tc>
          <w:tcPr>
            <w:tcW w:w="1335" w:type="dxa"/>
            <w:tcBorders>
              <w:top w:val="double" w:color="auto" w:sz="4" w:space="0"/>
              <w:bottom w:val="double" w:color="auto" w:sz="4" w:space="0"/>
            </w:tcBorders>
            <w:vAlign w:val="center"/>
          </w:tcPr>
          <w:p w14:paraId="703854DD">
            <w:pPr>
              <w:jc w:val="center"/>
              <w:rPr>
                <w:rFonts w:ascii="宋体" w:cs="宋体"/>
                <w:color w:val="000000"/>
                <w:sz w:val="22"/>
                <w:szCs w:val="22"/>
                <w:highlight w:val="none"/>
              </w:rPr>
            </w:pPr>
            <w:r>
              <w:rPr>
                <w:color w:val="000000"/>
                <w:sz w:val="22"/>
                <w:szCs w:val="22"/>
                <w:highlight w:val="none"/>
              </w:rPr>
              <w:t>HOPE-2G</w:t>
            </w:r>
          </w:p>
        </w:tc>
        <w:tc>
          <w:tcPr>
            <w:tcW w:w="1095" w:type="dxa"/>
            <w:tcBorders>
              <w:top w:val="double" w:color="auto" w:sz="4" w:space="0"/>
              <w:bottom w:val="double" w:color="auto" w:sz="4" w:space="0"/>
            </w:tcBorders>
            <w:vAlign w:val="center"/>
          </w:tcPr>
          <w:p w14:paraId="670EC5AA">
            <w:pPr>
              <w:jc w:val="center"/>
              <w:rPr>
                <w:rFonts w:ascii="宋体" w:cs="宋体"/>
                <w:color w:val="000000"/>
                <w:sz w:val="22"/>
                <w:szCs w:val="22"/>
                <w:highlight w:val="none"/>
              </w:rPr>
            </w:pPr>
            <w:r>
              <w:rPr>
                <w:color w:val="000000"/>
                <w:sz w:val="22"/>
                <w:szCs w:val="22"/>
                <w:highlight w:val="none"/>
              </w:rPr>
              <w:t>4/4</w:t>
            </w:r>
          </w:p>
        </w:tc>
        <w:tc>
          <w:tcPr>
            <w:tcW w:w="1535" w:type="dxa"/>
            <w:tcBorders>
              <w:top w:val="double" w:color="auto" w:sz="4" w:space="0"/>
              <w:bottom w:val="double" w:color="auto" w:sz="4" w:space="0"/>
            </w:tcBorders>
            <w:vAlign w:val="center"/>
          </w:tcPr>
          <w:p w14:paraId="02CB2F07">
            <w:pPr>
              <w:jc w:val="center"/>
              <w:rPr>
                <w:sz w:val="20"/>
                <w:highlight w:val="none"/>
              </w:rPr>
            </w:pPr>
            <w:r>
              <w:rPr>
                <w:sz w:val="20"/>
                <w:highlight w:val="none"/>
              </w:rPr>
              <w:t>1</w:t>
            </w:r>
          </w:p>
        </w:tc>
        <w:tc>
          <w:tcPr>
            <w:tcW w:w="1535" w:type="dxa"/>
            <w:tcBorders>
              <w:top w:val="double" w:color="auto" w:sz="4" w:space="0"/>
              <w:bottom w:val="double" w:color="auto" w:sz="4" w:space="0"/>
            </w:tcBorders>
            <w:vAlign w:val="center"/>
          </w:tcPr>
          <w:p w14:paraId="48024847">
            <w:pPr>
              <w:jc w:val="center"/>
              <w:rPr>
                <w:sz w:val="20"/>
                <w:highlight w:val="none"/>
              </w:rPr>
            </w:pPr>
            <w:r>
              <w:rPr>
                <w:rFonts w:hint="eastAsia"/>
                <w:sz w:val="20"/>
                <w:highlight w:val="none"/>
              </w:rPr>
              <w:t>2017</w:t>
            </w:r>
          </w:p>
        </w:tc>
      </w:tr>
      <w:tr w14:paraId="79656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59" w:hRule="exact"/>
          <w:jc w:val="center"/>
        </w:trPr>
        <w:tc>
          <w:tcPr>
            <w:tcW w:w="1108" w:type="dxa"/>
            <w:tcBorders>
              <w:top w:val="double" w:color="auto" w:sz="4" w:space="0"/>
              <w:bottom w:val="double" w:color="auto" w:sz="4" w:space="0"/>
            </w:tcBorders>
            <w:vAlign w:val="center"/>
          </w:tcPr>
          <w:p w14:paraId="4D2F1712">
            <w:pPr>
              <w:jc w:val="center"/>
              <w:rPr>
                <w:color w:val="000000"/>
                <w:sz w:val="22"/>
                <w:szCs w:val="22"/>
                <w:highlight w:val="none"/>
              </w:rPr>
            </w:pPr>
            <w:r>
              <w:rPr>
                <w:rFonts w:hint="eastAsia"/>
                <w:color w:val="000000"/>
                <w:sz w:val="22"/>
                <w:szCs w:val="22"/>
                <w:highlight w:val="none"/>
              </w:rPr>
              <w:t>2</w:t>
            </w:r>
          </w:p>
        </w:tc>
        <w:tc>
          <w:tcPr>
            <w:tcW w:w="2631" w:type="dxa"/>
            <w:tcBorders>
              <w:top w:val="double" w:color="auto" w:sz="4" w:space="0"/>
              <w:bottom w:val="double" w:color="auto" w:sz="4" w:space="0"/>
            </w:tcBorders>
            <w:vAlign w:val="center"/>
          </w:tcPr>
          <w:p w14:paraId="41B9DFB6">
            <w:pPr>
              <w:jc w:val="center"/>
              <w:rPr>
                <w:rFonts w:ascii="宋体" w:cs="宋体"/>
                <w:color w:val="000000"/>
                <w:sz w:val="22"/>
                <w:szCs w:val="22"/>
                <w:highlight w:val="none"/>
              </w:rPr>
            </w:pPr>
            <w:r>
              <w:rPr>
                <w:rFonts w:hint="eastAsia" w:ascii="宋体" w:cs="宋体"/>
                <w:color w:val="000000"/>
                <w:sz w:val="22"/>
                <w:szCs w:val="22"/>
                <w:highlight w:val="none"/>
              </w:rPr>
              <w:t>南府喜宴</w:t>
            </w:r>
          </w:p>
        </w:tc>
        <w:tc>
          <w:tcPr>
            <w:tcW w:w="1395" w:type="dxa"/>
            <w:tcBorders>
              <w:top w:val="double" w:color="auto" w:sz="4" w:space="0"/>
              <w:bottom w:val="double" w:color="auto" w:sz="4" w:space="0"/>
            </w:tcBorders>
            <w:vAlign w:val="center"/>
          </w:tcPr>
          <w:p w14:paraId="118676B4">
            <w:pPr>
              <w:jc w:val="center"/>
              <w:rPr>
                <w:rFonts w:ascii="宋体" w:cs="宋体"/>
                <w:color w:val="000000"/>
                <w:sz w:val="22"/>
                <w:szCs w:val="22"/>
                <w:highlight w:val="none"/>
              </w:rPr>
            </w:pPr>
            <w:r>
              <w:rPr>
                <w:rFonts w:hint="eastAsia"/>
                <w:color w:val="000000"/>
                <w:sz w:val="22"/>
                <w:szCs w:val="22"/>
                <w:highlight w:val="none"/>
              </w:rPr>
              <w:t>三菱</w:t>
            </w:r>
          </w:p>
        </w:tc>
        <w:tc>
          <w:tcPr>
            <w:tcW w:w="1335" w:type="dxa"/>
            <w:tcBorders>
              <w:top w:val="double" w:color="auto" w:sz="4" w:space="0"/>
              <w:bottom w:val="double" w:color="auto" w:sz="4" w:space="0"/>
            </w:tcBorders>
            <w:vAlign w:val="center"/>
          </w:tcPr>
          <w:p w14:paraId="541EF7E5">
            <w:pPr>
              <w:jc w:val="center"/>
              <w:rPr>
                <w:rFonts w:ascii="宋体" w:cs="宋体"/>
                <w:color w:val="000000"/>
                <w:sz w:val="22"/>
                <w:szCs w:val="22"/>
                <w:highlight w:val="none"/>
              </w:rPr>
            </w:pPr>
            <w:r>
              <w:rPr>
                <w:color w:val="000000"/>
                <w:sz w:val="22"/>
                <w:szCs w:val="22"/>
                <w:highlight w:val="none"/>
              </w:rPr>
              <w:t>MAXIEZ-LZ</w:t>
            </w:r>
          </w:p>
        </w:tc>
        <w:tc>
          <w:tcPr>
            <w:tcW w:w="1095" w:type="dxa"/>
            <w:tcBorders>
              <w:top w:val="double" w:color="auto" w:sz="4" w:space="0"/>
              <w:bottom w:val="double" w:color="auto" w:sz="4" w:space="0"/>
            </w:tcBorders>
            <w:vAlign w:val="center"/>
          </w:tcPr>
          <w:p w14:paraId="67C1FF89">
            <w:pPr>
              <w:jc w:val="center"/>
              <w:rPr>
                <w:rFonts w:ascii="宋体" w:cs="宋体"/>
                <w:color w:val="000000"/>
                <w:sz w:val="22"/>
                <w:szCs w:val="22"/>
                <w:highlight w:val="none"/>
              </w:rPr>
            </w:pPr>
            <w:r>
              <w:rPr>
                <w:color w:val="000000"/>
                <w:sz w:val="22"/>
                <w:szCs w:val="22"/>
                <w:highlight w:val="none"/>
              </w:rPr>
              <w:t>3/3</w:t>
            </w:r>
          </w:p>
        </w:tc>
        <w:tc>
          <w:tcPr>
            <w:tcW w:w="1535" w:type="dxa"/>
            <w:tcBorders>
              <w:top w:val="double" w:color="auto" w:sz="4" w:space="0"/>
              <w:bottom w:val="double" w:color="auto" w:sz="4" w:space="0"/>
            </w:tcBorders>
            <w:vAlign w:val="center"/>
          </w:tcPr>
          <w:p w14:paraId="01361F4D">
            <w:pPr>
              <w:jc w:val="center"/>
              <w:rPr>
                <w:highlight w:val="none"/>
              </w:rPr>
            </w:pPr>
            <w:r>
              <w:rPr>
                <w:rFonts w:hint="eastAsia"/>
                <w:sz w:val="20"/>
                <w:highlight w:val="none"/>
              </w:rPr>
              <w:t>2</w:t>
            </w:r>
          </w:p>
        </w:tc>
        <w:tc>
          <w:tcPr>
            <w:tcW w:w="1535" w:type="dxa"/>
            <w:tcBorders>
              <w:top w:val="double" w:color="auto" w:sz="4" w:space="0"/>
              <w:bottom w:val="double" w:color="auto" w:sz="4" w:space="0"/>
            </w:tcBorders>
            <w:vAlign w:val="center"/>
          </w:tcPr>
          <w:p w14:paraId="6B21802D">
            <w:pPr>
              <w:jc w:val="center"/>
              <w:rPr>
                <w:sz w:val="20"/>
                <w:highlight w:val="none"/>
              </w:rPr>
            </w:pPr>
            <w:r>
              <w:rPr>
                <w:rFonts w:hint="eastAsia"/>
                <w:sz w:val="20"/>
                <w:highlight w:val="none"/>
              </w:rPr>
              <w:t>2017</w:t>
            </w:r>
          </w:p>
        </w:tc>
      </w:tr>
      <w:tr w14:paraId="41535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59" w:hRule="exact"/>
          <w:jc w:val="center"/>
        </w:trPr>
        <w:tc>
          <w:tcPr>
            <w:tcW w:w="1108" w:type="dxa"/>
            <w:tcBorders>
              <w:top w:val="double" w:color="auto" w:sz="4" w:space="0"/>
              <w:bottom w:val="double" w:color="auto" w:sz="4" w:space="0"/>
            </w:tcBorders>
            <w:vAlign w:val="center"/>
          </w:tcPr>
          <w:p w14:paraId="128F3C38">
            <w:pPr>
              <w:jc w:val="center"/>
              <w:rPr>
                <w:color w:val="000000"/>
                <w:sz w:val="22"/>
                <w:szCs w:val="22"/>
                <w:highlight w:val="none"/>
              </w:rPr>
            </w:pPr>
            <w:r>
              <w:rPr>
                <w:rFonts w:hint="eastAsia"/>
                <w:color w:val="000000"/>
                <w:sz w:val="22"/>
                <w:szCs w:val="22"/>
                <w:highlight w:val="none"/>
              </w:rPr>
              <w:t>3</w:t>
            </w:r>
          </w:p>
        </w:tc>
        <w:tc>
          <w:tcPr>
            <w:tcW w:w="2631" w:type="dxa"/>
            <w:tcBorders>
              <w:top w:val="double" w:color="auto" w:sz="4" w:space="0"/>
              <w:bottom w:val="double" w:color="auto" w:sz="4" w:space="0"/>
            </w:tcBorders>
            <w:vAlign w:val="center"/>
          </w:tcPr>
          <w:p w14:paraId="7DD1832B">
            <w:pPr>
              <w:jc w:val="center"/>
              <w:rPr>
                <w:rFonts w:ascii="宋体" w:cs="宋体"/>
                <w:color w:val="000000"/>
                <w:sz w:val="22"/>
                <w:szCs w:val="22"/>
                <w:highlight w:val="none"/>
              </w:rPr>
            </w:pPr>
            <w:r>
              <w:rPr>
                <w:rFonts w:hint="eastAsia"/>
                <w:color w:val="000000"/>
                <w:sz w:val="22"/>
                <w:szCs w:val="22"/>
                <w:highlight w:val="none"/>
              </w:rPr>
              <w:t>北京银行南梯</w:t>
            </w:r>
          </w:p>
        </w:tc>
        <w:tc>
          <w:tcPr>
            <w:tcW w:w="1395" w:type="dxa"/>
            <w:tcBorders>
              <w:top w:val="double" w:color="auto" w:sz="4" w:space="0"/>
              <w:bottom w:val="double" w:color="auto" w:sz="4" w:space="0"/>
            </w:tcBorders>
            <w:vAlign w:val="center"/>
          </w:tcPr>
          <w:p w14:paraId="5E354265">
            <w:pPr>
              <w:jc w:val="center"/>
              <w:rPr>
                <w:rFonts w:ascii="宋体" w:cs="宋体"/>
                <w:color w:val="000000"/>
                <w:sz w:val="22"/>
                <w:szCs w:val="22"/>
                <w:highlight w:val="none"/>
              </w:rPr>
            </w:pPr>
            <w:r>
              <w:rPr>
                <w:rFonts w:hint="eastAsia"/>
                <w:color w:val="000000"/>
                <w:sz w:val="22"/>
                <w:szCs w:val="22"/>
                <w:highlight w:val="none"/>
              </w:rPr>
              <w:t>三菱</w:t>
            </w:r>
          </w:p>
        </w:tc>
        <w:tc>
          <w:tcPr>
            <w:tcW w:w="1335" w:type="dxa"/>
            <w:tcBorders>
              <w:top w:val="double" w:color="auto" w:sz="4" w:space="0"/>
              <w:bottom w:val="double" w:color="auto" w:sz="4" w:space="0"/>
            </w:tcBorders>
            <w:vAlign w:val="center"/>
          </w:tcPr>
          <w:p w14:paraId="17CC633E">
            <w:pPr>
              <w:jc w:val="center"/>
              <w:rPr>
                <w:rFonts w:ascii="宋体" w:cs="宋体"/>
                <w:color w:val="000000"/>
                <w:sz w:val="22"/>
                <w:szCs w:val="22"/>
                <w:highlight w:val="none"/>
              </w:rPr>
            </w:pPr>
            <w:r>
              <w:rPr>
                <w:color w:val="000000"/>
                <w:sz w:val="22"/>
                <w:szCs w:val="22"/>
                <w:highlight w:val="none"/>
              </w:rPr>
              <w:t>MAXIEZ-LZ</w:t>
            </w:r>
          </w:p>
        </w:tc>
        <w:tc>
          <w:tcPr>
            <w:tcW w:w="1095" w:type="dxa"/>
            <w:tcBorders>
              <w:top w:val="double" w:color="auto" w:sz="4" w:space="0"/>
              <w:bottom w:val="double" w:color="auto" w:sz="4" w:space="0"/>
            </w:tcBorders>
            <w:vAlign w:val="center"/>
          </w:tcPr>
          <w:p w14:paraId="7278F95D">
            <w:pPr>
              <w:jc w:val="center"/>
              <w:rPr>
                <w:rFonts w:ascii="宋体" w:cs="宋体"/>
                <w:color w:val="000000"/>
                <w:sz w:val="22"/>
                <w:szCs w:val="22"/>
                <w:highlight w:val="none"/>
              </w:rPr>
            </w:pPr>
            <w:r>
              <w:rPr>
                <w:color w:val="000000"/>
                <w:sz w:val="22"/>
                <w:szCs w:val="22"/>
                <w:highlight w:val="none"/>
              </w:rPr>
              <w:t>4/4</w:t>
            </w:r>
          </w:p>
        </w:tc>
        <w:tc>
          <w:tcPr>
            <w:tcW w:w="1535" w:type="dxa"/>
            <w:tcBorders>
              <w:top w:val="double" w:color="auto" w:sz="4" w:space="0"/>
              <w:bottom w:val="double" w:color="auto" w:sz="4" w:space="0"/>
            </w:tcBorders>
            <w:vAlign w:val="center"/>
          </w:tcPr>
          <w:p w14:paraId="6580C6C5">
            <w:pPr>
              <w:jc w:val="center"/>
              <w:rPr>
                <w:highlight w:val="none"/>
              </w:rPr>
            </w:pPr>
            <w:r>
              <w:rPr>
                <w:rFonts w:hint="eastAsia"/>
                <w:sz w:val="20"/>
                <w:highlight w:val="none"/>
              </w:rPr>
              <w:t>2</w:t>
            </w:r>
          </w:p>
        </w:tc>
        <w:tc>
          <w:tcPr>
            <w:tcW w:w="1535" w:type="dxa"/>
            <w:tcBorders>
              <w:top w:val="double" w:color="auto" w:sz="4" w:space="0"/>
              <w:bottom w:val="double" w:color="auto" w:sz="4" w:space="0"/>
            </w:tcBorders>
            <w:vAlign w:val="center"/>
          </w:tcPr>
          <w:p w14:paraId="7DEE1C16">
            <w:pPr>
              <w:jc w:val="center"/>
              <w:rPr>
                <w:sz w:val="20"/>
                <w:highlight w:val="none"/>
              </w:rPr>
            </w:pPr>
            <w:r>
              <w:rPr>
                <w:rFonts w:hint="eastAsia"/>
                <w:sz w:val="20"/>
                <w:highlight w:val="none"/>
              </w:rPr>
              <w:t>2017</w:t>
            </w:r>
          </w:p>
        </w:tc>
      </w:tr>
      <w:tr w14:paraId="12293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59" w:hRule="exact"/>
          <w:jc w:val="center"/>
        </w:trPr>
        <w:tc>
          <w:tcPr>
            <w:tcW w:w="1108" w:type="dxa"/>
            <w:tcBorders>
              <w:top w:val="double" w:color="auto" w:sz="4" w:space="0"/>
              <w:bottom w:val="double" w:color="auto" w:sz="4" w:space="0"/>
            </w:tcBorders>
            <w:vAlign w:val="center"/>
          </w:tcPr>
          <w:p w14:paraId="1B00B800">
            <w:pPr>
              <w:jc w:val="center"/>
              <w:rPr>
                <w:color w:val="000000"/>
                <w:sz w:val="22"/>
                <w:szCs w:val="22"/>
                <w:highlight w:val="none"/>
              </w:rPr>
            </w:pPr>
            <w:r>
              <w:rPr>
                <w:rFonts w:hint="eastAsia"/>
                <w:color w:val="000000"/>
                <w:sz w:val="22"/>
                <w:szCs w:val="22"/>
                <w:highlight w:val="none"/>
              </w:rPr>
              <w:t>4</w:t>
            </w:r>
          </w:p>
        </w:tc>
        <w:tc>
          <w:tcPr>
            <w:tcW w:w="2631" w:type="dxa"/>
            <w:tcBorders>
              <w:top w:val="double" w:color="auto" w:sz="4" w:space="0"/>
              <w:bottom w:val="double" w:color="auto" w:sz="4" w:space="0"/>
            </w:tcBorders>
            <w:vAlign w:val="center"/>
          </w:tcPr>
          <w:p w14:paraId="01A54D40">
            <w:pPr>
              <w:jc w:val="center"/>
              <w:rPr>
                <w:rFonts w:ascii="宋体" w:cs="宋体"/>
                <w:color w:val="000000"/>
                <w:sz w:val="22"/>
                <w:szCs w:val="22"/>
                <w:highlight w:val="none"/>
              </w:rPr>
            </w:pPr>
            <w:r>
              <w:rPr>
                <w:rFonts w:hint="eastAsia"/>
                <w:color w:val="000000"/>
                <w:sz w:val="22"/>
                <w:szCs w:val="22"/>
                <w:highlight w:val="none"/>
              </w:rPr>
              <w:t>主楼西侧南梯</w:t>
            </w:r>
          </w:p>
        </w:tc>
        <w:tc>
          <w:tcPr>
            <w:tcW w:w="1395" w:type="dxa"/>
            <w:tcBorders>
              <w:top w:val="double" w:color="auto" w:sz="4" w:space="0"/>
              <w:bottom w:val="double" w:color="auto" w:sz="4" w:space="0"/>
            </w:tcBorders>
            <w:vAlign w:val="center"/>
          </w:tcPr>
          <w:p w14:paraId="11D99967">
            <w:pPr>
              <w:jc w:val="center"/>
              <w:rPr>
                <w:rFonts w:ascii="宋体" w:hAnsi="Calibri" w:cs="宋体"/>
                <w:color w:val="000000"/>
                <w:sz w:val="22"/>
                <w:szCs w:val="22"/>
                <w:highlight w:val="none"/>
              </w:rPr>
            </w:pPr>
            <w:r>
              <w:rPr>
                <w:rFonts w:hint="eastAsia"/>
                <w:color w:val="000000"/>
                <w:sz w:val="22"/>
                <w:szCs w:val="22"/>
                <w:highlight w:val="none"/>
              </w:rPr>
              <w:t>三菱</w:t>
            </w:r>
          </w:p>
        </w:tc>
        <w:tc>
          <w:tcPr>
            <w:tcW w:w="1335" w:type="dxa"/>
            <w:tcBorders>
              <w:top w:val="double" w:color="auto" w:sz="4" w:space="0"/>
              <w:bottom w:val="double" w:color="auto" w:sz="4" w:space="0"/>
            </w:tcBorders>
            <w:vAlign w:val="center"/>
          </w:tcPr>
          <w:p w14:paraId="1096B19A">
            <w:pPr>
              <w:jc w:val="center"/>
              <w:rPr>
                <w:rFonts w:ascii="宋体" w:cs="宋体"/>
                <w:color w:val="000000"/>
                <w:sz w:val="22"/>
                <w:szCs w:val="22"/>
                <w:highlight w:val="none"/>
              </w:rPr>
            </w:pPr>
            <w:r>
              <w:rPr>
                <w:color w:val="000000"/>
                <w:sz w:val="22"/>
                <w:szCs w:val="22"/>
                <w:highlight w:val="none"/>
              </w:rPr>
              <w:t>MAXIEZ</w:t>
            </w:r>
          </w:p>
        </w:tc>
        <w:tc>
          <w:tcPr>
            <w:tcW w:w="1095" w:type="dxa"/>
            <w:tcBorders>
              <w:top w:val="double" w:color="auto" w:sz="4" w:space="0"/>
              <w:bottom w:val="double" w:color="auto" w:sz="4" w:space="0"/>
            </w:tcBorders>
            <w:vAlign w:val="center"/>
          </w:tcPr>
          <w:p w14:paraId="24866672">
            <w:pPr>
              <w:jc w:val="center"/>
              <w:rPr>
                <w:rFonts w:ascii="宋体" w:cs="宋体"/>
                <w:color w:val="000000"/>
                <w:sz w:val="22"/>
                <w:szCs w:val="22"/>
                <w:highlight w:val="none"/>
              </w:rPr>
            </w:pPr>
            <w:r>
              <w:rPr>
                <w:color w:val="000000"/>
                <w:sz w:val="22"/>
                <w:szCs w:val="22"/>
                <w:highlight w:val="none"/>
              </w:rPr>
              <w:t>27/27</w:t>
            </w:r>
          </w:p>
        </w:tc>
        <w:tc>
          <w:tcPr>
            <w:tcW w:w="1535" w:type="dxa"/>
            <w:tcBorders>
              <w:top w:val="double" w:color="auto" w:sz="4" w:space="0"/>
              <w:bottom w:val="double" w:color="auto" w:sz="4" w:space="0"/>
            </w:tcBorders>
            <w:vAlign w:val="center"/>
          </w:tcPr>
          <w:p w14:paraId="6733AE4F">
            <w:pPr>
              <w:jc w:val="center"/>
              <w:rPr>
                <w:highlight w:val="none"/>
              </w:rPr>
            </w:pPr>
            <w:r>
              <w:rPr>
                <w:rFonts w:hint="eastAsia"/>
                <w:sz w:val="20"/>
                <w:highlight w:val="none"/>
              </w:rPr>
              <w:t>2</w:t>
            </w:r>
          </w:p>
        </w:tc>
        <w:tc>
          <w:tcPr>
            <w:tcW w:w="1535" w:type="dxa"/>
            <w:tcBorders>
              <w:top w:val="double" w:color="auto" w:sz="4" w:space="0"/>
              <w:bottom w:val="double" w:color="auto" w:sz="4" w:space="0"/>
            </w:tcBorders>
            <w:vAlign w:val="center"/>
          </w:tcPr>
          <w:p w14:paraId="018B4D2A">
            <w:pPr>
              <w:jc w:val="center"/>
              <w:rPr>
                <w:sz w:val="20"/>
                <w:highlight w:val="none"/>
              </w:rPr>
            </w:pPr>
            <w:r>
              <w:rPr>
                <w:rFonts w:hint="eastAsia"/>
                <w:sz w:val="20"/>
                <w:highlight w:val="none"/>
              </w:rPr>
              <w:t>2017</w:t>
            </w:r>
          </w:p>
        </w:tc>
      </w:tr>
      <w:tr w14:paraId="09E3C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59" w:hRule="exact"/>
          <w:jc w:val="center"/>
        </w:trPr>
        <w:tc>
          <w:tcPr>
            <w:tcW w:w="1108" w:type="dxa"/>
            <w:tcBorders>
              <w:top w:val="double" w:color="auto" w:sz="4" w:space="0"/>
              <w:bottom w:val="double" w:color="auto" w:sz="4" w:space="0"/>
            </w:tcBorders>
            <w:vAlign w:val="center"/>
          </w:tcPr>
          <w:p w14:paraId="31F48898">
            <w:pPr>
              <w:jc w:val="center"/>
              <w:rPr>
                <w:color w:val="000000"/>
                <w:sz w:val="22"/>
                <w:szCs w:val="22"/>
                <w:highlight w:val="none"/>
              </w:rPr>
            </w:pPr>
            <w:r>
              <w:rPr>
                <w:rFonts w:hint="eastAsia"/>
                <w:color w:val="000000"/>
                <w:sz w:val="22"/>
                <w:szCs w:val="22"/>
                <w:highlight w:val="none"/>
              </w:rPr>
              <w:t>5</w:t>
            </w:r>
          </w:p>
        </w:tc>
        <w:tc>
          <w:tcPr>
            <w:tcW w:w="2631" w:type="dxa"/>
            <w:tcBorders>
              <w:top w:val="double" w:color="auto" w:sz="4" w:space="0"/>
              <w:bottom w:val="double" w:color="auto" w:sz="4" w:space="0"/>
            </w:tcBorders>
            <w:vAlign w:val="center"/>
          </w:tcPr>
          <w:p w14:paraId="685FB800">
            <w:pPr>
              <w:jc w:val="center"/>
              <w:rPr>
                <w:rFonts w:ascii="宋体" w:cs="宋体"/>
                <w:color w:val="000000"/>
                <w:sz w:val="22"/>
                <w:szCs w:val="22"/>
                <w:highlight w:val="none"/>
              </w:rPr>
            </w:pPr>
            <w:r>
              <w:rPr>
                <w:rFonts w:hint="eastAsia"/>
                <w:color w:val="000000"/>
                <w:sz w:val="22"/>
                <w:szCs w:val="22"/>
                <w:highlight w:val="none"/>
              </w:rPr>
              <w:t>主楼东侧南梯</w:t>
            </w:r>
          </w:p>
        </w:tc>
        <w:tc>
          <w:tcPr>
            <w:tcW w:w="1395" w:type="dxa"/>
            <w:tcBorders>
              <w:top w:val="double" w:color="auto" w:sz="4" w:space="0"/>
              <w:bottom w:val="double" w:color="auto" w:sz="4" w:space="0"/>
            </w:tcBorders>
            <w:vAlign w:val="center"/>
          </w:tcPr>
          <w:p w14:paraId="789F923B">
            <w:pPr>
              <w:jc w:val="center"/>
              <w:rPr>
                <w:rFonts w:ascii="宋体" w:hAnsi="Calibri" w:cs="宋体"/>
                <w:color w:val="000000"/>
                <w:sz w:val="22"/>
                <w:szCs w:val="22"/>
                <w:highlight w:val="none"/>
              </w:rPr>
            </w:pPr>
            <w:r>
              <w:rPr>
                <w:rFonts w:hint="eastAsia"/>
                <w:color w:val="000000"/>
                <w:sz w:val="22"/>
                <w:szCs w:val="22"/>
                <w:highlight w:val="none"/>
              </w:rPr>
              <w:t>三菱</w:t>
            </w:r>
          </w:p>
        </w:tc>
        <w:tc>
          <w:tcPr>
            <w:tcW w:w="1335" w:type="dxa"/>
            <w:tcBorders>
              <w:top w:val="double" w:color="auto" w:sz="4" w:space="0"/>
              <w:bottom w:val="double" w:color="auto" w:sz="4" w:space="0"/>
            </w:tcBorders>
            <w:vAlign w:val="center"/>
          </w:tcPr>
          <w:p w14:paraId="669A7BB9">
            <w:pPr>
              <w:jc w:val="center"/>
              <w:rPr>
                <w:rFonts w:ascii="宋体" w:cs="宋体"/>
                <w:color w:val="000000"/>
                <w:sz w:val="22"/>
                <w:szCs w:val="22"/>
                <w:highlight w:val="none"/>
              </w:rPr>
            </w:pPr>
            <w:r>
              <w:rPr>
                <w:color w:val="000000"/>
                <w:sz w:val="22"/>
                <w:szCs w:val="22"/>
                <w:highlight w:val="none"/>
              </w:rPr>
              <w:t>MAXIEZ</w:t>
            </w:r>
          </w:p>
        </w:tc>
        <w:tc>
          <w:tcPr>
            <w:tcW w:w="1095" w:type="dxa"/>
            <w:tcBorders>
              <w:top w:val="double" w:color="auto" w:sz="4" w:space="0"/>
              <w:bottom w:val="double" w:color="auto" w:sz="4" w:space="0"/>
            </w:tcBorders>
            <w:vAlign w:val="center"/>
          </w:tcPr>
          <w:p w14:paraId="361F47B9">
            <w:pPr>
              <w:jc w:val="center"/>
              <w:rPr>
                <w:rFonts w:ascii="宋体" w:cs="宋体"/>
                <w:color w:val="000000"/>
                <w:sz w:val="22"/>
                <w:szCs w:val="22"/>
                <w:highlight w:val="none"/>
              </w:rPr>
            </w:pPr>
            <w:r>
              <w:rPr>
                <w:color w:val="000000"/>
                <w:sz w:val="22"/>
                <w:szCs w:val="22"/>
                <w:highlight w:val="none"/>
              </w:rPr>
              <w:t>26/26</w:t>
            </w:r>
          </w:p>
        </w:tc>
        <w:tc>
          <w:tcPr>
            <w:tcW w:w="1535" w:type="dxa"/>
            <w:tcBorders>
              <w:top w:val="double" w:color="auto" w:sz="4" w:space="0"/>
              <w:bottom w:val="double" w:color="auto" w:sz="4" w:space="0"/>
            </w:tcBorders>
            <w:vAlign w:val="center"/>
          </w:tcPr>
          <w:p w14:paraId="69A4BA9F">
            <w:pPr>
              <w:jc w:val="center"/>
              <w:rPr>
                <w:highlight w:val="none"/>
              </w:rPr>
            </w:pPr>
            <w:r>
              <w:rPr>
                <w:rFonts w:hint="eastAsia"/>
                <w:sz w:val="20"/>
                <w:highlight w:val="none"/>
              </w:rPr>
              <w:t>3</w:t>
            </w:r>
          </w:p>
        </w:tc>
        <w:tc>
          <w:tcPr>
            <w:tcW w:w="1535" w:type="dxa"/>
            <w:tcBorders>
              <w:top w:val="double" w:color="auto" w:sz="4" w:space="0"/>
              <w:bottom w:val="double" w:color="auto" w:sz="4" w:space="0"/>
            </w:tcBorders>
            <w:vAlign w:val="center"/>
          </w:tcPr>
          <w:p w14:paraId="048A102D">
            <w:pPr>
              <w:jc w:val="center"/>
              <w:rPr>
                <w:sz w:val="20"/>
                <w:highlight w:val="none"/>
              </w:rPr>
            </w:pPr>
            <w:r>
              <w:rPr>
                <w:rFonts w:hint="eastAsia"/>
                <w:sz w:val="20"/>
                <w:highlight w:val="none"/>
              </w:rPr>
              <w:t>2017</w:t>
            </w:r>
          </w:p>
        </w:tc>
      </w:tr>
      <w:tr w14:paraId="3809E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59" w:hRule="exact"/>
          <w:jc w:val="center"/>
        </w:trPr>
        <w:tc>
          <w:tcPr>
            <w:tcW w:w="1108" w:type="dxa"/>
            <w:tcBorders>
              <w:top w:val="double" w:color="auto" w:sz="4" w:space="0"/>
              <w:bottom w:val="single" w:color="auto" w:sz="12" w:space="0"/>
            </w:tcBorders>
            <w:vAlign w:val="center"/>
          </w:tcPr>
          <w:p w14:paraId="060B58AD">
            <w:pPr>
              <w:jc w:val="center"/>
              <w:rPr>
                <w:color w:val="000000"/>
                <w:sz w:val="22"/>
                <w:szCs w:val="22"/>
                <w:highlight w:val="none"/>
              </w:rPr>
            </w:pPr>
            <w:r>
              <w:rPr>
                <w:rFonts w:hint="eastAsia"/>
                <w:color w:val="000000"/>
                <w:sz w:val="22"/>
                <w:szCs w:val="22"/>
                <w:highlight w:val="none"/>
              </w:rPr>
              <w:t>6</w:t>
            </w:r>
          </w:p>
        </w:tc>
        <w:tc>
          <w:tcPr>
            <w:tcW w:w="2631" w:type="dxa"/>
            <w:tcBorders>
              <w:top w:val="double" w:color="auto" w:sz="4" w:space="0"/>
              <w:bottom w:val="single" w:color="auto" w:sz="12" w:space="0"/>
            </w:tcBorders>
            <w:vAlign w:val="center"/>
          </w:tcPr>
          <w:p w14:paraId="2F9CAB22">
            <w:pPr>
              <w:jc w:val="center"/>
              <w:rPr>
                <w:color w:val="000000"/>
                <w:sz w:val="22"/>
                <w:szCs w:val="22"/>
                <w:highlight w:val="none"/>
              </w:rPr>
            </w:pPr>
            <w:r>
              <w:rPr>
                <w:rFonts w:hint="eastAsia"/>
                <w:color w:val="000000"/>
                <w:sz w:val="22"/>
                <w:szCs w:val="22"/>
                <w:highlight w:val="none"/>
              </w:rPr>
              <w:t>主楼消防梯</w:t>
            </w:r>
          </w:p>
        </w:tc>
        <w:tc>
          <w:tcPr>
            <w:tcW w:w="1395" w:type="dxa"/>
            <w:tcBorders>
              <w:top w:val="double" w:color="auto" w:sz="4" w:space="0"/>
              <w:bottom w:val="single" w:color="auto" w:sz="12" w:space="0"/>
            </w:tcBorders>
            <w:vAlign w:val="center"/>
          </w:tcPr>
          <w:p w14:paraId="0458DF80">
            <w:pPr>
              <w:jc w:val="center"/>
              <w:rPr>
                <w:rFonts w:ascii="宋体" w:hAnsi="Calibri" w:cs="宋体"/>
                <w:color w:val="000000"/>
                <w:sz w:val="22"/>
                <w:szCs w:val="22"/>
                <w:highlight w:val="none"/>
              </w:rPr>
            </w:pPr>
            <w:r>
              <w:rPr>
                <w:rFonts w:hint="eastAsia"/>
                <w:color w:val="000000"/>
                <w:sz w:val="22"/>
                <w:szCs w:val="22"/>
                <w:highlight w:val="none"/>
              </w:rPr>
              <w:t>三菱</w:t>
            </w:r>
          </w:p>
        </w:tc>
        <w:tc>
          <w:tcPr>
            <w:tcW w:w="1335" w:type="dxa"/>
            <w:tcBorders>
              <w:top w:val="double" w:color="auto" w:sz="4" w:space="0"/>
              <w:bottom w:val="single" w:color="auto" w:sz="12" w:space="0"/>
            </w:tcBorders>
            <w:vAlign w:val="center"/>
          </w:tcPr>
          <w:p w14:paraId="65FDA4C8">
            <w:pPr>
              <w:jc w:val="center"/>
              <w:rPr>
                <w:color w:val="000000"/>
                <w:sz w:val="22"/>
                <w:szCs w:val="22"/>
                <w:highlight w:val="none"/>
              </w:rPr>
            </w:pPr>
            <w:r>
              <w:rPr>
                <w:color w:val="000000"/>
                <w:sz w:val="22"/>
                <w:szCs w:val="22"/>
                <w:highlight w:val="none"/>
              </w:rPr>
              <w:t>MAXIEZ</w:t>
            </w:r>
          </w:p>
        </w:tc>
        <w:tc>
          <w:tcPr>
            <w:tcW w:w="1095" w:type="dxa"/>
            <w:tcBorders>
              <w:top w:val="double" w:color="auto" w:sz="4" w:space="0"/>
              <w:bottom w:val="single" w:color="auto" w:sz="12" w:space="0"/>
            </w:tcBorders>
            <w:vAlign w:val="center"/>
          </w:tcPr>
          <w:p w14:paraId="477031A2">
            <w:pPr>
              <w:jc w:val="center"/>
              <w:rPr>
                <w:color w:val="000000"/>
                <w:sz w:val="22"/>
                <w:szCs w:val="22"/>
                <w:highlight w:val="none"/>
              </w:rPr>
            </w:pPr>
            <w:r>
              <w:rPr>
                <w:color w:val="000000"/>
                <w:sz w:val="22"/>
                <w:szCs w:val="22"/>
                <w:highlight w:val="none"/>
              </w:rPr>
              <w:t>27/27</w:t>
            </w:r>
          </w:p>
        </w:tc>
        <w:tc>
          <w:tcPr>
            <w:tcW w:w="1535" w:type="dxa"/>
            <w:tcBorders>
              <w:top w:val="double" w:color="auto" w:sz="4" w:space="0"/>
              <w:bottom w:val="single" w:color="auto" w:sz="12" w:space="0"/>
            </w:tcBorders>
            <w:vAlign w:val="center"/>
          </w:tcPr>
          <w:p w14:paraId="0F191FEA">
            <w:pPr>
              <w:jc w:val="center"/>
              <w:rPr>
                <w:sz w:val="20"/>
                <w:highlight w:val="none"/>
              </w:rPr>
            </w:pPr>
            <w:r>
              <w:rPr>
                <w:rFonts w:hint="eastAsia"/>
                <w:sz w:val="20"/>
                <w:highlight w:val="none"/>
              </w:rPr>
              <w:t>1</w:t>
            </w:r>
          </w:p>
        </w:tc>
        <w:tc>
          <w:tcPr>
            <w:tcW w:w="1535" w:type="dxa"/>
            <w:tcBorders>
              <w:top w:val="double" w:color="auto" w:sz="4" w:space="0"/>
              <w:bottom w:val="single" w:color="auto" w:sz="12" w:space="0"/>
            </w:tcBorders>
            <w:vAlign w:val="center"/>
          </w:tcPr>
          <w:p w14:paraId="35FA328F">
            <w:pPr>
              <w:jc w:val="center"/>
              <w:rPr>
                <w:sz w:val="20"/>
                <w:highlight w:val="none"/>
              </w:rPr>
            </w:pPr>
            <w:r>
              <w:rPr>
                <w:rFonts w:hint="eastAsia"/>
                <w:sz w:val="20"/>
                <w:highlight w:val="none"/>
              </w:rPr>
              <w:t>2017</w:t>
            </w:r>
          </w:p>
        </w:tc>
      </w:tr>
    </w:tbl>
    <w:p w14:paraId="58C6BB3B">
      <w:pPr>
        <w:snapToGrid w:val="0"/>
        <w:spacing w:line="360" w:lineRule="auto"/>
        <w:ind w:firstLine="480" w:firstLineChars="200"/>
        <w:rPr>
          <w:rFonts w:ascii="宋体" w:hAnsi="宋体" w:cs="宋体"/>
          <w:kern w:val="0"/>
          <w:sz w:val="24"/>
          <w:highlight w:val="none"/>
        </w:rPr>
      </w:pPr>
    </w:p>
    <w:p w14:paraId="70633ACB">
      <w:pPr>
        <w:spacing w:line="360" w:lineRule="auto"/>
        <w:contextualSpacing/>
        <w:outlineLvl w:val="1"/>
        <w:rPr>
          <w:rFonts w:cs="宋体"/>
          <w:b/>
          <w:bCs/>
          <w:color w:val="000000"/>
          <w:sz w:val="28"/>
          <w:szCs w:val="28"/>
          <w:highlight w:val="none"/>
        </w:rPr>
      </w:pPr>
      <w:r>
        <w:rPr>
          <w:rFonts w:hint="eastAsia" w:cs="宋体"/>
          <w:b/>
          <w:bCs/>
          <w:color w:val="000000"/>
          <w:sz w:val="28"/>
          <w:szCs w:val="28"/>
          <w:highlight w:val="none"/>
        </w:rPr>
        <w:t>三、服务内容：</w:t>
      </w:r>
    </w:p>
    <w:p w14:paraId="34170EB2">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1、项目服务标准</w:t>
      </w:r>
    </w:p>
    <w:p w14:paraId="7632F958">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1.1成交人根据国家有关的技术规范和招标人需求,每2周至少组织一次对所有电梯的巡检、保养，</w:t>
      </w:r>
      <w:r>
        <w:rPr>
          <w:rFonts w:hint="eastAsia" w:ascii="宋体" w:hAnsi="宋体" w:cs="宋体"/>
          <w:color w:val="000000"/>
          <w:kern w:val="0"/>
          <w:sz w:val="24"/>
          <w:highlight w:val="none"/>
        </w:rPr>
        <w:t>每月、每季进行例行检查、保养，发现隐患或故障及时排除，确保电</w:t>
      </w:r>
      <w:r>
        <w:rPr>
          <w:rFonts w:hint="eastAsia" w:ascii="宋体" w:hAnsi="宋体" w:cs="宋体"/>
          <w:color w:val="000000"/>
          <w:kern w:val="0"/>
          <w:sz w:val="24"/>
          <w:highlight w:val="none"/>
        </w:rPr>
        <w:t>梯安全正常安全运行。每次巡检、保养结束必须填写维修保养服务单并由采购人或采购人委托协管负责人确认，维修保养期内满足付款条件时，</w:t>
      </w:r>
      <w:r>
        <w:rPr>
          <w:rFonts w:hint="eastAsia" w:ascii="宋体" w:hAnsi="宋体" w:cs="宋体"/>
          <w:color w:val="000000"/>
          <w:kern w:val="0"/>
          <w:sz w:val="24"/>
          <w:highlight w:val="none"/>
        </w:rPr>
        <w:t>中标人凭采购人确认的维保单按期支付维保费用。</w:t>
      </w:r>
    </w:p>
    <w:p w14:paraId="705B9EB4">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1.2确保电梯年检合格。中标人必须在年度合同到期前一个月内配合政府主管部门对服务期内的设备实施年检，并对因保养不当而产生的整改项目进行免费整改，直至年检合格，方可收取当年的维保费用。</w:t>
      </w:r>
    </w:p>
    <w:p w14:paraId="07191AB7">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1.3在采购人的主导和授权下，采购人聘请的物业服务单位可享有采购人的管理权利及履行相关义务，参与对中标人的监管。</w:t>
      </w:r>
    </w:p>
    <w:p w14:paraId="7BAD6BD1">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1.4中标人需具有信息化、智能化管理服务的手段和措施，须无条件配合物业服务单位做好智能楼宇信息化管理的相关工作。</w:t>
      </w:r>
    </w:p>
    <w:p w14:paraId="356B54C8">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2、电梯维保的具体服务要求</w:t>
      </w:r>
    </w:p>
    <w:p w14:paraId="2756DF0A">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2.1 电梯轿厢、机房、井道、底坑、安全装置、显示等部位的各部件的常规检查、调整、润滑和清洁服务；</w:t>
      </w:r>
    </w:p>
    <w:p w14:paraId="32435FBC">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2.2 电梯曳引机、补偿钢丝绳、补偿链、限速器、钢丝绳的清洁和张力调整及平层等；</w:t>
      </w:r>
    </w:p>
    <w:p w14:paraId="138C4CE6">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2.3 具体检修及对成套设备的检查工作，如齿轮箱、马达、控制柜、制动器、层站显示和其他电梯运行部件的检修；</w:t>
      </w:r>
    </w:p>
    <w:p w14:paraId="11D6AC85">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2.4 严格按规范要求调试抱闸、导轨、曳引钢丝绳、开关、电梯运行部件等，并对设备进行润滑、换油等工作。</w:t>
      </w:r>
    </w:p>
    <w:p w14:paraId="4D7697C0">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2.5 中标人负责配合政府主管部门实施年检，如因维保原因造成年检一次性不合格，中标人必须承担其二次检测费用，以及由此引起的一切后果。</w:t>
      </w:r>
    </w:p>
    <w:p w14:paraId="1F8908FB">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2.6 中标人维修保养人员应及时与招标人沟通维修保养、使用及运行情况，每三个月向招标人提交一份电梯维修保养情况报告，每半年进行一次综合性的运行安全和运行质量的检查，并在检测结束时，向招标人提交检测报告。</w:t>
      </w:r>
    </w:p>
    <w:p w14:paraId="2B19D499">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2.7 中标人必须严格按《特种设备安全法》第22、23、24条等规定的内容执行。</w:t>
      </w:r>
    </w:p>
    <w:p w14:paraId="1788F774">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3、电梯维保的具体服务标准</w:t>
      </w:r>
    </w:p>
    <w:p w14:paraId="66474A03">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3.1 保证电梯安全运行。严格按照规定的服务内容实施服务，并根据“电梯保养年度作业计划方案”所列的项目和周期进行检查、调整、润滑和清洁等保养工作。每次维修保养后，必须在两个工作日程呈交维修保养报告。</w:t>
      </w:r>
    </w:p>
    <w:p w14:paraId="29F9DA37">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3.2 在保证电梯安全运行的前提下满足正常使用的需求。电梯日常维修保养，应严格按照电梯使用管理与维修保养规则TSG-T5002-2017标准执行。</w:t>
      </w:r>
    </w:p>
    <w:p w14:paraId="04157564">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3.3 要求电梯日常维修保养驻点固定人员服务。确定成交后，中标人必须选派足够数量的技术精湛、经验丰富且工作负责的相对固定维保人员到场服务，服务时应严格遵守招标人有关的规章制度。</w:t>
      </w:r>
    </w:p>
    <w:p w14:paraId="13A9FF9C">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3.4 因没有实施保养或保养不当造成电梯停运，若在24小时内未能恢复运行的、困人在</w:t>
      </w:r>
      <w:r>
        <w:rPr>
          <w:rFonts w:hint="eastAsia" w:ascii="宋体" w:hAnsi="宋体" w:cs="宋体"/>
          <w:color w:val="000000"/>
          <w:kern w:val="0"/>
          <w:sz w:val="24"/>
          <w:highlight w:val="none"/>
        </w:rPr>
        <w:t>30分钟</w:t>
      </w:r>
      <w:r>
        <w:rPr>
          <w:rFonts w:hint="eastAsia" w:ascii="宋体" w:hAnsi="宋体" w:cs="宋体"/>
          <w:color w:val="000000"/>
          <w:kern w:val="0"/>
          <w:sz w:val="24"/>
          <w:highlight w:val="none"/>
        </w:rPr>
        <w:t>内未能解决，采购人付款时扣除该台设备一个月的保养费；在48小时内未能恢复运行的，困人在60分钟内未能解决，</w:t>
      </w:r>
      <w:r>
        <w:rPr>
          <w:rFonts w:hint="eastAsia" w:ascii="宋体" w:hAnsi="宋体" w:cs="宋体"/>
          <w:color w:val="000000"/>
          <w:kern w:val="0"/>
          <w:sz w:val="24"/>
          <w:highlight w:val="none"/>
        </w:rPr>
        <w:t xml:space="preserve">采购人方付款时扣除该台设备一年的保养费。 </w:t>
      </w:r>
    </w:p>
    <w:p w14:paraId="5A4E3DDC">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3.5 须提供24小时的应急响应服务，对电梯困人事故要求在接到报警后10分钟内到达现场，将乘客先从轿厢中救出后即时抢修故障。电梯发生其他故障，中标人在接到招标人紧急报修通知后, 需15分钟内赶到现场排除。一般故障中标人接通知后派员到场处理，要求在60分钟内排除。特殊故障应在2小时内确认，如要更换配件需经双方商定认可。</w:t>
      </w:r>
    </w:p>
    <w:p w14:paraId="72D7CEB2">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3.6每年度10月底前</w:t>
      </w:r>
      <w:r>
        <w:rPr>
          <w:rFonts w:hint="eastAsia" w:ascii="宋体" w:hAnsi="宋体" w:cs="宋体"/>
          <w:color w:val="000000"/>
          <w:kern w:val="0"/>
          <w:sz w:val="24"/>
          <w:highlight w:val="none"/>
        </w:rPr>
        <w:t>须进行电梯运行分析，并提供书面报告，对电梯的运行及安全方面进行全方位测试或总结。对可能不利于安全运行的部件或一年内即将到使用寿命的部件及时申报进行更换修理。</w:t>
      </w:r>
    </w:p>
    <w:p w14:paraId="1B10AA60">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3.7 当发现或发生非保养责任事故时，需书面通知招标人整改，当事故严重影响设备安全运行时，应及时通知招标人停止使用该设备。</w:t>
      </w:r>
    </w:p>
    <w:p w14:paraId="097BF728">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3.8 中标人应提供服务承诺书和维修电话号码并粘贴在轿厢显著位置。</w:t>
      </w:r>
    </w:p>
    <w:p w14:paraId="0C6FFB51">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3.9中标人在履行义务过程中而导致的相关人身安全及财产安全责任均由中标人全权承担，与采购人无关。</w:t>
      </w:r>
    </w:p>
    <w:p w14:paraId="1B790B13">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3.10中标人必须配合采购人各种大型活动监护和安全检查。</w:t>
      </w:r>
    </w:p>
    <w:p w14:paraId="6620C680">
      <w:pPr>
        <w:spacing w:line="360" w:lineRule="auto"/>
        <w:contextualSpacing/>
        <w:outlineLvl w:val="1"/>
        <w:rPr>
          <w:rFonts w:ascii="宋体" w:hAnsi="宋体" w:cs="宋体"/>
          <w:color w:val="000000"/>
          <w:kern w:val="0"/>
          <w:sz w:val="24"/>
          <w:highlight w:val="none"/>
        </w:rPr>
      </w:pPr>
      <w:r>
        <w:rPr>
          <w:rFonts w:hint="eastAsia" w:cs="宋体"/>
          <w:b/>
          <w:bCs/>
          <w:color w:val="000000"/>
          <w:sz w:val="28"/>
          <w:szCs w:val="28"/>
          <w:highlight w:val="none"/>
        </w:rPr>
        <w:t>四、服务要求：</w:t>
      </w:r>
    </w:p>
    <w:p w14:paraId="5499B1C0">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1、维保期间电梯配件供货时间要求（提供书面开列清单承诺）：一般电梯配件（如门滑块、按钮、外召显示板、内召显示板、红外光幕、行程开关、感应开关、接触器、继电器等）</w:t>
      </w:r>
      <w:r>
        <w:rPr>
          <w:rFonts w:hint="eastAsia" w:ascii="宋体" w:hAnsi="宋体" w:cs="宋体"/>
          <w:b/>
          <w:bCs/>
          <w:kern w:val="0"/>
          <w:sz w:val="24"/>
          <w:highlight w:val="none"/>
        </w:rPr>
        <w:t>保养单位需现场备存，随时更换</w:t>
      </w:r>
      <w:r>
        <w:rPr>
          <w:rFonts w:hint="eastAsia" w:ascii="宋体" w:hAnsi="宋体" w:cs="宋体"/>
          <w:kern w:val="0"/>
          <w:sz w:val="24"/>
          <w:highlight w:val="none"/>
        </w:rPr>
        <w:t>；主要配件（如门机板、曳引钢丝绳、电梯主板、变频器、编码器等）</w:t>
      </w:r>
      <w:r>
        <w:rPr>
          <w:rFonts w:hint="eastAsia" w:ascii="宋体" w:hAnsi="宋体" w:cs="宋体"/>
          <w:b/>
          <w:bCs/>
          <w:kern w:val="0"/>
          <w:sz w:val="24"/>
          <w:highlight w:val="none"/>
        </w:rPr>
        <w:t>，保养单位两天内到货更换</w:t>
      </w:r>
      <w:r>
        <w:rPr>
          <w:rFonts w:hint="eastAsia" w:ascii="宋体" w:hAnsi="宋体" w:cs="宋体"/>
          <w:kern w:val="0"/>
          <w:sz w:val="24"/>
          <w:highlight w:val="none"/>
        </w:rPr>
        <w:t>；特殊大件（如曳引主机、门机整件等）</w:t>
      </w:r>
      <w:r>
        <w:rPr>
          <w:rFonts w:hint="eastAsia" w:ascii="宋体" w:hAnsi="宋体" w:cs="宋体"/>
          <w:b/>
          <w:bCs/>
          <w:kern w:val="0"/>
          <w:sz w:val="24"/>
          <w:highlight w:val="none"/>
        </w:rPr>
        <w:t>三天内到货更换，特殊情况另议</w:t>
      </w:r>
      <w:r>
        <w:rPr>
          <w:rFonts w:hint="eastAsia" w:ascii="宋体" w:hAnsi="宋体" w:cs="宋体"/>
          <w:kern w:val="0"/>
          <w:sz w:val="24"/>
          <w:highlight w:val="none"/>
        </w:rPr>
        <w:t>。以上部件必须提供原厂纯正品部件，不得以次充好。</w:t>
      </w:r>
    </w:p>
    <w:p w14:paraId="5E05C53E">
      <w:pPr>
        <w:tabs>
          <w:tab w:val="left" w:pos="180"/>
          <w:tab w:val="left" w:pos="540"/>
        </w:tabs>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2、</w:t>
      </w:r>
      <w:r>
        <w:rPr>
          <w:rFonts w:hint="eastAsia" w:hAnsi="宋体"/>
          <w:color w:val="000000"/>
          <w:sz w:val="24"/>
          <w:szCs w:val="24"/>
          <w:highlight w:val="none"/>
        </w:rPr>
        <w:t>供应商对配件提供全日</w:t>
      </w:r>
      <w:r>
        <w:rPr>
          <w:rFonts w:hint="eastAsia"/>
          <w:color w:val="000000"/>
          <w:sz w:val="24"/>
          <w:szCs w:val="24"/>
          <w:highlight w:val="none"/>
        </w:rPr>
        <w:t>24</w:t>
      </w:r>
      <w:r>
        <w:rPr>
          <w:rFonts w:hint="eastAsia" w:hAnsi="宋体"/>
          <w:color w:val="000000"/>
          <w:sz w:val="24"/>
          <w:szCs w:val="24"/>
          <w:highlight w:val="none"/>
        </w:rPr>
        <w:t>小时供应服务，并且保证上海三菱原产配件。在维保过程中乙方发现需更换的配件，应主动联系甲方及时进行更换。</w:t>
      </w:r>
      <w:r>
        <w:rPr>
          <w:rFonts w:hint="eastAsia"/>
          <w:sz w:val="32"/>
          <w:szCs w:val="32"/>
          <w:highlight w:val="none"/>
        </w:rPr>
        <w:t> </w:t>
      </w:r>
      <w:r>
        <w:rPr>
          <w:rFonts w:hint="eastAsia" w:ascii="宋体" w:hAnsi="宋体" w:cs="宋体"/>
          <w:b/>
          <w:bCs/>
          <w:kern w:val="0"/>
          <w:sz w:val="24"/>
          <w:highlight w:val="none"/>
        </w:rPr>
        <w:t>成交供应商负责500元（含500元，价格以三菱官方渠道为准）以内正常损耗的配件更换。维修超出500元以上的配件以三菱官方渠道销售价的八折与采购人结算 。本项目备品配件人工费均为免费。</w:t>
      </w:r>
    </w:p>
    <w:p w14:paraId="72083B9F">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3、按规定进行定期砝码载荷试验，保证电梯安全高效舒适运行。</w:t>
      </w:r>
    </w:p>
    <w:p w14:paraId="061B9725">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4、运用信息化、物联网等技术，维保过程中具有APP、微信小程序等实时查看维保记录功能、实时视频主动传输存储、实行轨迹回放，全程追溯及其他先进功能。</w:t>
      </w:r>
    </w:p>
    <w:p w14:paraId="5A5D9F77">
      <w:pPr>
        <w:spacing w:line="360" w:lineRule="auto"/>
        <w:contextualSpacing/>
        <w:outlineLvl w:val="1"/>
        <w:rPr>
          <w:rFonts w:cs="宋体"/>
          <w:b/>
          <w:bCs/>
          <w:color w:val="000000"/>
          <w:sz w:val="28"/>
          <w:szCs w:val="28"/>
          <w:highlight w:val="none"/>
        </w:rPr>
      </w:pPr>
      <w:r>
        <w:rPr>
          <w:rFonts w:hint="eastAsia" w:cs="宋体"/>
          <w:b/>
          <w:bCs/>
          <w:color w:val="000000"/>
          <w:sz w:val="28"/>
          <w:szCs w:val="28"/>
          <w:highlight w:val="none"/>
        </w:rPr>
        <w:t>五、付款方式</w:t>
      </w:r>
    </w:p>
    <w:p w14:paraId="5706D9E2">
      <w:pPr>
        <w:spacing w:line="36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本合同自签订之日起，每半年根据维保考核情况支付当年年度维保费的50%；成交人需提供等额、合法有效的增值税专用发票凭证。采购人自收到成交人提供的发票后，一个月内支付。所有款项由采购人按相关财务支付规定办理支付手续，不得故意拖延支付时间。</w:t>
      </w:r>
    </w:p>
    <w:p w14:paraId="7C38B23F">
      <w:pPr>
        <w:spacing w:line="360" w:lineRule="auto"/>
        <w:ind w:firstLine="707" w:firstLineChars="200"/>
        <w:jc w:val="left"/>
        <w:rPr>
          <w:rFonts w:ascii="宋体" w:hAnsi="宋体" w:cs="宋体"/>
          <w:b/>
          <w:iCs/>
          <w:w w:val="80"/>
          <w:sz w:val="44"/>
          <w:szCs w:val="44"/>
          <w:highlight w:val="none"/>
        </w:rPr>
      </w:pPr>
      <w:r>
        <w:rPr>
          <w:rFonts w:hint="eastAsia" w:ascii="宋体" w:hAnsi="宋体" w:cs="宋体"/>
          <w:b/>
          <w:iCs/>
          <w:w w:val="80"/>
          <w:sz w:val="44"/>
          <w:szCs w:val="44"/>
          <w:highlight w:val="none"/>
        </w:rPr>
        <w:br w:type="page"/>
      </w:r>
    </w:p>
    <w:p w14:paraId="4920AB71">
      <w:pPr>
        <w:snapToGrid w:val="0"/>
        <w:spacing w:line="360" w:lineRule="auto"/>
        <w:ind w:firstLine="729" w:firstLineChars="206"/>
        <w:jc w:val="center"/>
        <w:rPr>
          <w:kern w:val="0"/>
          <w:sz w:val="24"/>
          <w:szCs w:val="24"/>
          <w:highlight w:val="none"/>
        </w:rPr>
      </w:pPr>
      <w:r>
        <w:rPr>
          <w:rFonts w:hint="eastAsia" w:ascii="宋体" w:hAnsi="宋体" w:cs="宋体"/>
          <w:b/>
          <w:iCs/>
          <w:w w:val="80"/>
          <w:sz w:val="44"/>
          <w:szCs w:val="44"/>
          <w:highlight w:val="none"/>
        </w:rPr>
        <w:t xml:space="preserve">第四章  </w:t>
      </w:r>
      <w:bookmarkEnd w:id="37"/>
      <w:bookmarkEnd w:id="38"/>
      <w:bookmarkEnd w:id="39"/>
      <w:bookmarkEnd w:id="40"/>
      <w:bookmarkEnd w:id="41"/>
      <w:bookmarkEnd w:id="42"/>
      <w:bookmarkEnd w:id="43"/>
      <w:bookmarkEnd w:id="44"/>
      <w:bookmarkEnd w:id="45"/>
      <w:bookmarkEnd w:id="46"/>
      <w:bookmarkEnd w:id="47"/>
      <w:bookmarkStart w:id="49" w:name="_Toc43217893"/>
      <w:bookmarkStart w:id="50" w:name="_Toc85627670"/>
      <w:bookmarkStart w:id="51" w:name="_Toc37322565"/>
      <w:bookmarkStart w:id="52" w:name="_Toc182848996"/>
      <w:bookmarkStart w:id="53" w:name="_Toc38121794"/>
      <w:bookmarkStart w:id="54" w:name="_Toc11554642"/>
      <w:bookmarkStart w:id="55" w:name="_Toc94544747"/>
      <w:bookmarkStart w:id="56" w:name="_Toc8895742"/>
      <w:bookmarkStart w:id="57" w:name="_Toc13803484"/>
      <w:bookmarkStart w:id="58" w:name="_Toc12670506"/>
      <w:bookmarkStart w:id="59" w:name="_Toc94544873"/>
      <w:bookmarkStart w:id="60" w:name="_Toc11499587"/>
      <w:bookmarkStart w:id="61" w:name="_Toc11500283"/>
      <w:r>
        <w:rPr>
          <w:rFonts w:hint="eastAsia" w:ascii="宋体" w:hAnsi="宋体" w:cs="宋体"/>
          <w:b/>
          <w:iCs/>
          <w:w w:val="80"/>
          <w:sz w:val="44"/>
          <w:szCs w:val="44"/>
          <w:highlight w:val="none"/>
        </w:rPr>
        <w:t>评审方法和程序</w:t>
      </w:r>
      <w:bookmarkEnd w:id="48"/>
    </w:p>
    <w:bookmarkEnd w:id="49"/>
    <w:bookmarkEnd w:id="50"/>
    <w:bookmarkEnd w:id="51"/>
    <w:bookmarkEnd w:id="52"/>
    <w:bookmarkEnd w:id="53"/>
    <w:p w14:paraId="6C46697A">
      <w:pPr>
        <w:snapToGrid w:val="0"/>
        <w:spacing w:line="480" w:lineRule="exact"/>
        <w:ind w:firstLine="482" w:firstLineChars="200"/>
        <w:outlineLvl w:val="1"/>
        <w:rPr>
          <w:rFonts w:ascii="宋体" w:hAnsi="宋体" w:cs="宋体"/>
          <w:b/>
          <w:sz w:val="24"/>
          <w:szCs w:val="24"/>
          <w:highlight w:val="none"/>
        </w:rPr>
      </w:pPr>
      <w:bookmarkStart w:id="62" w:name="_Toc363573857"/>
      <w:bookmarkEnd w:id="62"/>
      <w:r>
        <w:rPr>
          <w:rFonts w:hint="eastAsia" w:ascii="宋体" w:hAnsi="宋体" w:cs="宋体"/>
          <w:b/>
          <w:sz w:val="24"/>
          <w:szCs w:val="24"/>
          <w:highlight w:val="none"/>
        </w:rPr>
        <w:t>一、单位组织磋商</w:t>
      </w:r>
    </w:p>
    <w:p w14:paraId="653AF655">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1、本次竞争性磋商依据《中华人民共和国政府采购法》、《政府采购竞争性磋商采购方式管理暂行办法》及有关法规成立磋商小组。</w:t>
      </w:r>
    </w:p>
    <w:p w14:paraId="5B8D1657">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2、磋商小组的职责：</w:t>
      </w:r>
    </w:p>
    <w:p w14:paraId="36EA93FF">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（1）磋商小组成员应当按照客观、公正、审慎的原则，根据磋商文件规定的评审程序、评审方法和评审标准进行独立评审。</w:t>
      </w:r>
    </w:p>
    <w:p w14:paraId="0550BBD8">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（2）磋商小组成员应当遵守评审工作纪律，不得泄露评审情况和评审中获悉的商业秘密，对个人的评审意见承担法律责任；</w:t>
      </w:r>
    </w:p>
    <w:p w14:paraId="7E371177">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（3）磋商小组成员在评审过程中发现供应商有行贿、提供虚假材料或者串通等违法行为的，应当及时向财政部门报告。</w:t>
      </w:r>
    </w:p>
    <w:p w14:paraId="3E025070">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（4）磋商小组成员在评审过程中受到非法干涉的，应当及时向财政、监察等部门举报。</w:t>
      </w:r>
    </w:p>
    <w:p w14:paraId="2190FC76">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（5）配合采购单位答复供应商提出的质疑；配合财政部门的投诉处理和监督检查工作。</w:t>
      </w:r>
    </w:p>
    <w:p w14:paraId="3A35A36A">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3、评审有关记录由磋商小组成员签名，存档备查。</w:t>
      </w:r>
    </w:p>
    <w:p w14:paraId="48A6F9FF">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4、供应商的法定代表人或被授权人须持身份证准时参加磋商开标会。</w:t>
      </w:r>
    </w:p>
    <w:p w14:paraId="3862D447">
      <w:pPr>
        <w:snapToGrid w:val="0"/>
        <w:spacing w:line="480" w:lineRule="exact"/>
        <w:ind w:firstLine="482" w:firstLineChars="200"/>
        <w:outlineLvl w:val="1"/>
        <w:rPr>
          <w:rFonts w:ascii="宋体" w:hAnsi="宋体" w:cs="宋体"/>
          <w:b/>
          <w:sz w:val="24"/>
          <w:szCs w:val="24"/>
          <w:highlight w:val="none"/>
        </w:rPr>
      </w:pPr>
      <w:r>
        <w:rPr>
          <w:rFonts w:hint="eastAsia" w:ascii="宋体" w:hAnsi="宋体" w:cs="宋体"/>
          <w:b/>
          <w:sz w:val="24"/>
          <w:szCs w:val="24"/>
          <w:highlight w:val="none"/>
        </w:rPr>
        <w:t>二、磋商的原则及方法</w:t>
      </w:r>
    </w:p>
    <w:p w14:paraId="0DDFEC5C">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1、磋商小组依据《中华人民共和国政府采购法》、《政府采购竞争性磋商采购方式管理暂行办法》以及有关政府采购的相关法规，遵循“公开、公平、公正、择优、信用”的原则进行磋商评审。</w:t>
      </w:r>
    </w:p>
    <w:p w14:paraId="709AC464">
      <w:pPr>
        <w:snapToGrid w:val="0"/>
        <w:spacing w:line="480" w:lineRule="exact"/>
        <w:ind w:firstLine="484" w:firstLineChars="202"/>
        <w:rPr>
          <w:rFonts w:ascii="宋体" w:hAnsi="宋体" w:cs="宋体"/>
          <w:sz w:val="24"/>
          <w:szCs w:val="24"/>
          <w:highlight w:val="none"/>
        </w:rPr>
      </w:pPr>
      <w:r>
        <w:rPr>
          <w:rFonts w:hint="eastAsia" w:ascii="宋体" w:hAnsi="宋体" w:cs="宋体"/>
          <w:sz w:val="24"/>
          <w:szCs w:val="24"/>
          <w:highlight w:val="none"/>
        </w:rPr>
        <w:t>2、磋商小组将按照竞争性磋商文件的规定，独立对每个进入打分程序的有效投标供应商的响应文件的技术部分以打分的形式进行评审和评价。技术分取所有评委的算术平均值（计算结果均四舍五入保留两位小数）。</w:t>
      </w:r>
    </w:p>
    <w:p w14:paraId="1BE4C08B">
      <w:pPr>
        <w:snapToGrid w:val="0"/>
        <w:spacing w:line="480" w:lineRule="exact"/>
        <w:ind w:firstLine="484" w:firstLineChars="202"/>
        <w:rPr>
          <w:rFonts w:ascii="宋体" w:hAnsi="宋体" w:cs="宋体"/>
          <w:sz w:val="24"/>
          <w:szCs w:val="24"/>
          <w:highlight w:val="none"/>
        </w:rPr>
      </w:pPr>
      <w:r>
        <w:rPr>
          <w:rFonts w:hint="eastAsia" w:ascii="宋体" w:hAnsi="宋体" w:cs="宋体"/>
          <w:sz w:val="24"/>
          <w:szCs w:val="24"/>
          <w:highlight w:val="none"/>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5AFE549D">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4、磋商小组所有成员应当集中与单一供应商分别进行磋商，并给予所有参加磋商的供应商平等的磋商机会。</w:t>
      </w:r>
    </w:p>
    <w:p w14:paraId="0CA89791">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5、在磋商过程中，磋商小组可以根据磋商文件和磋商情况实质性变动采购需求中的技术、服务要求以及合同草案条款，但不得变动磋商文件中的其他内容。实质性变动的内容，须经采购单位代表确认。</w:t>
      </w:r>
    </w:p>
    <w:p w14:paraId="5F9B6829">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6、对磋商文件作出的实质性变动是磋商文件的有效组成部分，磋商小组应当及时以书面形式同时通知所有参加磋商的供应商。</w:t>
      </w:r>
    </w:p>
    <w:p w14:paraId="5153EB01">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7、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14:paraId="0A95D5AD">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8、经磋商确定最终采购需求和提交最后报价的供应商：磋商文件能够详细列明采购标的的技术、服务要求的，磋商结束后，磋商小组应当要求所有实质性响应的供应商在规定时间内提交最后报价，提交最后报价的供应商不得少于3家。</w:t>
      </w:r>
    </w:p>
    <w:p w14:paraId="45633569">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9、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D8DF147">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10、除非在磋商中磋商小组对采购单位需求内容作了调整增加，或对采购内容作了实质性变更，否则</w:t>
      </w:r>
      <w:r>
        <w:rPr>
          <w:rFonts w:hint="eastAsia" w:ascii="宋体" w:hAnsi="宋体" w:cs="宋体"/>
          <w:b/>
          <w:sz w:val="24"/>
          <w:szCs w:val="24"/>
          <w:highlight w:val="none"/>
        </w:rPr>
        <w:t>采购单位不接受供应商高于自己前一轮的磋商报价</w:t>
      </w:r>
      <w:r>
        <w:rPr>
          <w:rFonts w:hint="eastAsia" w:ascii="宋体" w:hAnsi="宋体" w:cs="宋体"/>
          <w:sz w:val="24"/>
          <w:szCs w:val="24"/>
          <w:highlight w:val="none"/>
        </w:rPr>
        <w:t>。</w:t>
      </w:r>
    </w:p>
    <w:p w14:paraId="6503E08D">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11、对于在磋商顺利开始后至最终报价前，根据磋商情况退出磋商的供应商，须以书面形式说明退出磋商的原因，经磋商小组同意可以退出磋商。</w:t>
      </w:r>
    </w:p>
    <w:p w14:paraId="479D17A3">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12、在磋商中，磋商的任何一方不得透露与磋商有关的其他响应磋商的供应商的技术资料、价格及其他信息。</w:t>
      </w:r>
    </w:p>
    <w:p w14:paraId="38AB1634">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13、凡两家或以上公司同一法人代表或其中一家公司为另一家公司单一最大股东的，不能同时参与同一采购项目相同标段的磋商采购活动，一经发现，将视同串标处理。</w:t>
      </w:r>
    </w:p>
    <w:p w14:paraId="721CC0E3">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14、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14:paraId="4C850520">
      <w:pPr>
        <w:snapToGrid w:val="0"/>
        <w:spacing w:line="480" w:lineRule="exact"/>
        <w:ind w:firstLine="482" w:firstLineChars="200"/>
        <w:outlineLvl w:val="1"/>
        <w:rPr>
          <w:rFonts w:ascii="宋体" w:hAnsi="宋体" w:cs="宋体"/>
          <w:b/>
          <w:sz w:val="24"/>
          <w:szCs w:val="24"/>
          <w:highlight w:val="none"/>
        </w:rPr>
      </w:pPr>
      <w:r>
        <w:rPr>
          <w:rFonts w:hint="eastAsia" w:ascii="宋体" w:hAnsi="宋体" w:cs="宋体"/>
          <w:b/>
          <w:sz w:val="24"/>
          <w:szCs w:val="24"/>
          <w:highlight w:val="none"/>
        </w:rPr>
        <w:t>三、磋商评定结果的方法</w:t>
      </w:r>
    </w:p>
    <w:p w14:paraId="62BC426A">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b/>
          <w:sz w:val="24"/>
          <w:szCs w:val="24"/>
          <w:highlight w:val="none"/>
          <w:u w:val="single"/>
        </w:rPr>
        <w:t>经磋商确定最终采购需求和提交最后报价的供应商后，</w:t>
      </w:r>
      <w:r>
        <w:rPr>
          <w:rFonts w:hint="eastAsia" w:ascii="宋体" w:hAnsi="宋体" w:cs="宋体"/>
          <w:sz w:val="24"/>
          <w:szCs w:val="24"/>
          <w:highlight w:val="none"/>
        </w:rPr>
        <w:t>由磋商小组采用综合评分法</w:t>
      </w:r>
      <w:r>
        <w:rPr>
          <w:rFonts w:hint="eastAsia" w:ascii="宋体" w:hAnsi="宋体" w:cs="宋体"/>
          <w:b/>
          <w:sz w:val="24"/>
          <w:szCs w:val="24"/>
          <w:highlight w:val="none"/>
          <w:u w:val="single"/>
        </w:rPr>
        <w:t>对提交最后报价的供应商的响应文件和最后报价</w:t>
      </w:r>
      <w:r>
        <w:rPr>
          <w:rFonts w:hint="eastAsia" w:ascii="宋体" w:hAnsi="宋体" w:cs="宋体"/>
          <w:sz w:val="24"/>
          <w:szCs w:val="24"/>
          <w:highlight w:val="none"/>
        </w:rPr>
        <w:t>进行综合评分。</w:t>
      </w:r>
    </w:p>
    <w:p w14:paraId="0FCBC3C8">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2、评审时，磋商小组各成员应当独立对每个有效响应的文件进行评价、打分，然后汇总每个供应商每项评分因素的得分（计算结果均四舍五入保留两位小数）。</w:t>
      </w:r>
    </w:p>
    <w:p w14:paraId="7F157035">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3、本次项目磋商的技术和商务报价评审总分值为100分。两部分评审因素比重如下： </w:t>
      </w:r>
    </w:p>
    <w:p w14:paraId="5CA64F14">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技术分值占总分值的比重为</w:t>
      </w:r>
      <w:r>
        <w:rPr>
          <w:rFonts w:hint="eastAsia" w:ascii="宋体" w:hAnsi="宋体" w:cs="宋体"/>
          <w:b/>
          <w:sz w:val="24"/>
          <w:szCs w:val="24"/>
          <w:highlight w:val="none"/>
          <w:u w:val="single"/>
        </w:rPr>
        <w:t xml:space="preserve"> 70%（权重）</w:t>
      </w:r>
      <w:r>
        <w:rPr>
          <w:rFonts w:hint="eastAsia" w:ascii="宋体" w:hAnsi="宋体" w:cs="宋体"/>
          <w:sz w:val="24"/>
          <w:szCs w:val="24"/>
          <w:highlight w:val="none"/>
        </w:rPr>
        <w:t>（四舍五入保留两位小数）；</w:t>
      </w:r>
    </w:p>
    <w:p w14:paraId="0DE52221">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商务报价分值占总分值的比重为</w:t>
      </w:r>
      <w:r>
        <w:rPr>
          <w:rFonts w:hint="eastAsia" w:ascii="宋体" w:hAnsi="宋体" w:cs="宋体"/>
          <w:b/>
          <w:sz w:val="24"/>
          <w:szCs w:val="24"/>
          <w:highlight w:val="none"/>
          <w:u w:val="single"/>
        </w:rPr>
        <w:t xml:space="preserve">30%（权重） </w:t>
      </w:r>
      <w:r>
        <w:rPr>
          <w:rFonts w:hint="eastAsia" w:ascii="宋体" w:hAnsi="宋体" w:cs="宋体"/>
          <w:sz w:val="24"/>
          <w:szCs w:val="24"/>
          <w:highlight w:val="none"/>
        </w:rPr>
        <w:t>（四舍五入保留两位小数）。</w:t>
      </w:r>
    </w:p>
    <w:p w14:paraId="36D84BFA">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4、技术分按所有评委算术平均值计算，分值四舍五入保留两位小数。</w:t>
      </w:r>
    </w:p>
    <w:p w14:paraId="15A90179">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5、商务报价分统一采用低价优先法计算直接取得，与技术分相加为供应商的综合得分（四舍五入保留两位小数）。</w:t>
      </w:r>
    </w:p>
    <w:p w14:paraId="26BBECD1">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6、综合得分最高的供应商推荐为项目预成交人并出具评审磋商报告。</w:t>
      </w:r>
    </w:p>
    <w:p w14:paraId="2E432386">
      <w:pPr>
        <w:snapToGrid w:val="0"/>
        <w:spacing w:line="480" w:lineRule="exact"/>
        <w:ind w:firstLine="480" w:firstLineChars="200"/>
        <w:outlineLvl w:val="1"/>
        <w:rPr>
          <w:rFonts w:ascii="宋体" w:hAnsi="宋体" w:cs="宋体"/>
          <w:sz w:val="24"/>
          <w:szCs w:val="24"/>
          <w:highlight w:val="none"/>
        </w:rPr>
      </w:pPr>
      <w:r>
        <w:rPr>
          <w:rFonts w:hint="eastAsia" w:ascii="宋体" w:hAnsi="宋体" w:cs="宋体"/>
          <w:sz w:val="24"/>
          <w:szCs w:val="24"/>
          <w:highlight w:val="none"/>
        </w:rPr>
        <w:t xml:space="preserve">7、确定成交候选人的特殊情况处理： </w:t>
      </w:r>
    </w:p>
    <w:p w14:paraId="415C8784">
      <w:pPr>
        <w:snapToGrid w:val="0"/>
        <w:spacing w:line="480" w:lineRule="exact"/>
        <w:ind w:firstLine="480" w:firstLineChars="200"/>
        <w:outlineLvl w:val="1"/>
        <w:rPr>
          <w:rFonts w:ascii="宋体" w:hAnsi="宋体" w:cs="宋体"/>
          <w:sz w:val="24"/>
          <w:szCs w:val="24"/>
          <w:highlight w:val="none"/>
        </w:rPr>
      </w:pPr>
      <w:r>
        <w:rPr>
          <w:rFonts w:hint="eastAsia" w:ascii="宋体" w:hAnsi="宋体" w:cs="宋体"/>
          <w:sz w:val="24"/>
          <w:szCs w:val="24"/>
          <w:highlight w:val="none"/>
        </w:rPr>
        <w:t>（1）若总分相同，则按最终报价响应得分高者优先中标。</w:t>
      </w:r>
    </w:p>
    <w:p w14:paraId="11C8CFAD">
      <w:pPr>
        <w:snapToGrid w:val="0"/>
        <w:spacing w:line="480" w:lineRule="exact"/>
        <w:ind w:firstLine="480" w:firstLineChars="200"/>
        <w:outlineLvl w:val="1"/>
        <w:rPr>
          <w:rFonts w:ascii="宋体" w:hAnsi="宋体" w:cs="宋体"/>
          <w:sz w:val="24"/>
          <w:szCs w:val="24"/>
          <w:highlight w:val="none"/>
        </w:rPr>
      </w:pPr>
      <w:r>
        <w:rPr>
          <w:rFonts w:hint="eastAsia" w:ascii="宋体" w:hAnsi="宋体" w:cs="宋体"/>
          <w:sz w:val="24"/>
          <w:szCs w:val="24"/>
          <w:highlight w:val="none"/>
        </w:rPr>
        <w:t>（2）若总分且最终报价响应得分相同，则采取现场抽签的方式确定（投标供应商的抽签顺序分别为各投标供应商递交响应文件签到顺序号）。</w:t>
      </w:r>
    </w:p>
    <w:p w14:paraId="276070D1">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8、磋商评审时，评委对评审的细则若有争议，由磋商小组集体讨论确定，并对未尽情况有最终解释权。</w:t>
      </w:r>
    </w:p>
    <w:p w14:paraId="37C50613">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9、对落标的供应商不做落标原因的解释。</w:t>
      </w:r>
    </w:p>
    <w:p w14:paraId="4584055D">
      <w:pPr>
        <w:snapToGrid w:val="0"/>
        <w:spacing w:line="480" w:lineRule="exact"/>
        <w:ind w:firstLine="482" w:firstLineChars="200"/>
        <w:outlineLvl w:val="1"/>
        <w:rPr>
          <w:rFonts w:ascii="宋体" w:hAnsi="宋体" w:cs="宋体"/>
          <w:b/>
          <w:sz w:val="24"/>
          <w:szCs w:val="24"/>
          <w:highlight w:val="none"/>
        </w:rPr>
      </w:pPr>
      <w:r>
        <w:rPr>
          <w:rFonts w:hint="eastAsia" w:ascii="宋体" w:hAnsi="宋体" w:cs="宋体"/>
          <w:b/>
          <w:sz w:val="24"/>
          <w:szCs w:val="24"/>
          <w:highlight w:val="none"/>
        </w:rPr>
        <w:t>四、综合评分评审标准</w:t>
      </w:r>
    </w:p>
    <w:p w14:paraId="5F93B336">
      <w:pPr>
        <w:snapToGrid w:val="0"/>
        <w:spacing w:line="480" w:lineRule="exact"/>
        <w:ind w:firstLine="484" w:firstLineChars="202"/>
        <w:outlineLvl w:val="2"/>
        <w:rPr>
          <w:rFonts w:ascii="宋体" w:hAnsi="宋体" w:cs="宋体"/>
          <w:sz w:val="24"/>
          <w:szCs w:val="24"/>
          <w:highlight w:val="none"/>
        </w:rPr>
      </w:pPr>
      <w:r>
        <w:rPr>
          <w:rFonts w:hint="eastAsia" w:ascii="宋体" w:hAnsi="宋体" w:cs="宋体"/>
          <w:sz w:val="24"/>
          <w:szCs w:val="24"/>
          <w:highlight w:val="none"/>
        </w:rPr>
        <w:t>（一）技术分：（70分）</w:t>
      </w:r>
    </w:p>
    <w:tbl>
      <w:tblPr>
        <w:tblStyle w:val="54"/>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295"/>
        <w:gridCol w:w="7233"/>
      </w:tblGrid>
      <w:tr w14:paraId="4CCF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12" w:type="dxa"/>
            <w:vAlign w:val="center"/>
          </w:tcPr>
          <w:p w14:paraId="5B3BB34F">
            <w:pPr>
              <w:snapToGrid w:val="0"/>
              <w:jc w:val="center"/>
              <w:rPr>
                <w:rFonts w:ascii="宋体" w:hAnsi="Courier New"/>
                <w:kern w:val="0"/>
                <w:szCs w:val="21"/>
                <w:highlight w:val="none"/>
              </w:rPr>
            </w:pPr>
            <w:r>
              <w:rPr>
                <w:rFonts w:hint="eastAsia" w:ascii="宋体" w:hAnsi="Courier New"/>
                <w:kern w:val="0"/>
                <w:szCs w:val="21"/>
                <w:highlight w:val="none"/>
              </w:rPr>
              <w:t>序号</w:t>
            </w:r>
          </w:p>
        </w:tc>
        <w:tc>
          <w:tcPr>
            <w:tcW w:w="1295" w:type="dxa"/>
            <w:vAlign w:val="center"/>
          </w:tcPr>
          <w:p w14:paraId="031F41B4">
            <w:pPr>
              <w:snapToGrid w:val="0"/>
              <w:jc w:val="center"/>
              <w:rPr>
                <w:rFonts w:ascii="宋体" w:hAnsi="Courier New"/>
                <w:kern w:val="0"/>
                <w:szCs w:val="21"/>
                <w:highlight w:val="none"/>
              </w:rPr>
            </w:pPr>
            <w:r>
              <w:rPr>
                <w:rFonts w:hint="eastAsia" w:ascii="宋体" w:hAnsi="Courier New"/>
                <w:kern w:val="0"/>
                <w:szCs w:val="21"/>
                <w:highlight w:val="none"/>
              </w:rPr>
              <w:t>评审</w:t>
            </w:r>
          </w:p>
          <w:p w14:paraId="34D970B0">
            <w:pPr>
              <w:snapToGrid w:val="0"/>
              <w:jc w:val="center"/>
              <w:rPr>
                <w:rFonts w:ascii="宋体" w:hAnsi="Courier New"/>
                <w:kern w:val="0"/>
                <w:szCs w:val="21"/>
                <w:highlight w:val="none"/>
              </w:rPr>
            </w:pPr>
            <w:r>
              <w:rPr>
                <w:rFonts w:hint="eastAsia" w:ascii="宋体" w:hAnsi="Courier New"/>
                <w:kern w:val="0"/>
                <w:szCs w:val="21"/>
                <w:highlight w:val="none"/>
              </w:rPr>
              <w:t>项目</w:t>
            </w:r>
          </w:p>
        </w:tc>
        <w:tc>
          <w:tcPr>
            <w:tcW w:w="7233" w:type="dxa"/>
            <w:vAlign w:val="center"/>
          </w:tcPr>
          <w:p w14:paraId="5B0492E9">
            <w:pPr>
              <w:snapToGrid w:val="0"/>
              <w:jc w:val="center"/>
              <w:rPr>
                <w:rFonts w:ascii="宋体" w:hAnsi="Courier New"/>
                <w:kern w:val="0"/>
                <w:szCs w:val="21"/>
                <w:highlight w:val="none"/>
              </w:rPr>
            </w:pPr>
            <w:r>
              <w:rPr>
                <w:rFonts w:hint="eastAsia" w:ascii="宋体" w:hAnsi="Courier New"/>
                <w:kern w:val="0"/>
                <w:szCs w:val="21"/>
                <w:highlight w:val="none"/>
              </w:rPr>
              <w:t>技术评审因素及评分规定</w:t>
            </w:r>
          </w:p>
        </w:tc>
      </w:tr>
      <w:tr w14:paraId="7D9E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12" w:type="dxa"/>
            <w:vAlign w:val="center"/>
          </w:tcPr>
          <w:p w14:paraId="7915668A">
            <w:pPr>
              <w:snapToGrid w:val="0"/>
              <w:jc w:val="center"/>
              <w:rPr>
                <w:rFonts w:ascii="宋体" w:hAnsi="Courier New"/>
                <w:kern w:val="0"/>
                <w:szCs w:val="21"/>
                <w:highlight w:val="none"/>
              </w:rPr>
            </w:pPr>
            <w:r>
              <w:rPr>
                <w:rFonts w:hint="eastAsia" w:ascii="宋体" w:hAnsi="Courier New"/>
                <w:kern w:val="0"/>
                <w:szCs w:val="21"/>
                <w:highlight w:val="none"/>
              </w:rPr>
              <w:t>1</w:t>
            </w:r>
          </w:p>
        </w:tc>
        <w:tc>
          <w:tcPr>
            <w:tcW w:w="1295" w:type="dxa"/>
            <w:vAlign w:val="center"/>
          </w:tcPr>
          <w:p w14:paraId="2AE9E2E9">
            <w:pPr>
              <w:snapToGrid w:val="0"/>
              <w:jc w:val="center"/>
              <w:rPr>
                <w:rFonts w:ascii="Calibri" w:hAnsi="Calibri"/>
                <w:szCs w:val="22"/>
                <w:highlight w:val="none"/>
              </w:rPr>
            </w:pPr>
            <w:r>
              <w:rPr>
                <w:rFonts w:hint="eastAsia" w:ascii="Calibri" w:hAnsi="Calibri"/>
                <w:szCs w:val="22"/>
                <w:highlight w:val="none"/>
              </w:rPr>
              <w:t>企业实力</w:t>
            </w:r>
          </w:p>
          <w:p w14:paraId="2D85DC3C">
            <w:pPr>
              <w:snapToGrid w:val="0"/>
              <w:jc w:val="center"/>
              <w:rPr>
                <w:rFonts w:ascii="Calibri" w:hAnsi="Calibri"/>
                <w:szCs w:val="22"/>
                <w:highlight w:val="none"/>
              </w:rPr>
            </w:pPr>
            <w:r>
              <w:rPr>
                <w:rFonts w:hint="eastAsia" w:ascii="Calibri" w:hAnsi="Calibri"/>
                <w:b/>
                <w:bCs/>
                <w:szCs w:val="22"/>
                <w:highlight w:val="none"/>
              </w:rPr>
              <w:t>（</w:t>
            </w:r>
            <w:r>
              <w:rPr>
                <w:rFonts w:hint="eastAsia"/>
                <w:b/>
                <w:bCs/>
                <w:szCs w:val="22"/>
                <w:highlight w:val="none"/>
              </w:rPr>
              <w:t>10</w:t>
            </w:r>
            <w:r>
              <w:rPr>
                <w:rFonts w:hint="eastAsia" w:ascii="Calibri" w:hAnsi="Calibri"/>
                <w:b/>
                <w:bCs/>
                <w:szCs w:val="22"/>
                <w:highlight w:val="none"/>
              </w:rPr>
              <w:t>分）</w:t>
            </w:r>
          </w:p>
        </w:tc>
        <w:tc>
          <w:tcPr>
            <w:tcW w:w="7233" w:type="dxa"/>
            <w:vAlign w:val="center"/>
          </w:tcPr>
          <w:p w14:paraId="1846BBF7">
            <w:pPr>
              <w:widowControl/>
              <w:snapToGrid w:val="0"/>
              <w:spacing w:line="360" w:lineRule="auto"/>
              <w:jc w:val="left"/>
              <w:rPr>
                <w:rFonts w:ascii="Calibri" w:hAnsi="Calibri"/>
                <w:szCs w:val="22"/>
                <w:highlight w:val="none"/>
              </w:rPr>
            </w:pPr>
            <w:r>
              <w:rPr>
                <w:rFonts w:hint="eastAsia" w:ascii="Calibri" w:hAnsi="Calibri"/>
                <w:szCs w:val="22"/>
                <w:highlight w:val="none"/>
              </w:rPr>
              <w:t>（1）投标人2024年获得质量监督部门发布的三星维保星级评定证书（或有效证明）的得4分；</w:t>
            </w:r>
          </w:p>
          <w:p w14:paraId="62754101">
            <w:pPr>
              <w:widowControl/>
              <w:snapToGrid w:val="0"/>
              <w:spacing w:line="360" w:lineRule="auto"/>
              <w:jc w:val="left"/>
              <w:rPr>
                <w:rFonts w:ascii="Calibri" w:hAnsi="Calibri"/>
                <w:szCs w:val="22"/>
                <w:highlight w:val="none"/>
              </w:rPr>
            </w:pPr>
            <w:r>
              <w:rPr>
                <w:rFonts w:hint="eastAsia" w:ascii="Calibri" w:hAnsi="Calibri"/>
                <w:szCs w:val="22"/>
                <w:highlight w:val="none"/>
              </w:rPr>
              <w:t>（2）投标人2024年获得质量监督部门发布的四星维保星级评定证书（或有效证明）的得7分；</w:t>
            </w:r>
          </w:p>
          <w:p w14:paraId="54124C86">
            <w:pPr>
              <w:widowControl/>
              <w:snapToGrid w:val="0"/>
              <w:spacing w:line="360" w:lineRule="auto"/>
              <w:jc w:val="left"/>
              <w:rPr>
                <w:rFonts w:ascii="Calibri" w:hAnsi="Calibri"/>
                <w:szCs w:val="22"/>
                <w:highlight w:val="none"/>
              </w:rPr>
            </w:pPr>
            <w:r>
              <w:rPr>
                <w:rFonts w:hint="eastAsia" w:ascii="Calibri" w:hAnsi="Calibri"/>
                <w:szCs w:val="22"/>
                <w:highlight w:val="none"/>
              </w:rPr>
              <w:t>（3）投标人2024年获得质量监督部门发布的五星及以上维保星级评定证书（或有效证明）的得10分；</w:t>
            </w:r>
          </w:p>
          <w:p w14:paraId="0CC18683">
            <w:pPr>
              <w:pStyle w:val="18"/>
              <w:jc w:val="left"/>
              <w:rPr>
                <w:rFonts w:ascii="仿宋_GB2312" w:eastAsia="仿宋_GB2312"/>
                <w:kern w:val="0"/>
                <w:highlight w:val="none"/>
              </w:rPr>
            </w:pPr>
            <w:r>
              <w:rPr>
                <w:rFonts w:hint="eastAsia" w:ascii="Calibri" w:hAnsi="Calibri"/>
                <w:b/>
                <w:bCs/>
                <w:sz w:val="21"/>
                <w:szCs w:val="22"/>
                <w:highlight w:val="none"/>
              </w:rPr>
              <w:t>提供对应证书或证明文件复印件并加盖供应商单位公章。</w:t>
            </w:r>
          </w:p>
        </w:tc>
      </w:tr>
      <w:tr w14:paraId="0109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12" w:type="dxa"/>
            <w:vAlign w:val="center"/>
          </w:tcPr>
          <w:p w14:paraId="56713690">
            <w:pPr>
              <w:snapToGrid w:val="0"/>
              <w:jc w:val="center"/>
              <w:rPr>
                <w:rFonts w:ascii="宋体" w:hAnsi="Courier New"/>
                <w:kern w:val="0"/>
                <w:szCs w:val="21"/>
                <w:highlight w:val="none"/>
              </w:rPr>
            </w:pPr>
            <w:r>
              <w:rPr>
                <w:rFonts w:hint="eastAsia" w:ascii="宋体" w:hAnsi="Courier New"/>
                <w:kern w:val="0"/>
                <w:szCs w:val="21"/>
                <w:highlight w:val="none"/>
              </w:rPr>
              <w:t>2</w:t>
            </w:r>
          </w:p>
        </w:tc>
        <w:tc>
          <w:tcPr>
            <w:tcW w:w="1295" w:type="dxa"/>
            <w:vAlign w:val="center"/>
          </w:tcPr>
          <w:p w14:paraId="11CED494">
            <w:pPr>
              <w:snapToGrid w:val="0"/>
              <w:jc w:val="center"/>
              <w:rPr>
                <w:rFonts w:ascii="Calibri" w:hAnsi="Calibri"/>
                <w:szCs w:val="22"/>
                <w:highlight w:val="none"/>
              </w:rPr>
            </w:pPr>
            <w:r>
              <w:rPr>
                <w:rFonts w:hint="eastAsia" w:ascii="Calibri" w:hAnsi="Calibri"/>
                <w:szCs w:val="22"/>
                <w:highlight w:val="none"/>
              </w:rPr>
              <w:t>体系认证</w:t>
            </w:r>
          </w:p>
          <w:p w14:paraId="669D1B5B">
            <w:pPr>
              <w:snapToGrid w:val="0"/>
              <w:jc w:val="center"/>
              <w:rPr>
                <w:rFonts w:ascii="Calibri" w:hAnsi="Calibri"/>
                <w:szCs w:val="22"/>
                <w:highlight w:val="none"/>
              </w:rPr>
            </w:pPr>
            <w:r>
              <w:rPr>
                <w:rFonts w:hint="eastAsia" w:ascii="Calibri" w:hAnsi="Calibri"/>
                <w:b/>
                <w:bCs/>
                <w:szCs w:val="22"/>
                <w:highlight w:val="none"/>
              </w:rPr>
              <w:t>（6分）</w:t>
            </w:r>
          </w:p>
        </w:tc>
        <w:tc>
          <w:tcPr>
            <w:tcW w:w="7233" w:type="dxa"/>
            <w:vAlign w:val="center"/>
          </w:tcPr>
          <w:p w14:paraId="6AF84093">
            <w:pPr>
              <w:widowControl/>
              <w:spacing w:line="440" w:lineRule="exact"/>
              <w:jc w:val="left"/>
              <w:rPr>
                <w:rFonts w:ascii="Calibri" w:hAnsi="Calibri"/>
                <w:b/>
                <w:bCs/>
                <w:szCs w:val="22"/>
                <w:highlight w:val="none"/>
              </w:rPr>
            </w:pPr>
            <w:r>
              <w:rPr>
                <w:rFonts w:hint="eastAsia" w:ascii="Calibri" w:hAnsi="Calibri"/>
                <w:szCs w:val="22"/>
                <w:highlight w:val="none"/>
              </w:rPr>
              <w:t>投标人具有有效期内的质量管理体系认证证书、环境管理体系认证证书、职业健康安全管理体系认证证书，每提供1个得2分，满分6分。</w:t>
            </w:r>
            <w:r>
              <w:rPr>
                <w:rFonts w:hint="eastAsia" w:ascii="Calibri" w:hAnsi="Calibri"/>
                <w:b/>
                <w:bCs/>
                <w:szCs w:val="22"/>
                <w:highlight w:val="none"/>
              </w:rPr>
              <w:t>提供对应证书复印件并加盖供应商单位公章。</w:t>
            </w:r>
          </w:p>
          <w:p w14:paraId="6943889C">
            <w:pPr>
              <w:widowControl/>
              <w:spacing w:line="440" w:lineRule="exact"/>
              <w:jc w:val="left"/>
              <w:rPr>
                <w:rFonts w:ascii="Calibri" w:hAnsi="Calibri"/>
                <w:szCs w:val="22"/>
                <w:highlight w:val="none"/>
              </w:rPr>
            </w:pPr>
            <w:r>
              <w:rPr>
                <w:rFonts w:hint="eastAsia" w:ascii="Calibri" w:hAnsi="Calibri"/>
                <w:b/>
                <w:bCs/>
                <w:szCs w:val="22"/>
                <w:highlight w:val="none"/>
              </w:rPr>
              <w:t>注：以上质量管理体系认证证书、环境管理体系认证证书、职业健康安全管理体系认证证书，必须能够在国家认监委网站查询到，并在有效期内的才可以得分（并提供截图），否则不得分。</w:t>
            </w:r>
          </w:p>
        </w:tc>
      </w:tr>
      <w:tr w14:paraId="35AE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12" w:type="dxa"/>
            <w:vAlign w:val="center"/>
          </w:tcPr>
          <w:p w14:paraId="18763D0E">
            <w:pPr>
              <w:snapToGrid w:val="0"/>
              <w:jc w:val="center"/>
              <w:rPr>
                <w:rFonts w:ascii="宋体" w:hAnsi="Courier New"/>
                <w:kern w:val="0"/>
                <w:szCs w:val="21"/>
                <w:highlight w:val="none"/>
              </w:rPr>
            </w:pPr>
            <w:r>
              <w:rPr>
                <w:rFonts w:hint="eastAsia" w:ascii="宋体" w:hAnsi="Courier New"/>
                <w:kern w:val="0"/>
                <w:szCs w:val="21"/>
                <w:highlight w:val="none"/>
              </w:rPr>
              <w:t>3</w:t>
            </w:r>
          </w:p>
        </w:tc>
        <w:tc>
          <w:tcPr>
            <w:tcW w:w="1295" w:type="dxa"/>
            <w:vAlign w:val="center"/>
          </w:tcPr>
          <w:p w14:paraId="7FB7C8DB">
            <w:pPr>
              <w:snapToGrid w:val="0"/>
              <w:jc w:val="center"/>
              <w:rPr>
                <w:rFonts w:ascii="Calibri" w:hAnsi="Calibri"/>
                <w:szCs w:val="22"/>
                <w:highlight w:val="none"/>
              </w:rPr>
            </w:pPr>
            <w:r>
              <w:rPr>
                <w:rFonts w:hint="eastAsia" w:ascii="Calibri" w:hAnsi="Calibri"/>
                <w:szCs w:val="22"/>
                <w:highlight w:val="none"/>
              </w:rPr>
              <w:t>技术维保</w:t>
            </w:r>
          </w:p>
          <w:p w14:paraId="5D7A2355">
            <w:pPr>
              <w:snapToGrid w:val="0"/>
              <w:jc w:val="center"/>
              <w:rPr>
                <w:rFonts w:ascii="Calibri" w:hAnsi="Calibri"/>
                <w:szCs w:val="22"/>
                <w:highlight w:val="none"/>
              </w:rPr>
            </w:pPr>
            <w:r>
              <w:rPr>
                <w:rFonts w:hint="eastAsia" w:ascii="Calibri" w:hAnsi="Calibri"/>
                <w:szCs w:val="22"/>
                <w:highlight w:val="none"/>
              </w:rPr>
              <w:t>力量</w:t>
            </w:r>
          </w:p>
          <w:p w14:paraId="20C6EED0">
            <w:pPr>
              <w:snapToGrid w:val="0"/>
              <w:jc w:val="center"/>
              <w:rPr>
                <w:rFonts w:ascii="Calibri" w:hAnsi="Calibri"/>
                <w:szCs w:val="22"/>
                <w:highlight w:val="none"/>
              </w:rPr>
            </w:pPr>
            <w:r>
              <w:rPr>
                <w:rFonts w:hint="eastAsia" w:ascii="Calibri" w:hAnsi="Calibri"/>
                <w:b/>
                <w:bCs/>
                <w:szCs w:val="22"/>
                <w:highlight w:val="none"/>
              </w:rPr>
              <w:t>（20分）</w:t>
            </w:r>
          </w:p>
        </w:tc>
        <w:tc>
          <w:tcPr>
            <w:tcW w:w="7233" w:type="dxa"/>
            <w:vAlign w:val="center"/>
          </w:tcPr>
          <w:p w14:paraId="37252305">
            <w:pPr>
              <w:widowControl/>
              <w:spacing w:line="440" w:lineRule="exact"/>
              <w:jc w:val="left"/>
              <w:rPr>
                <w:rFonts w:eastAsia="方正楷体_GB2312"/>
                <w:szCs w:val="21"/>
                <w:highlight w:val="none"/>
              </w:rPr>
            </w:pPr>
            <w:r>
              <w:rPr>
                <w:rFonts w:hint="eastAsia" w:ascii="宋体" w:hAnsi="宋体"/>
                <w:szCs w:val="21"/>
                <w:highlight w:val="none"/>
              </w:rPr>
              <w:t>（1）投标供应商提供拟派本项目电梯维保专业人员</w:t>
            </w:r>
            <w:r>
              <w:rPr>
                <w:rFonts w:hint="eastAsia" w:ascii="宋体" w:hAnsi="宋体" w:cs="宋体"/>
                <w:szCs w:val="21"/>
                <w:highlight w:val="none"/>
              </w:rPr>
              <w:t>取得由中华人民共和国人力资源和社会保障部颁发的电梯安装维修工</w:t>
            </w:r>
            <w:r>
              <w:rPr>
                <w:rFonts w:hint="eastAsia" w:ascii="宋体" w:hAnsi="宋体"/>
                <w:szCs w:val="21"/>
                <w:highlight w:val="none"/>
              </w:rPr>
              <w:t>职业资格证书四级及以上证书的，每提供一个证书的得2分，累计最高得10分。提供证书复印件并加盖公章</w:t>
            </w:r>
            <w:r>
              <w:rPr>
                <w:rFonts w:hint="eastAsia" w:ascii="宋体" w:hAnsi="宋体"/>
                <w:sz w:val="24"/>
                <w:szCs w:val="24"/>
                <w:highlight w:val="none"/>
              </w:rPr>
              <w:t>。</w:t>
            </w:r>
          </w:p>
          <w:p w14:paraId="103EF836">
            <w:pPr>
              <w:spacing w:line="440" w:lineRule="exact"/>
              <w:jc w:val="left"/>
              <w:rPr>
                <w:rFonts w:ascii="宋体" w:hAnsi="宋体"/>
                <w:szCs w:val="21"/>
                <w:highlight w:val="none"/>
              </w:rPr>
            </w:pPr>
            <w:r>
              <w:rPr>
                <w:rFonts w:hint="eastAsia" w:ascii="宋体" w:hAnsi="宋体"/>
                <w:szCs w:val="21"/>
                <w:highlight w:val="none"/>
              </w:rPr>
              <w:t>（2）拟派项目组人员：具有特种设备作业T证(或T1证或T2证)人员 ，每提供一个证书加2分，最多得10分。</w:t>
            </w:r>
          </w:p>
          <w:p w14:paraId="7C8A8391">
            <w:pPr>
              <w:widowControl/>
              <w:spacing w:line="440" w:lineRule="exact"/>
              <w:jc w:val="left"/>
              <w:rPr>
                <w:rFonts w:ascii="宋体" w:hAnsi="宋体"/>
                <w:szCs w:val="21"/>
                <w:highlight w:val="none"/>
              </w:rPr>
            </w:pPr>
            <w:r>
              <w:rPr>
                <w:rFonts w:hint="eastAsia" w:ascii="宋体" w:hAnsi="宋体"/>
                <w:szCs w:val="21"/>
                <w:highlight w:val="none"/>
              </w:rPr>
              <w:t>拟派项目组人员表（格式自拟）、证书复印件及社保机构出具的由企业为上述人员缴纳的2025年05月至2025年7月</w:t>
            </w:r>
            <w:r>
              <w:rPr>
                <w:rFonts w:hint="eastAsia"/>
                <w:highlight w:val="none"/>
              </w:rPr>
              <w:t>中连续</w:t>
            </w:r>
            <w:r>
              <w:rPr>
                <w:rFonts w:hint="eastAsia" w:ascii="宋体" w:hAnsi="宋体"/>
                <w:szCs w:val="21"/>
                <w:highlight w:val="none"/>
              </w:rPr>
              <w:t>三个月的社会保险缴费清单复印件并加盖供应商单位公章。</w:t>
            </w:r>
          </w:p>
        </w:tc>
      </w:tr>
      <w:tr w14:paraId="2229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412" w:type="dxa"/>
            <w:vAlign w:val="center"/>
          </w:tcPr>
          <w:p w14:paraId="3C439548">
            <w:pPr>
              <w:snapToGrid w:val="0"/>
              <w:jc w:val="center"/>
              <w:rPr>
                <w:rFonts w:ascii="宋体" w:hAnsi="Courier New"/>
                <w:kern w:val="0"/>
                <w:szCs w:val="21"/>
                <w:highlight w:val="none"/>
              </w:rPr>
            </w:pPr>
            <w:r>
              <w:rPr>
                <w:rFonts w:hint="eastAsia" w:ascii="宋体" w:hAnsi="Courier New"/>
                <w:kern w:val="0"/>
                <w:szCs w:val="21"/>
                <w:highlight w:val="none"/>
              </w:rPr>
              <w:t>4</w:t>
            </w:r>
          </w:p>
        </w:tc>
        <w:tc>
          <w:tcPr>
            <w:tcW w:w="1295" w:type="dxa"/>
            <w:vAlign w:val="center"/>
          </w:tcPr>
          <w:p w14:paraId="29A50ECE">
            <w:pPr>
              <w:snapToGrid w:val="0"/>
              <w:jc w:val="center"/>
              <w:rPr>
                <w:rFonts w:ascii="Calibri" w:hAnsi="Calibri"/>
                <w:szCs w:val="22"/>
                <w:highlight w:val="none"/>
              </w:rPr>
            </w:pPr>
            <w:r>
              <w:rPr>
                <w:rFonts w:hint="eastAsia" w:ascii="Calibri" w:hAnsi="Calibri"/>
                <w:szCs w:val="22"/>
                <w:highlight w:val="none"/>
              </w:rPr>
              <w:t>技术保障</w:t>
            </w:r>
          </w:p>
          <w:p w14:paraId="4A5CB915">
            <w:pPr>
              <w:snapToGrid w:val="0"/>
              <w:jc w:val="center"/>
              <w:rPr>
                <w:rFonts w:ascii="Calibri" w:hAnsi="Calibri"/>
                <w:szCs w:val="22"/>
                <w:highlight w:val="none"/>
              </w:rPr>
            </w:pPr>
            <w:r>
              <w:rPr>
                <w:rFonts w:hint="eastAsia" w:ascii="Calibri" w:hAnsi="Calibri"/>
                <w:b/>
                <w:bCs/>
                <w:szCs w:val="22"/>
                <w:highlight w:val="none"/>
              </w:rPr>
              <w:t>（6分）</w:t>
            </w:r>
          </w:p>
        </w:tc>
        <w:tc>
          <w:tcPr>
            <w:tcW w:w="7233" w:type="dxa"/>
            <w:vAlign w:val="center"/>
          </w:tcPr>
          <w:p w14:paraId="060C850B">
            <w:pPr>
              <w:spacing w:line="440" w:lineRule="exact"/>
              <w:jc w:val="left"/>
              <w:rPr>
                <w:rFonts w:ascii="Calibri" w:hAnsi="Calibri"/>
                <w:szCs w:val="21"/>
                <w:highlight w:val="none"/>
              </w:rPr>
            </w:pPr>
            <w:r>
              <w:rPr>
                <w:rFonts w:hint="eastAsia" w:ascii="Calibri" w:hAnsi="Calibri"/>
                <w:szCs w:val="21"/>
                <w:highlight w:val="none"/>
              </w:rPr>
              <w:t>投标人</w:t>
            </w:r>
            <w:r>
              <w:rPr>
                <w:rFonts w:hint="eastAsia" w:ascii="Calibri" w:hAnsi="Calibri"/>
                <w:szCs w:val="21"/>
                <w:highlight w:val="none"/>
              </w:rPr>
              <w:t>持有</w:t>
            </w:r>
            <w:r>
              <w:rPr>
                <w:rFonts w:hint="eastAsia" w:ascii="Calibri" w:hAnsi="Calibri"/>
                <w:szCs w:val="21"/>
                <w:highlight w:val="none"/>
              </w:rPr>
              <w:t>合格有效的电梯钢丝绳张力测试仪、电梯限速器测试仪、加减速度测试仪等主要的电梯维保检测检修工器具；</w:t>
            </w:r>
          </w:p>
          <w:p w14:paraId="3ED7E3B9">
            <w:pPr>
              <w:spacing w:line="440" w:lineRule="exact"/>
              <w:jc w:val="left"/>
              <w:rPr>
                <w:rFonts w:ascii="Calibri" w:hAnsi="Calibri"/>
                <w:szCs w:val="21"/>
                <w:highlight w:val="none"/>
              </w:rPr>
            </w:pPr>
            <w:r>
              <w:rPr>
                <w:rFonts w:hint="eastAsia" w:ascii="Calibri" w:hAnsi="Calibri"/>
                <w:szCs w:val="21"/>
                <w:highlight w:val="none"/>
              </w:rPr>
              <w:t>如是自有设备，提供投标人采购发票及有效的</w:t>
            </w:r>
            <w:r>
              <w:rPr>
                <w:rFonts w:hint="eastAsia" w:ascii="Calibri" w:hAnsi="Calibri"/>
                <w:bCs/>
                <w:szCs w:val="21"/>
                <w:highlight w:val="none"/>
              </w:rPr>
              <w:t>产品检测报告复印件</w:t>
            </w:r>
            <w:r>
              <w:rPr>
                <w:rFonts w:hint="eastAsia" w:ascii="Calibri" w:hAnsi="Calibri"/>
                <w:szCs w:val="21"/>
                <w:highlight w:val="none"/>
              </w:rPr>
              <w:t>并加盖供应商单位公章；如是租赁设备，提供投标人租赁合同、设备购买发票及有效的</w:t>
            </w:r>
            <w:r>
              <w:rPr>
                <w:rFonts w:hint="eastAsia" w:ascii="Calibri" w:hAnsi="Calibri"/>
                <w:bCs/>
                <w:szCs w:val="21"/>
                <w:highlight w:val="none"/>
              </w:rPr>
              <w:t>产品检测报告复印件</w:t>
            </w:r>
            <w:r>
              <w:rPr>
                <w:rFonts w:hint="eastAsia" w:ascii="Calibri" w:hAnsi="Calibri"/>
                <w:szCs w:val="21"/>
                <w:highlight w:val="none"/>
              </w:rPr>
              <w:t>并加盖供应商单位公章。每提供一项得2分，满分6分，未提供的不得分。</w:t>
            </w:r>
          </w:p>
        </w:tc>
      </w:tr>
      <w:tr w14:paraId="6932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2" w:type="dxa"/>
            <w:vAlign w:val="center"/>
          </w:tcPr>
          <w:p w14:paraId="77DC4FAF">
            <w:pPr>
              <w:snapToGrid w:val="0"/>
              <w:jc w:val="center"/>
              <w:rPr>
                <w:rFonts w:ascii="宋体" w:hAnsi="Courier New"/>
                <w:kern w:val="0"/>
                <w:szCs w:val="21"/>
                <w:highlight w:val="none"/>
              </w:rPr>
            </w:pPr>
            <w:r>
              <w:rPr>
                <w:rFonts w:hint="eastAsia" w:ascii="宋体" w:hAnsi="Courier New"/>
                <w:kern w:val="0"/>
                <w:szCs w:val="21"/>
                <w:highlight w:val="none"/>
              </w:rPr>
              <w:t>5</w:t>
            </w:r>
          </w:p>
        </w:tc>
        <w:tc>
          <w:tcPr>
            <w:tcW w:w="1295" w:type="dxa"/>
            <w:vAlign w:val="center"/>
          </w:tcPr>
          <w:p w14:paraId="6F0BB238">
            <w:pPr>
              <w:snapToGrid w:val="0"/>
              <w:jc w:val="center"/>
              <w:rPr>
                <w:rFonts w:ascii="Calibri" w:hAnsi="Calibri"/>
                <w:szCs w:val="22"/>
                <w:highlight w:val="none"/>
              </w:rPr>
            </w:pPr>
            <w:r>
              <w:rPr>
                <w:rFonts w:hint="eastAsia" w:ascii="Calibri" w:hAnsi="Calibri"/>
                <w:szCs w:val="22"/>
                <w:highlight w:val="none"/>
              </w:rPr>
              <w:t>企业业绩</w:t>
            </w:r>
          </w:p>
          <w:p w14:paraId="599A4A15">
            <w:pPr>
              <w:snapToGrid w:val="0"/>
              <w:jc w:val="center"/>
              <w:rPr>
                <w:rFonts w:ascii="Calibri" w:hAnsi="Calibri"/>
                <w:szCs w:val="22"/>
                <w:highlight w:val="none"/>
              </w:rPr>
            </w:pPr>
            <w:r>
              <w:rPr>
                <w:rFonts w:hint="eastAsia" w:ascii="Calibri" w:hAnsi="Calibri"/>
                <w:b/>
                <w:bCs/>
                <w:szCs w:val="22"/>
                <w:highlight w:val="none"/>
              </w:rPr>
              <w:t>（10分）</w:t>
            </w:r>
          </w:p>
        </w:tc>
        <w:tc>
          <w:tcPr>
            <w:tcW w:w="7233" w:type="dxa"/>
            <w:vAlign w:val="center"/>
          </w:tcPr>
          <w:p w14:paraId="069558CA">
            <w:pPr>
              <w:spacing w:line="440" w:lineRule="exact"/>
              <w:jc w:val="left"/>
              <w:rPr>
                <w:rFonts w:ascii="Calibri" w:hAnsi="Calibri"/>
                <w:strike/>
                <w:szCs w:val="21"/>
                <w:highlight w:val="none"/>
              </w:rPr>
            </w:pPr>
            <w:r>
              <w:rPr>
                <w:rFonts w:hint="eastAsia"/>
                <w:highlight w:val="none"/>
              </w:rPr>
              <w:t>提供202</w:t>
            </w:r>
            <w:r>
              <w:rPr>
                <w:rFonts w:hint="eastAsia"/>
                <w:highlight w:val="none"/>
                <w:lang w:val="en-US" w:eastAsia="zh-CN"/>
              </w:rPr>
              <w:t>2</w:t>
            </w:r>
            <w:r>
              <w:rPr>
                <w:rFonts w:hint="eastAsia"/>
                <w:highlight w:val="none"/>
              </w:rPr>
              <w:t>年</w:t>
            </w:r>
            <w:r>
              <w:rPr>
                <w:rFonts w:hint="eastAsia"/>
                <w:highlight w:val="none"/>
                <w:lang w:val="en-US" w:eastAsia="zh-CN"/>
              </w:rPr>
              <w:t>8</w:t>
            </w:r>
            <w:r>
              <w:rPr>
                <w:rFonts w:hint="eastAsia"/>
                <w:highlight w:val="none"/>
              </w:rPr>
              <w:t>月以来完成过商业或办公场所电梯维保业绩，每有一个得2分，最多得10分，时间以合同签订时间为准。以上业绩须提供中标通知书（如有）及合同复印件、监督检验报告或当年的年检合格报告，否则不得分。</w:t>
            </w:r>
          </w:p>
        </w:tc>
      </w:tr>
      <w:tr w14:paraId="0E8E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12" w:type="dxa"/>
            <w:vAlign w:val="center"/>
          </w:tcPr>
          <w:p w14:paraId="24004D74">
            <w:pPr>
              <w:snapToGrid w:val="0"/>
              <w:jc w:val="center"/>
              <w:rPr>
                <w:rFonts w:ascii="宋体" w:hAnsi="Courier New"/>
                <w:kern w:val="0"/>
                <w:szCs w:val="21"/>
                <w:highlight w:val="none"/>
              </w:rPr>
            </w:pPr>
            <w:r>
              <w:rPr>
                <w:rFonts w:hint="eastAsia" w:ascii="宋体" w:hAnsi="Courier New"/>
                <w:kern w:val="0"/>
                <w:szCs w:val="21"/>
                <w:highlight w:val="none"/>
              </w:rPr>
              <w:t>6</w:t>
            </w:r>
          </w:p>
        </w:tc>
        <w:tc>
          <w:tcPr>
            <w:tcW w:w="1295" w:type="dxa"/>
            <w:vAlign w:val="center"/>
          </w:tcPr>
          <w:p w14:paraId="2A917A5B">
            <w:pPr>
              <w:snapToGrid w:val="0"/>
              <w:jc w:val="center"/>
              <w:rPr>
                <w:rFonts w:ascii="Calibri" w:hAnsi="Calibri"/>
                <w:szCs w:val="22"/>
                <w:highlight w:val="none"/>
              </w:rPr>
            </w:pPr>
            <w:r>
              <w:rPr>
                <w:rFonts w:hint="eastAsia" w:ascii="Calibri" w:hAnsi="Calibri"/>
                <w:szCs w:val="22"/>
                <w:highlight w:val="none"/>
              </w:rPr>
              <w:t>服务方案</w:t>
            </w:r>
          </w:p>
          <w:p w14:paraId="42F332ED">
            <w:pPr>
              <w:snapToGrid w:val="0"/>
              <w:jc w:val="center"/>
              <w:rPr>
                <w:rFonts w:ascii="Calibri" w:hAnsi="Calibri"/>
                <w:szCs w:val="22"/>
                <w:highlight w:val="none"/>
              </w:rPr>
            </w:pPr>
            <w:r>
              <w:rPr>
                <w:rFonts w:hint="eastAsia" w:ascii="Calibri" w:hAnsi="Calibri"/>
                <w:b/>
                <w:bCs/>
                <w:szCs w:val="22"/>
                <w:highlight w:val="none"/>
              </w:rPr>
              <w:t>（</w:t>
            </w:r>
            <w:r>
              <w:rPr>
                <w:rFonts w:hint="eastAsia"/>
                <w:b/>
                <w:bCs/>
                <w:szCs w:val="22"/>
                <w:highlight w:val="none"/>
              </w:rPr>
              <w:t>18</w:t>
            </w:r>
            <w:r>
              <w:rPr>
                <w:rFonts w:hint="eastAsia" w:ascii="Calibri" w:hAnsi="Calibri"/>
                <w:b/>
                <w:bCs/>
                <w:szCs w:val="22"/>
                <w:highlight w:val="none"/>
              </w:rPr>
              <w:t>分）</w:t>
            </w:r>
          </w:p>
        </w:tc>
        <w:tc>
          <w:tcPr>
            <w:tcW w:w="7233" w:type="dxa"/>
            <w:vAlign w:val="center"/>
          </w:tcPr>
          <w:p w14:paraId="4FA28761">
            <w:pPr>
              <w:spacing w:line="440" w:lineRule="exact"/>
              <w:jc w:val="left"/>
              <w:rPr>
                <w:b/>
                <w:bCs/>
                <w:highlight w:val="none"/>
              </w:rPr>
            </w:pPr>
            <w:r>
              <w:rPr>
                <w:rFonts w:hint="eastAsia"/>
                <w:b/>
                <w:bCs/>
                <w:highlight w:val="none"/>
              </w:rPr>
              <w:t>（1）项目基本情况、维保计划安排。10分</w:t>
            </w:r>
          </w:p>
          <w:p w14:paraId="6E95CA01">
            <w:pPr>
              <w:spacing w:line="440" w:lineRule="exact"/>
              <w:jc w:val="left"/>
              <w:rPr>
                <w:highlight w:val="none"/>
              </w:rPr>
            </w:pPr>
            <w:r>
              <w:rPr>
                <w:rFonts w:hint="eastAsia"/>
                <w:highlight w:val="none"/>
              </w:rPr>
              <w:t>项目基本情况了解详细，日巡检、周、月、季保养措施得当，进度安排合理；得10分。</w:t>
            </w:r>
          </w:p>
          <w:p w14:paraId="4C688B86">
            <w:pPr>
              <w:spacing w:line="440" w:lineRule="exact"/>
              <w:jc w:val="left"/>
              <w:rPr>
                <w:highlight w:val="none"/>
              </w:rPr>
            </w:pPr>
            <w:r>
              <w:rPr>
                <w:rFonts w:hint="eastAsia"/>
                <w:highlight w:val="none"/>
              </w:rPr>
              <w:t>项目基本情况了解一般，根据实际检测工作量，日巡检、周、月、季保养措施较好；得7分。</w:t>
            </w:r>
          </w:p>
          <w:p w14:paraId="75689F1D">
            <w:pPr>
              <w:spacing w:line="440" w:lineRule="exact"/>
              <w:jc w:val="left"/>
              <w:rPr>
                <w:highlight w:val="none"/>
              </w:rPr>
            </w:pPr>
            <w:r>
              <w:rPr>
                <w:rFonts w:hint="eastAsia"/>
                <w:highlight w:val="none"/>
              </w:rPr>
              <w:t>项目基本情况不了解，根据实际检测工作量，日巡检、周、月、季保养措施较为一般；得4分。</w:t>
            </w:r>
          </w:p>
          <w:p w14:paraId="106F2C6C">
            <w:pPr>
              <w:spacing w:line="440" w:lineRule="exact"/>
              <w:jc w:val="left"/>
              <w:rPr>
                <w:highlight w:val="none"/>
              </w:rPr>
            </w:pPr>
            <w:r>
              <w:rPr>
                <w:rFonts w:hint="eastAsia"/>
                <w:highlight w:val="none"/>
              </w:rPr>
              <w:t>项目基本情况不了解，根据实际检测工作量，日巡检、周、月、季保养措施较差；得1分。</w:t>
            </w:r>
          </w:p>
          <w:p w14:paraId="0530A64F">
            <w:pPr>
              <w:spacing w:line="440" w:lineRule="exact"/>
              <w:jc w:val="left"/>
              <w:rPr>
                <w:highlight w:val="none"/>
              </w:rPr>
            </w:pPr>
            <w:r>
              <w:rPr>
                <w:rFonts w:hint="eastAsia"/>
                <w:highlight w:val="none"/>
              </w:rPr>
              <w:t>不提供不得分。</w:t>
            </w:r>
          </w:p>
          <w:p w14:paraId="131C3DF1">
            <w:pPr>
              <w:spacing w:line="440" w:lineRule="exact"/>
              <w:jc w:val="left"/>
              <w:rPr>
                <w:b/>
                <w:bCs/>
                <w:highlight w:val="none"/>
              </w:rPr>
            </w:pPr>
            <w:r>
              <w:rPr>
                <w:rFonts w:hint="eastAsia"/>
                <w:b/>
                <w:bCs/>
                <w:highlight w:val="none"/>
              </w:rPr>
              <w:t>（2）故障响应承诺及其应急措施等。8分</w:t>
            </w:r>
          </w:p>
          <w:p w14:paraId="485FA00B">
            <w:pPr>
              <w:spacing w:line="440" w:lineRule="exact"/>
              <w:jc w:val="left"/>
              <w:rPr>
                <w:highlight w:val="none"/>
              </w:rPr>
            </w:pPr>
            <w:r>
              <w:rPr>
                <w:rFonts w:hint="eastAsia"/>
                <w:highlight w:val="none"/>
              </w:rPr>
              <w:t>平时故障响应及时，电梯停运后在12小时内恢复运行、电梯困人在10分钟到达现场，10分钟以内解决、应急方案合理有效、可行性强，节假日前重点措施保养合理。得8分。</w:t>
            </w:r>
          </w:p>
          <w:p w14:paraId="11170B0D">
            <w:pPr>
              <w:spacing w:line="440" w:lineRule="exact"/>
              <w:jc w:val="left"/>
              <w:rPr>
                <w:highlight w:val="none"/>
              </w:rPr>
            </w:pPr>
            <w:r>
              <w:rPr>
                <w:rFonts w:hint="eastAsia"/>
                <w:highlight w:val="none"/>
              </w:rPr>
              <w:t>平时故障响应较及时，电梯停运后在24小时内恢复运行、电梯困人在15分钟到达现场，15分钟以内解决、应急方案合理较有效、可行性较强，节假日前重点保养措施较合理。得5分。</w:t>
            </w:r>
          </w:p>
          <w:p w14:paraId="4154366B">
            <w:pPr>
              <w:spacing w:line="440" w:lineRule="exact"/>
              <w:jc w:val="left"/>
              <w:rPr>
                <w:highlight w:val="none"/>
              </w:rPr>
            </w:pPr>
            <w:r>
              <w:rPr>
                <w:rFonts w:hint="eastAsia"/>
                <w:highlight w:val="none"/>
              </w:rPr>
              <w:t>平时故障响应不及时，电梯停运后在24小时以上恢复运行、电梯困人在15分钟以上到达现场，30分钟以上解决、应急方案合理较差、可行性较差；节假日前重点保养措施不合理。得2分。</w:t>
            </w:r>
          </w:p>
          <w:p w14:paraId="44AC2961">
            <w:pPr>
              <w:spacing w:line="440" w:lineRule="exact"/>
              <w:jc w:val="left"/>
              <w:rPr>
                <w:highlight w:val="none"/>
              </w:rPr>
            </w:pPr>
            <w:r>
              <w:rPr>
                <w:rFonts w:hint="eastAsia"/>
                <w:highlight w:val="none"/>
              </w:rPr>
              <w:t>平时故障响应不及时，电梯停运后在24小时以上恢复运行、电梯困人在15分钟以上到达现场，30分钟以上解决、应急方案合理较差、可行性较差；节假日前重点保养措施较差。得1分。</w:t>
            </w:r>
          </w:p>
          <w:p w14:paraId="3123A30E">
            <w:pPr>
              <w:spacing w:line="440" w:lineRule="exact"/>
              <w:jc w:val="left"/>
              <w:rPr>
                <w:highlight w:val="none"/>
              </w:rPr>
            </w:pPr>
            <w:r>
              <w:rPr>
                <w:rFonts w:hint="eastAsia"/>
                <w:highlight w:val="none"/>
              </w:rPr>
              <w:t>不提供不得分。</w:t>
            </w:r>
          </w:p>
        </w:tc>
      </w:tr>
    </w:tbl>
    <w:p w14:paraId="76C4FB65">
      <w:pPr>
        <w:snapToGrid w:val="0"/>
        <w:spacing w:line="520" w:lineRule="exact"/>
        <w:ind w:firstLine="240" w:firstLineChars="100"/>
        <w:outlineLvl w:val="2"/>
        <w:rPr>
          <w:rFonts w:ascii="宋体" w:hAnsi="宋体" w:cs="宋体"/>
          <w:sz w:val="24"/>
          <w:szCs w:val="24"/>
          <w:highlight w:val="none"/>
        </w:rPr>
      </w:pPr>
      <w:r>
        <w:rPr>
          <w:rFonts w:hint="eastAsia" w:ascii="宋体" w:hAnsi="宋体" w:cs="宋体"/>
          <w:sz w:val="24"/>
          <w:szCs w:val="24"/>
          <w:highlight w:val="none"/>
        </w:rPr>
        <w:t>（二）商务报价分：（3</w:t>
      </w:r>
      <w:r>
        <w:rPr>
          <w:rFonts w:ascii="宋体" w:hAnsi="宋体" w:cs="宋体"/>
          <w:sz w:val="24"/>
          <w:szCs w:val="24"/>
          <w:highlight w:val="none"/>
        </w:rPr>
        <w:t>0</w:t>
      </w:r>
      <w:r>
        <w:rPr>
          <w:rFonts w:hint="eastAsia" w:ascii="宋体" w:hAnsi="宋体" w:cs="宋体"/>
          <w:sz w:val="24"/>
          <w:szCs w:val="24"/>
          <w:highlight w:val="none"/>
        </w:rPr>
        <w:t>分）</w:t>
      </w:r>
    </w:p>
    <w:p w14:paraId="447139A5">
      <w:pPr>
        <w:adjustRightInd w:val="0"/>
        <w:snapToGrid w:val="0"/>
        <w:spacing w:line="480" w:lineRule="exact"/>
        <w:ind w:firstLine="585"/>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b/>
          <w:sz w:val="24"/>
          <w:szCs w:val="24"/>
          <w:highlight w:val="none"/>
        </w:rPr>
        <w:t>本次项目最高限价：12万元（含税）/3年，超过限价作无效标处理</w:t>
      </w:r>
      <w:r>
        <w:rPr>
          <w:rFonts w:hint="eastAsia" w:ascii="宋体" w:hAnsi="宋体" w:cs="宋体"/>
          <w:sz w:val="24"/>
          <w:szCs w:val="24"/>
          <w:highlight w:val="none"/>
        </w:rPr>
        <w:t>。</w:t>
      </w:r>
    </w:p>
    <w:p w14:paraId="7A54E4EE">
      <w:pPr>
        <w:snapToGrid w:val="0"/>
        <w:spacing w:line="480" w:lineRule="exact"/>
        <w:ind w:firstLine="600" w:firstLineChars="250"/>
        <w:rPr>
          <w:rFonts w:ascii="宋体" w:hAnsi="宋体" w:cs="宋体"/>
          <w:sz w:val="24"/>
          <w:szCs w:val="24"/>
          <w:highlight w:val="none"/>
        </w:rPr>
      </w:pPr>
      <w:r>
        <w:rPr>
          <w:rFonts w:hint="eastAsia" w:ascii="宋体" w:hAnsi="宋体" w:cs="宋体"/>
          <w:sz w:val="24"/>
          <w:szCs w:val="24"/>
          <w:highlight w:val="none"/>
        </w:rPr>
        <w:t>2、满足磋商文件要求且最后报价（不含税价）最低的供应商的价格为磋商基准价，其商务报价分为满分。其他供应商的商务报价分统一按照下列公式计算：</w:t>
      </w:r>
    </w:p>
    <w:p w14:paraId="0DCC047C">
      <w:pPr>
        <w:snapToGrid w:val="0"/>
        <w:spacing w:line="480" w:lineRule="exact"/>
        <w:ind w:firstLine="480" w:firstLineChars="200"/>
        <w:rPr>
          <w:rFonts w:ascii="宋体" w:hAnsi="宋体" w:cs="宋体"/>
          <w:b/>
          <w:sz w:val="24"/>
          <w:szCs w:val="24"/>
          <w:highlight w:val="none"/>
        </w:rPr>
      </w:pPr>
      <w:r>
        <w:rPr>
          <w:rFonts w:hint="eastAsia" w:ascii="宋体" w:hAnsi="宋体" w:cs="宋体"/>
          <w:sz w:val="24"/>
          <w:szCs w:val="24"/>
          <w:highlight w:val="none"/>
        </w:rPr>
        <w:t xml:space="preserve">   </w:t>
      </w:r>
      <w:r>
        <w:rPr>
          <w:rFonts w:hint="eastAsia" w:ascii="宋体" w:hAnsi="宋体" w:cs="宋体"/>
          <w:b/>
          <w:sz w:val="24"/>
          <w:szCs w:val="24"/>
          <w:highlight w:val="none"/>
        </w:rPr>
        <w:t>商务报价分 =（磋商基准价/最后磋商报价）×3</w:t>
      </w:r>
      <w:r>
        <w:rPr>
          <w:rFonts w:ascii="宋体" w:hAnsi="宋体" w:cs="宋体"/>
          <w:b/>
          <w:sz w:val="24"/>
          <w:szCs w:val="24"/>
          <w:highlight w:val="none"/>
        </w:rPr>
        <w:t>0</w:t>
      </w:r>
      <w:r>
        <w:rPr>
          <w:rFonts w:hint="eastAsia" w:ascii="宋体" w:hAnsi="宋体" w:cs="宋体"/>
          <w:b/>
          <w:sz w:val="24"/>
          <w:szCs w:val="24"/>
          <w:highlight w:val="none"/>
        </w:rPr>
        <w:t>%×100</w:t>
      </w:r>
    </w:p>
    <w:p w14:paraId="1B2BE498">
      <w:pPr>
        <w:snapToGrid w:val="0"/>
        <w:spacing w:line="480" w:lineRule="exact"/>
        <w:ind w:firstLine="482" w:firstLineChars="200"/>
        <w:outlineLvl w:val="1"/>
        <w:rPr>
          <w:rFonts w:ascii="宋体" w:hAnsi="宋体" w:cs="宋体"/>
          <w:b/>
          <w:sz w:val="24"/>
          <w:szCs w:val="24"/>
          <w:highlight w:val="none"/>
        </w:rPr>
      </w:pPr>
      <w:r>
        <w:rPr>
          <w:rFonts w:hint="eastAsia" w:ascii="宋体" w:hAnsi="宋体" w:cs="宋体"/>
          <w:b/>
          <w:sz w:val="24"/>
          <w:szCs w:val="24"/>
          <w:highlight w:val="none"/>
        </w:rPr>
        <w:t>五、出现下列情形之一的，作无效标处理</w:t>
      </w:r>
    </w:p>
    <w:p w14:paraId="15E7E1F8">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1、响应文件未按规定要求装订、密封、签署、盖章及主要资料不齐全的；</w:t>
      </w:r>
    </w:p>
    <w:p w14:paraId="3FFF9EF3">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2、响应文件的资料有虚报或者谎报的；</w:t>
      </w:r>
    </w:p>
    <w:p w14:paraId="171DE407">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3、响应文件中资格审查文件及技术响应文件出现磋商报价的内容；</w:t>
      </w:r>
    </w:p>
    <w:p w14:paraId="60F53532">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4、不具备磋商文件规定的资格要求的；</w:t>
      </w:r>
    </w:p>
    <w:p w14:paraId="495C8261">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5、响应文件有重大漏项或重大不合理的；</w:t>
      </w:r>
    </w:p>
    <w:p w14:paraId="6E6F1869">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6、项目技术、方案不满足项目需求中的要求，有重大偏离或保留的；</w:t>
      </w:r>
    </w:p>
    <w:p w14:paraId="67E4260E">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7、磋商响应报价超出项目预算的；</w:t>
      </w:r>
    </w:p>
    <w:p w14:paraId="092F9A22">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8、被认定为低于成本报价磋商竞标的；</w:t>
      </w:r>
    </w:p>
    <w:p w14:paraId="55E1C7D0">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9、供应商的磋商报价高于自己前一轮的；</w:t>
      </w:r>
    </w:p>
    <w:p w14:paraId="6458BB29">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10、不符合法律、法规和磋商文件中规定的其他实质性响应要求的；</w:t>
      </w:r>
    </w:p>
    <w:p w14:paraId="4C37C19F">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11、磋商小组依据法律法规可以认定为无效投标的其他情况。</w:t>
      </w:r>
    </w:p>
    <w:p w14:paraId="359F6A7A">
      <w:pPr>
        <w:snapToGrid w:val="0"/>
        <w:spacing w:line="480" w:lineRule="exact"/>
        <w:ind w:firstLine="482" w:firstLineChars="200"/>
        <w:outlineLvl w:val="1"/>
        <w:rPr>
          <w:rFonts w:ascii="宋体" w:hAnsi="宋体" w:cs="宋体"/>
          <w:b/>
          <w:sz w:val="24"/>
          <w:szCs w:val="24"/>
          <w:highlight w:val="none"/>
        </w:rPr>
      </w:pPr>
      <w:r>
        <w:rPr>
          <w:rFonts w:hint="eastAsia" w:ascii="宋体" w:hAnsi="宋体" w:cs="宋体"/>
          <w:b/>
          <w:sz w:val="24"/>
          <w:szCs w:val="24"/>
          <w:highlight w:val="none"/>
        </w:rPr>
        <w:t>六、出现下列情形之一的，作废标处理</w:t>
      </w:r>
    </w:p>
    <w:p w14:paraId="7E7004D9">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1、供应商的报价均超出了采购预算，采购单位不能支付的；</w:t>
      </w:r>
    </w:p>
    <w:p w14:paraId="20B782CA">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2、因情况变化，不再符合规定的竞争性磋商采购方式所适用情形的；</w:t>
      </w:r>
    </w:p>
    <w:p w14:paraId="42482856">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3、出现影响采购公正的违法、违规行为的；</w:t>
      </w:r>
    </w:p>
    <w:p w14:paraId="19D38EFF">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4、因重大变故，采购任务取消的；</w:t>
      </w:r>
    </w:p>
    <w:p w14:paraId="214D9555">
      <w:pPr>
        <w:snapToGrid w:val="0"/>
        <w:spacing w:line="480" w:lineRule="exact"/>
        <w:ind w:firstLine="480" w:firstLineChars="200"/>
        <w:rPr>
          <w:rFonts w:ascii="宋体" w:hAnsi="宋体" w:cs="宋体"/>
          <w:b/>
          <w:sz w:val="24"/>
          <w:szCs w:val="24"/>
          <w:highlight w:val="none"/>
        </w:rPr>
      </w:pPr>
      <w:r>
        <w:rPr>
          <w:rFonts w:hint="eastAsia" w:ascii="宋体" w:hAnsi="宋体" w:cs="宋体"/>
          <w:sz w:val="24"/>
          <w:szCs w:val="24"/>
          <w:highlight w:val="none"/>
        </w:rPr>
        <w:t>5、磋商小组依据法律法规可以认定为废标的其他情况。</w:t>
      </w:r>
    </w:p>
    <w:p w14:paraId="0ED89823">
      <w:pPr>
        <w:snapToGrid w:val="0"/>
        <w:spacing w:line="480" w:lineRule="exact"/>
        <w:ind w:firstLine="482" w:firstLineChars="200"/>
        <w:outlineLvl w:val="1"/>
        <w:rPr>
          <w:rFonts w:ascii="宋体" w:hAnsi="宋体" w:cs="宋体"/>
          <w:b/>
          <w:sz w:val="24"/>
          <w:szCs w:val="24"/>
          <w:highlight w:val="none"/>
        </w:rPr>
      </w:pPr>
      <w:r>
        <w:rPr>
          <w:rFonts w:hint="eastAsia" w:ascii="宋体" w:hAnsi="宋体" w:cs="宋体"/>
          <w:b/>
          <w:sz w:val="24"/>
          <w:szCs w:val="24"/>
          <w:highlight w:val="none"/>
        </w:rPr>
        <w:t>七、成交通知</w:t>
      </w:r>
    </w:p>
    <w:p w14:paraId="40CFB8C2">
      <w:pPr>
        <w:spacing w:line="480" w:lineRule="exact"/>
        <w:ind w:firstLine="484" w:firstLineChars="202"/>
        <w:rPr>
          <w:rFonts w:ascii="宋体" w:hAnsi="宋体" w:cs="宋体"/>
          <w:kern w:val="0"/>
          <w:sz w:val="24"/>
          <w:szCs w:val="24"/>
          <w:highlight w:val="none"/>
        </w:rPr>
      </w:pPr>
      <w:r>
        <w:rPr>
          <w:rFonts w:hint="eastAsia" w:ascii="宋体" w:hAnsi="宋体" w:cs="宋体"/>
          <w:kern w:val="0"/>
          <w:sz w:val="24"/>
          <w:szCs w:val="24"/>
          <w:highlight w:val="none"/>
        </w:rPr>
        <w:t>成交结果在公告发布网站公示</w:t>
      </w:r>
      <w:r>
        <w:rPr>
          <w:rFonts w:hint="eastAsia" w:ascii="宋体" w:hAnsi="宋体" w:cs="宋体"/>
          <w:kern w:val="0"/>
          <w:sz w:val="24"/>
          <w:szCs w:val="24"/>
          <w:highlight w:val="none"/>
          <w:u w:val="single"/>
        </w:rPr>
        <w:t xml:space="preserve">  </w:t>
      </w:r>
      <w:r>
        <w:rPr>
          <w:rFonts w:ascii="宋体" w:hAnsi="宋体" w:cs="宋体"/>
          <w:b/>
          <w:kern w:val="0"/>
          <w:sz w:val="24"/>
          <w:szCs w:val="24"/>
          <w:highlight w:val="none"/>
          <w:u w:val="single"/>
        </w:rPr>
        <w:t>1</w:t>
      </w:r>
      <w:r>
        <w:rPr>
          <w:rFonts w:hint="eastAsia" w:ascii="宋体" w:hAnsi="宋体" w:cs="宋体"/>
          <w:b/>
          <w:kern w:val="0"/>
          <w:sz w:val="24"/>
          <w:szCs w:val="24"/>
          <w:highlight w:val="none"/>
          <w:u w:val="single"/>
        </w:rPr>
        <w:t xml:space="preserve">  </w:t>
      </w:r>
      <w:r>
        <w:rPr>
          <w:rFonts w:hint="eastAsia" w:ascii="宋体" w:hAnsi="宋体" w:cs="宋体"/>
          <w:kern w:val="0"/>
          <w:sz w:val="24"/>
          <w:szCs w:val="24"/>
          <w:highlight w:val="none"/>
        </w:rPr>
        <w:t>个工作日。《成交通知书》一经发出，采购单位改变成交结果，或者中标人放弃成交的，各自承担相应的法律责任。《成交通知书》是采购合同的组成部分。</w:t>
      </w:r>
      <w:bookmarkEnd w:id="54"/>
      <w:bookmarkEnd w:id="55"/>
      <w:bookmarkEnd w:id="56"/>
      <w:bookmarkEnd w:id="57"/>
      <w:bookmarkEnd w:id="58"/>
      <w:bookmarkEnd w:id="59"/>
      <w:bookmarkEnd w:id="60"/>
      <w:bookmarkEnd w:id="61"/>
      <w:bookmarkStart w:id="63" w:name="_Toc94585343"/>
      <w:bookmarkStart w:id="64" w:name="_Toc363573858"/>
    </w:p>
    <w:p w14:paraId="256FD7E5">
      <w:pPr>
        <w:pStyle w:val="26"/>
        <w:tabs>
          <w:tab w:val="left" w:pos="1050"/>
          <w:tab w:val="right" w:leader="dot" w:pos="9402"/>
        </w:tabs>
        <w:spacing w:line="520" w:lineRule="exact"/>
        <w:ind w:left="0"/>
        <w:jc w:val="center"/>
        <w:outlineLvl w:val="0"/>
        <w:rPr>
          <w:rFonts w:ascii="宋体" w:hAnsi="宋体" w:cs="宋体"/>
          <w:b/>
          <w:i w:val="0"/>
          <w:iCs/>
          <w:w w:val="80"/>
          <w:sz w:val="44"/>
          <w:szCs w:val="44"/>
          <w:highlight w:val="none"/>
        </w:rPr>
      </w:pPr>
    </w:p>
    <w:p w14:paraId="37635D2E">
      <w:pPr>
        <w:pStyle w:val="26"/>
        <w:tabs>
          <w:tab w:val="left" w:pos="1050"/>
          <w:tab w:val="right" w:leader="dot" w:pos="9402"/>
        </w:tabs>
        <w:spacing w:line="520" w:lineRule="exact"/>
        <w:ind w:left="0"/>
        <w:jc w:val="center"/>
        <w:outlineLvl w:val="0"/>
        <w:rPr>
          <w:rFonts w:ascii="宋体" w:hAnsi="宋体" w:cs="宋体"/>
          <w:b/>
          <w:i w:val="0"/>
          <w:iCs/>
          <w:w w:val="80"/>
          <w:sz w:val="44"/>
          <w:szCs w:val="44"/>
          <w:highlight w:val="none"/>
        </w:rPr>
      </w:pPr>
      <w:r>
        <w:rPr>
          <w:rFonts w:ascii="宋体" w:hAnsi="宋体" w:cs="宋体"/>
          <w:b/>
          <w:i w:val="0"/>
          <w:iCs/>
          <w:w w:val="80"/>
          <w:sz w:val="44"/>
          <w:szCs w:val="44"/>
          <w:highlight w:val="none"/>
        </w:rPr>
        <w:br w:type="page"/>
      </w:r>
      <w:r>
        <w:rPr>
          <w:rFonts w:hint="eastAsia" w:ascii="宋体" w:hAnsi="宋体" w:cs="宋体"/>
          <w:b/>
          <w:i w:val="0"/>
          <w:iCs/>
          <w:w w:val="80"/>
          <w:sz w:val="44"/>
          <w:szCs w:val="44"/>
          <w:highlight w:val="none"/>
        </w:rPr>
        <w:t>第五章   合同授予</w:t>
      </w:r>
    </w:p>
    <w:p w14:paraId="404E1622">
      <w:pPr>
        <w:snapToGrid w:val="0"/>
        <w:spacing w:line="480" w:lineRule="exact"/>
        <w:ind w:firstLine="573"/>
        <w:rPr>
          <w:rFonts w:ascii="仿宋_GB2312" w:hAnsi="宋体" w:eastAsia="仿宋_GB2312" w:cs="宋体"/>
          <w:sz w:val="28"/>
          <w:szCs w:val="28"/>
          <w:highlight w:val="none"/>
        </w:rPr>
      </w:pPr>
      <w:r>
        <w:rPr>
          <w:rFonts w:hint="eastAsia" w:ascii="宋体" w:hAnsi="宋体" w:cs="宋体"/>
          <w:sz w:val="24"/>
          <w:szCs w:val="24"/>
          <w:highlight w:val="none"/>
        </w:rPr>
        <w:t>一、中标人在成交通知书发出后5日内按照磋商文件确定的事项和采购单位签订政府采购合同。所签合同不得对采购文件作实质性修改。采购单位不得向中标人提出不合理的要求作为签订合同的条件，不得与中标人私下订立背离采购文件实质性内容的协议。</w:t>
      </w:r>
      <w:r>
        <w:rPr>
          <w:rFonts w:hint="eastAsia" w:ascii="仿宋_GB2312" w:hAnsi="宋体" w:eastAsia="仿宋_GB2312" w:cs="宋体"/>
          <w:sz w:val="28"/>
          <w:szCs w:val="28"/>
          <w:highlight w:val="none"/>
        </w:rPr>
        <w:t xml:space="preserve"> </w:t>
      </w:r>
    </w:p>
    <w:p w14:paraId="6491B770">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二、采购单位按合同约定积极配合中标人履约，中标人履约到位后，请以书面形式向采购单位提出验收申请，采购单位接到申请后原则上在5个工作日内及时组织相关专业技术人员，必要时邀请质检等部门共同参与验收，并出具验收报告，验收合格的原则上15个工作日内支付相应款项。</w:t>
      </w:r>
    </w:p>
    <w:p w14:paraId="29EF9593">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三、采购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14:paraId="6988C94F">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四、中标人出现违约情形，应当及时纠正或补偿；造成损失的，按合同约定追究违约责任；发现有假冒、伪劣、走私产品、商业贿赂等违法情形的，应由采购单位移交工商、质监、公安等行政执法部门依法查处。</w:t>
      </w:r>
    </w:p>
    <w:p w14:paraId="2D24B8BF">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五、按政府采购合同约定支付的货款，实行财政国库直接支付。</w:t>
      </w:r>
    </w:p>
    <w:p w14:paraId="77CC0620">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六、不响应付款方式的，视同响应文件无效，按无效响应文件处理。</w:t>
      </w:r>
    </w:p>
    <w:p w14:paraId="6EF87EE2">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七、付款方式详见磋商文件第三章。</w:t>
      </w:r>
    </w:p>
    <w:p w14:paraId="767B909C">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八、以上项目款的支付不计息。</w:t>
      </w:r>
    </w:p>
    <w:p w14:paraId="163847EF">
      <w:pPr>
        <w:snapToGrid w:val="0"/>
        <w:spacing w:line="480" w:lineRule="exact"/>
        <w:ind w:firstLine="573"/>
        <w:rPr>
          <w:rFonts w:ascii="宋体" w:hAnsi="宋体" w:cs="宋体"/>
          <w:sz w:val="24"/>
          <w:szCs w:val="24"/>
          <w:highlight w:val="none"/>
        </w:rPr>
      </w:pPr>
    </w:p>
    <w:p w14:paraId="35CD297E">
      <w:pPr>
        <w:spacing w:line="500" w:lineRule="exact"/>
        <w:jc w:val="center"/>
        <w:rPr>
          <w:rFonts w:ascii="仿宋" w:hAnsi="仿宋" w:eastAsia="仿宋"/>
          <w:sz w:val="24"/>
          <w:szCs w:val="24"/>
          <w:highlight w:val="none"/>
        </w:rPr>
      </w:pPr>
      <w:r>
        <w:rPr>
          <w:rFonts w:hint="eastAsia" w:ascii="仿宋" w:hAnsi="仿宋" w:eastAsia="仿宋"/>
          <w:sz w:val="28"/>
          <w:szCs w:val="28"/>
          <w:highlight w:val="none"/>
        </w:rPr>
        <w:t xml:space="preserve">          </w:t>
      </w:r>
      <w:r>
        <w:rPr>
          <w:rFonts w:hint="eastAsia" w:ascii="仿宋" w:hAnsi="仿宋" w:eastAsia="仿宋"/>
          <w:sz w:val="24"/>
          <w:szCs w:val="24"/>
          <w:highlight w:val="none"/>
        </w:rPr>
        <w:t xml:space="preserve"> </w:t>
      </w:r>
    </w:p>
    <w:p w14:paraId="78E61D88">
      <w:pPr>
        <w:tabs>
          <w:tab w:val="left" w:pos="6300"/>
        </w:tabs>
        <w:snapToGrid w:val="0"/>
        <w:spacing w:line="300" w:lineRule="auto"/>
        <w:jc w:val="center"/>
        <w:rPr>
          <w:highlight w:val="none"/>
        </w:rPr>
      </w:pPr>
      <w:r>
        <w:rPr>
          <w:highlight w:val="none"/>
        </w:rPr>
        <w:br w:type="page"/>
      </w:r>
    </w:p>
    <w:p w14:paraId="7B5DA288">
      <w:pPr>
        <w:autoSpaceDE w:val="0"/>
        <w:autoSpaceDN w:val="0"/>
        <w:adjustRightInd w:val="0"/>
        <w:spacing w:before="100" w:after="100"/>
        <w:ind w:firstLine="481"/>
        <w:jc w:val="center"/>
        <w:rPr>
          <w:rFonts w:ascii="宋体" w:hAnsi="宋体"/>
          <w:b/>
          <w:bCs/>
          <w:kern w:val="0"/>
          <w:sz w:val="24"/>
          <w:highlight w:val="none"/>
        </w:rPr>
      </w:pPr>
      <w:r>
        <w:rPr>
          <w:rFonts w:hint="eastAsia" w:ascii="宋体" w:hAnsi="宋体"/>
          <w:b/>
          <w:bCs/>
          <w:kern w:val="0"/>
          <w:sz w:val="24"/>
          <w:highlight w:val="none"/>
        </w:rPr>
        <w:t xml:space="preserve">          合同编号：</w:t>
      </w:r>
    </w:p>
    <w:p w14:paraId="0DB86531">
      <w:pPr>
        <w:pStyle w:val="18"/>
        <w:rPr>
          <w:highlight w:val="none"/>
        </w:rPr>
      </w:pPr>
    </w:p>
    <w:p w14:paraId="4F699AE2">
      <w:pPr>
        <w:pStyle w:val="18"/>
        <w:ind w:firstLine="481"/>
        <w:rPr>
          <w:highlight w:val="none"/>
        </w:rPr>
      </w:pPr>
    </w:p>
    <w:p w14:paraId="577619A8">
      <w:pPr>
        <w:autoSpaceDE w:val="0"/>
        <w:autoSpaceDN w:val="0"/>
        <w:adjustRightInd w:val="0"/>
        <w:spacing w:before="100" w:after="100"/>
        <w:jc w:val="center"/>
        <w:rPr>
          <w:rFonts w:ascii="宋体"/>
          <w:kern w:val="0"/>
          <w:sz w:val="56"/>
          <w:szCs w:val="56"/>
          <w:highlight w:val="none"/>
        </w:rPr>
      </w:pPr>
      <w:r>
        <w:rPr>
          <w:rFonts w:hint="eastAsia" w:ascii="宋体" w:hAnsi="宋体"/>
          <w:b/>
          <w:bCs/>
          <w:kern w:val="0"/>
          <w:sz w:val="56"/>
          <w:szCs w:val="56"/>
          <w:highlight w:val="none"/>
        </w:rPr>
        <w:t>电梯维保服务合同</w:t>
      </w:r>
    </w:p>
    <w:p w14:paraId="2DA8F57F">
      <w:pPr>
        <w:autoSpaceDE w:val="0"/>
        <w:autoSpaceDN w:val="0"/>
        <w:adjustRightInd w:val="0"/>
        <w:jc w:val="left"/>
        <w:rPr>
          <w:rFonts w:ascii="宋体"/>
          <w:kern w:val="0"/>
          <w:sz w:val="24"/>
          <w:highlight w:val="none"/>
        </w:rPr>
      </w:pPr>
    </w:p>
    <w:p w14:paraId="0DC8D4DF">
      <w:pPr>
        <w:autoSpaceDE w:val="0"/>
        <w:autoSpaceDN w:val="0"/>
        <w:adjustRightInd w:val="0"/>
        <w:jc w:val="left"/>
        <w:rPr>
          <w:rFonts w:ascii="宋体"/>
          <w:kern w:val="0"/>
          <w:sz w:val="24"/>
          <w:highlight w:val="none"/>
        </w:rPr>
      </w:pPr>
    </w:p>
    <w:p w14:paraId="261B2E99">
      <w:pPr>
        <w:autoSpaceDE w:val="0"/>
        <w:autoSpaceDN w:val="0"/>
        <w:adjustRightInd w:val="0"/>
        <w:jc w:val="left"/>
        <w:rPr>
          <w:rFonts w:ascii="宋体"/>
          <w:kern w:val="0"/>
          <w:sz w:val="24"/>
          <w:highlight w:val="none"/>
        </w:rPr>
      </w:pPr>
    </w:p>
    <w:p w14:paraId="0B7AAB8E">
      <w:pPr>
        <w:autoSpaceDE w:val="0"/>
        <w:autoSpaceDN w:val="0"/>
        <w:adjustRightInd w:val="0"/>
        <w:jc w:val="left"/>
        <w:rPr>
          <w:rFonts w:ascii="宋体"/>
          <w:kern w:val="0"/>
          <w:sz w:val="24"/>
          <w:highlight w:val="none"/>
        </w:rPr>
      </w:pPr>
    </w:p>
    <w:p w14:paraId="3FBA61E7">
      <w:pPr>
        <w:autoSpaceDE w:val="0"/>
        <w:autoSpaceDN w:val="0"/>
        <w:adjustRightInd w:val="0"/>
        <w:jc w:val="left"/>
        <w:rPr>
          <w:rFonts w:ascii="宋体"/>
          <w:kern w:val="0"/>
          <w:sz w:val="24"/>
          <w:highlight w:val="none"/>
        </w:rPr>
      </w:pPr>
    </w:p>
    <w:p w14:paraId="1276EBCB">
      <w:pPr>
        <w:pStyle w:val="18"/>
        <w:rPr>
          <w:highlight w:val="none"/>
        </w:rPr>
      </w:pPr>
    </w:p>
    <w:p w14:paraId="068C2CA7">
      <w:pPr>
        <w:autoSpaceDE w:val="0"/>
        <w:autoSpaceDN w:val="0"/>
        <w:adjustRightInd w:val="0"/>
        <w:jc w:val="left"/>
        <w:rPr>
          <w:rFonts w:ascii="宋体"/>
          <w:kern w:val="0"/>
          <w:sz w:val="24"/>
          <w:highlight w:val="none"/>
        </w:rPr>
      </w:pPr>
    </w:p>
    <w:p w14:paraId="1E62F5D7">
      <w:pPr>
        <w:autoSpaceDE w:val="0"/>
        <w:autoSpaceDN w:val="0"/>
        <w:adjustRightInd w:val="0"/>
        <w:jc w:val="left"/>
        <w:rPr>
          <w:rFonts w:ascii="宋体"/>
          <w:kern w:val="0"/>
          <w:sz w:val="24"/>
          <w:highlight w:val="none"/>
        </w:rPr>
      </w:pPr>
    </w:p>
    <w:p w14:paraId="5F2F3EB2">
      <w:pPr>
        <w:autoSpaceDE w:val="0"/>
        <w:autoSpaceDN w:val="0"/>
        <w:adjustRightInd w:val="0"/>
        <w:jc w:val="left"/>
        <w:rPr>
          <w:rFonts w:ascii="宋体"/>
          <w:kern w:val="0"/>
          <w:sz w:val="24"/>
          <w:highlight w:val="none"/>
        </w:rPr>
      </w:pPr>
    </w:p>
    <w:p w14:paraId="253154A3">
      <w:pPr>
        <w:autoSpaceDE w:val="0"/>
        <w:autoSpaceDN w:val="0"/>
        <w:adjustRightInd w:val="0"/>
        <w:jc w:val="left"/>
        <w:rPr>
          <w:rFonts w:ascii="宋体"/>
          <w:kern w:val="0"/>
          <w:sz w:val="24"/>
          <w:highlight w:val="none"/>
        </w:rPr>
      </w:pPr>
    </w:p>
    <w:p w14:paraId="1E46E87D">
      <w:pPr>
        <w:autoSpaceDE w:val="0"/>
        <w:autoSpaceDN w:val="0"/>
        <w:adjustRightInd w:val="0"/>
        <w:jc w:val="left"/>
        <w:rPr>
          <w:rFonts w:ascii="宋体"/>
          <w:kern w:val="0"/>
          <w:sz w:val="24"/>
          <w:highlight w:val="none"/>
        </w:rPr>
      </w:pPr>
    </w:p>
    <w:p w14:paraId="02F375B0">
      <w:pPr>
        <w:autoSpaceDE w:val="0"/>
        <w:autoSpaceDN w:val="0"/>
        <w:adjustRightInd w:val="0"/>
        <w:jc w:val="left"/>
        <w:rPr>
          <w:rFonts w:ascii="宋体"/>
          <w:kern w:val="0"/>
          <w:sz w:val="24"/>
          <w:highlight w:val="none"/>
        </w:rPr>
      </w:pPr>
    </w:p>
    <w:p w14:paraId="3DE3A7BD">
      <w:pPr>
        <w:autoSpaceDE w:val="0"/>
        <w:autoSpaceDN w:val="0"/>
        <w:adjustRightInd w:val="0"/>
        <w:ind w:firstLine="1120" w:firstLineChars="400"/>
        <w:jc w:val="left"/>
        <w:rPr>
          <w:rFonts w:ascii="宋体" w:hAnsi="宋体" w:cs="宋体"/>
          <w:sz w:val="28"/>
          <w:szCs w:val="28"/>
          <w:highlight w:val="none"/>
        </w:rPr>
      </w:pPr>
    </w:p>
    <w:p w14:paraId="3DE630C3">
      <w:pPr>
        <w:autoSpaceDE w:val="0"/>
        <w:autoSpaceDN w:val="0"/>
        <w:adjustRightInd w:val="0"/>
        <w:ind w:firstLine="1600" w:firstLineChars="500"/>
        <w:jc w:val="left"/>
        <w:rPr>
          <w:rFonts w:ascii="宋体" w:hAnsi="宋体" w:cs="宋体"/>
          <w:kern w:val="0"/>
          <w:sz w:val="32"/>
          <w:szCs w:val="32"/>
          <w:highlight w:val="none"/>
          <w:u w:val="single"/>
        </w:rPr>
      </w:pPr>
      <w:r>
        <w:rPr>
          <w:rFonts w:hint="eastAsia" w:ascii="宋体" w:hAnsi="宋体" w:cs="宋体"/>
          <w:sz w:val="32"/>
          <w:szCs w:val="32"/>
          <w:highlight w:val="none"/>
        </w:rPr>
        <w:t>项目</w:t>
      </w:r>
      <w:r>
        <w:rPr>
          <w:rFonts w:hint="eastAsia" w:ascii="宋体" w:hAnsi="宋体" w:cs="宋体"/>
          <w:kern w:val="0"/>
          <w:sz w:val="32"/>
          <w:szCs w:val="32"/>
          <w:highlight w:val="none"/>
        </w:rPr>
        <w:t xml:space="preserve">名称: </w:t>
      </w:r>
      <w:r>
        <w:rPr>
          <w:rFonts w:hint="eastAsia" w:ascii="宋体" w:hAnsi="宋体" w:cs="宋体"/>
          <w:kern w:val="0"/>
          <w:sz w:val="32"/>
          <w:szCs w:val="32"/>
          <w:highlight w:val="none"/>
          <w:u w:val="single"/>
        </w:rPr>
        <w:t>报业大厦电梯</w:t>
      </w:r>
      <w:r>
        <w:rPr>
          <w:rFonts w:hint="eastAsia" w:ascii="宋体" w:hAnsi="宋体" w:cs="宋体"/>
          <w:sz w:val="32"/>
          <w:szCs w:val="32"/>
          <w:highlight w:val="none"/>
          <w:u w:val="single"/>
        </w:rPr>
        <w:t>维护保养服务</w:t>
      </w:r>
    </w:p>
    <w:p w14:paraId="481A023A">
      <w:pPr>
        <w:autoSpaceDE w:val="0"/>
        <w:autoSpaceDN w:val="0"/>
        <w:adjustRightInd w:val="0"/>
        <w:ind w:firstLine="1600" w:firstLineChars="500"/>
        <w:jc w:val="left"/>
        <w:rPr>
          <w:rFonts w:ascii="宋体" w:hAnsi="宋体" w:cs="宋体"/>
          <w:kern w:val="0"/>
          <w:sz w:val="32"/>
          <w:szCs w:val="32"/>
          <w:highlight w:val="none"/>
        </w:rPr>
      </w:pPr>
      <w:r>
        <w:rPr>
          <w:rFonts w:hint="eastAsia" w:ascii="宋体" w:hAnsi="宋体" w:cs="宋体"/>
          <w:kern w:val="0"/>
          <w:sz w:val="32"/>
          <w:szCs w:val="32"/>
          <w:highlight w:val="none"/>
        </w:rPr>
        <w:t xml:space="preserve">甲    方: </w:t>
      </w:r>
      <w:r>
        <w:rPr>
          <w:rFonts w:hint="eastAsia" w:ascii="宋体" w:hAnsi="宋体" w:cs="宋体"/>
          <w:kern w:val="0"/>
          <w:sz w:val="32"/>
          <w:szCs w:val="32"/>
          <w:highlight w:val="none"/>
          <w:u w:val="single"/>
        </w:rPr>
        <w:t>南通日报社</w:t>
      </w:r>
    </w:p>
    <w:p w14:paraId="2E93B1DC">
      <w:pPr>
        <w:autoSpaceDE w:val="0"/>
        <w:autoSpaceDN w:val="0"/>
        <w:adjustRightInd w:val="0"/>
        <w:ind w:firstLine="1600" w:firstLineChars="500"/>
        <w:jc w:val="left"/>
        <w:rPr>
          <w:rFonts w:ascii="宋体" w:hAnsi="宋体" w:cs="宋体"/>
          <w:kern w:val="0"/>
          <w:sz w:val="32"/>
          <w:szCs w:val="32"/>
          <w:highlight w:val="none"/>
          <w:u w:val="single"/>
        </w:rPr>
      </w:pPr>
      <w:r>
        <w:rPr>
          <w:rFonts w:hint="eastAsia" w:ascii="宋体" w:hAnsi="宋体" w:cs="宋体"/>
          <w:kern w:val="0"/>
          <w:sz w:val="32"/>
          <w:szCs w:val="32"/>
          <w:highlight w:val="none"/>
        </w:rPr>
        <w:t>乙    方:</w:t>
      </w:r>
      <w:r>
        <w:rPr>
          <w:rFonts w:hint="eastAsia" w:ascii="宋体" w:hAnsi="宋体" w:cs="宋体"/>
          <w:color w:val="000000"/>
          <w:kern w:val="0"/>
          <w:sz w:val="32"/>
          <w:szCs w:val="32"/>
          <w:highlight w:val="none"/>
        </w:rPr>
        <w:t xml:space="preserve"> </w:t>
      </w:r>
      <w:r>
        <w:rPr>
          <w:rFonts w:hint="eastAsia" w:ascii="宋体" w:hAnsi="宋体" w:cs="宋体"/>
          <w:color w:val="000000"/>
          <w:kern w:val="0"/>
          <w:sz w:val="32"/>
          <w:szCs w:val="32"/>
          <w:highlight w:val="none"/>
          <w:u w:val="single"/>
        </w:rPr>
        <w:t xml:space="preserve">  </w:t>
      </w:r>
    </w:p>
    <w:p w14:paraId="22BCD081">
      <w:pPr>
        <w:autoSpaceDE w:val="0"/>
        <w:autoSpaceDN w:val="0"/>
        <w:adjustRightInd w:val="0"/>
        <w:ind w:firstLine="1600" w:firstLineChars="500"/>
        <w:jc w:val="left"/>
        <w:rPr>
          <w:rFonts w:ascii="宋体"/>
          <w:kern w:val="0"/>
          <w:sz w:val="28"/>
          <w:szCs w:val="28"/>
          <w:highlight w:val="none"/>
        </w:rPr>
      </w:pPr>
      <w:r>
        <w:rPr>
          <w:rFonts w:hint="eastAsia" w:ascii="宋体" w:hAnsi="宋体" w:cs="宋体"/>
          <w:kern w:val="0"/>
          <w:sz w:val="32"/>
          <w:szCs w:val="32"/>
          <w:highlight w:val="none"/>
        </w:rPr>
        <w:t xml:space="preserve">签订地点: </w:t>
      </w:r>
      <w:r>
        <w:rPr>
          <w:rFonts w:hint="eastAsia" w:ascii="宋体" w:hAnsi="宋体" w:cs="宋体"/>
          <w:kern w:val="0"/>
          <w:sz w:val="32"/>
          <w:szCs w:val="32"/>
          <w:highlight w:val="none"/>
          <w:u w:val="single"/>
        </w:rPr>
        <w:t>江苏省南通市</w:t>
      </w:r>
    </w:p>
    <w:p w14:paraId="68A3566B">
      <w:pPr>
        <w:tabs>
          <w:tab w:val="left" w:pos="2268"/>
          <w:tab w:val="left" w:pos="2694"/>
        </w:tabs>
        <w:spacing w:line="360" w:lineRule="auto"/>
        <w:ind w:right="-573"/>
        <w:jc w:val="left"/>
        <w:rPr>
          <w:rFonts w:ascii="黑体" w:hAnsi="黑体" w:eastAsia="黑体"/>
          <w:b/>
          <w:sz w:val="28"/>
          <w:szCs w:val="21"/>
          <w:highlight w:val="none"/>
          <w:u w:val="single"/>
        </w:rPr>
      </w:pPr>
    </w:p>
    <w:p w14:paraId="2196229D">
      <w:pPr>
        <w:tabs>
          <w:tab w:val="left" w:pos="2268"/>
          <w:tab w:val="left" w:pos="2694"/>
        </w:tabs>
        <w:spacing w:line="360" w:lineRule="auto"/>
        <w:ind w:right="-573"/>
        <w:rPr>
          <w:rFonts w:ascii="黑体" w:hAnsi="黑体" w:eastAsia="黑体"/>
          <w:b/>
          <w:sz w:val="28"/>
          <w:szCs w:val="21"/>
          <w:highlight w:val="none"/>
          <w:u w:val="single"/>
        </w:rPr>
      </w:pPr>
    </w:p>
    <w:p w14:paraId="5F8912EA">
      <w:pPr>
        <w:pStyle w:val="52"/>
        <w:ind w:firstLine="0"/>
        <w:rPr>
          <w:highlight w:val="none"/>
        </w:rPr>
      </w:pPr>
    </w:p>
    <w:p w14:paraId="12ED0578">
      <w:pPr>
        <w:pStyle w:val="52"/>
        <w:ind w:firstLine="0"/>
        <w:rPr>
          <w:highlight w:val="none"/>
        </w:rPr>
      </w:pPr>
    </w:p>
    <w:p w14:paraId="7466FC99">
      <w:pPr>
        <w:pStyle w:val="52"/>
        <w:ind w:firstLine="0"/>
        <w:rPr>
          <w:highlight w:val="none"/>
        </w:rPr>
      </w:pPr>
    </w:p>
    <w:p w14:paraId="3FF37B3B">
      <w:pPr>
        <w:pStyle w:val="52"/>
        <w:ind w:firstLine="0"/>
        <w:rPr>
          <w:highlight w:val="none"/>
        </w:rPr>
      </w:pPr>
    </w:p>
    <w:p w14:paraId="212C2429">
      <w:pPr>
        <w:pStyle w:val="52"/>
        <w:ind w:firstLine="0"/>
        <w:rPr>
          <w:highlight w:val="none"/>
        </w:rPr>
      </w:pPr>
    </w:p>
    <w:p w14:paraId="58CC7A52">
      <w:pPr>
        <w:ind w:right="-48"/>
        <w:jc w:val="right"/>
        <w:rPr>
          <w:rFonts w:eastAsia="黑体"/>
          <w:sz w:val="22"/>
          <w:szCs w:val="22"/>
          <w:highlight w:val="none"/>
        </w:rPr>
      </w:pPr>
    </w:p>
    <w:p w14:paraId="155707DA">
      <w:pPr>
        <w:rPr>
          <w:sz w:val="22"/>
          <w:szCs w:val="22"/>
          <w:highlight w:val="none"/>
        </w:rPr>
      </w:pPr>
      <w:r>
        <w:rPr>
          <w:sz w:val="22"/>
          <w:szCs w:val="22"/>
          <w:highlight w:val="none"/>
        </w:rPr>
        <w:br w:type="page"/>
      </w:r>
    </w:p>
    <w:p w14:paraId="07BD9378">
      <w:pPr>
        <w:spacing w:before="120" w:beforeLines="50"/>
        <w:ind w:right="-45"/>
        <w:jc w:val="center"/>
        <w:rPr>
          <w:rFonts w:eastAsia="黑体"/>
          <w:b/>
          <w:bCs/>
          <w:spacing w:val="14"/>
          <w:sz w:val="36"/>
          <w:szCs w:val="36"/>
          <w:highlight w:val="none"/>
        </w:rPr>
      </w:pPr>
      <w:r>
        <w:rPr>
          <w:sz w:val="22"/>
          <w:szCs w:val="22"/>
          <w:highlight w:val="none"/>
        </w:rPr>
        <w:t xml:space="preserve">  </w:t>
      </w:r>
      <w:r>
        <w:rPr>
          <w:rFonts w:hint="eastAsia" w:eastAsia="黑体"/>
          <w:b/>
          <w:bCs/>
          <w:spacing w:val="14"/>
          <w:sz w:val="36"/>
          <w:szCs w:val="36"/>
          <w:highlight w:val="none"/>
        </w:rPr>
        <w:t>报 业 大 厦 电 梯 维 保 服 务 合 同</w:t>
      </w:r>
    </w:p>
    <w:tbl>
      <w:tblPr>
        <w:tblStyle w:val="54"/>
        <w:tblpPr w:leftFromText="180" w:rightFromText="180" w:vertAnchor="text" w:horzAnchor="page" w:tblpX="1600" w:tblpY="619"/>
        <w:tblOverlap w:val="never"/>
        <w:tblW w:w="9750" w:type="dxa"/>
        <w:tblInd w:w="0" w:type="dxa"/>
        <w:tblLayout w:type="fixed"/>
        <w:tblCellMar>
          <w:top w:w="0" w:type="dxa"/>
          <w:left w:w="57" w:type="dxa"/>
          <w:bottom w:w="0" w:type="dxa"/>
          <w:right w:w="57" w:type="dxa"/>
        </w:tblCellMar>
      </w:tblPr>
      <w:tblGrid>
        <w:gridCol w:w="4253"/>
        <w:gridCol w:w="240"/>
        <w:gridCol w:w="5257"/>
      </w:tblGrid>
      <w:tr w14:paraId="4A7A35B7">
        <w:tblPrEx>
          <w:tblCellMar>
            <w:top w:w="0" w:type="dxa"/>
            <w:left w:w="57" w:type="dxa"/>
            <w:bottom w:w="0" w:type="dxa"/>
            <w:right w:w="57" w:type="dxa"/>
          </w:tblCellMar>
        </w:tblPrEx>
        <w:trPr>
          <w:trHeight w:val="590" w:hRule="atLeast"/>
        </w:trPr>
        <w:tc>
          <w:tcPr>
            <w:tcW w:w="4253" w:type="dxa"/>
          </w:tcPr>
          <w:p w14:paraId="6920C542">
            <w:pPr>
              <w:spacing w:after="120" w:line="440" w:lineRule="exact"/>
              <w:jc w:val="center"/>
              <w:rPr>
                <w:rFonts w:ascii="宋体" w:hAnsi="宋体"/>
                <w:sz w:val="24"/>
                <w:highlight w:val="none"/>
              </w:rPr>
            </w:pPr>
            <w:r>
              <w:rPr>
                <w:rFonts w:hint="eastAsia" w:ascii="宋体" w:hAnsi="宋体"/>
                <w:b/>
                <w:bCs/>
                <w:sz w:val="24"/>
                <w:highlight w:val="none"/>
              </w:rPr>
              <w:t>甲方（委托方）</w:t>
            </w:r>
          </w:p>
        </w:tc>
        <w:tc>
          <w:tcPr>
            <w:tcW w:w="240" w:type="dxa"/>
          </w:tcPr>
          <w:p w14:paraId="29052C1C">
            <w:pPr>
              <w:spacing w:line="440" w:lineRule="exact"/>
              <w:rPr>
                <w:rFonts w:ascii="宋体" w:hAnsi="宋体"/>
                <w:sz w:val="24"/>
                <w:highlight w:val="none"/>
              </w:rPr>
            </w:pPr>
          </w:p>
        </w:tc>
        <w:tc>
          <w:tcPr>
            <w:tcW w:w="5257" w:type="dxa"/>
          </w:tcPr>
          <w:p w14:paraId="09DCCFFF">
            <w:pPr>
              <w:spacing w:after="360" w:line="440" w:lineRule="exact"/>
              <w:jc w:val="center"/>
              <w:rPr>
                <w:rFonts w:ascii="宋体" w:hAnsi="宋体"/>
                <w:sz w:val="24"/>
                <w:highlight w:val="none"/>
              </w:rPr>
            </w:pPr>
            <w:r>
              <w:rPr>
                <w:rFonts w:hint="eastAsia" w:ascii="宋体" w:hAnsi="宋体"/>
                <w:b/>
                <w:bCs/>
                <w:sz w:val="24"/>
                <w:highlight w:val="none"/>
              </w:rPr>
              <w:t>乙方（受托方）</w:t>
            </w:r>
          </w:p>
        </w:tc>
      </w:tr>
      <w:tr w14:paraId="2C30F1D9">
        <w:tblPrEx>
          <w:tblCellMar>
            <w:top w:w="0" w:type="dxa"/>
            <w:left w:w="0" w:type="dxa"/>
            <w:bottom w:w="0" w:type="dxa"/>
            <w:right w:w="0" w:type="dxa"/>
          </w:tblCellMar>
        </w:tblPrEx>
        <w:trPr>
          <w:trHeight w:val="432" w:hRule="exact"/>
        </w:trPr>
        <w:tc>
          <w:tcPr>
            <w:tcW w:w="4253" w:type="dxa"/>
          </w:tcPr>
          <w:p w14:paraId="715D3AD9">
            <w:pPr>
              <w:spacing w:line="440" w:lineRule="exact"/>
              <w:ind w:left="1716" w:hanging="1716" w:hangingChars="600"/>
              <w:rPr>
                <w:b/>
                <w:bCs/>
                <w:sz w:val="24"/>
                <w:highlight w:val="none"/>
              </w:rPr>
            </w:pPr>
            <w:r>
              <w:rPr>
                <w:rFonts w:hint="eastAsia" w:ascii="宋体" w:hAnsi="宋体"/>
                <w:spacing w:val="23"/>
                <w:kern w:val="0"/>
                <w:sz w:val="24"/>
                <w:highlight w:val="none"/>
                <w:fitText w:val="1100" w:id="1360069583"/>
              </w:rPr>
              <w:t>单位名</w:t>
            </w:r>
            <w:r>
              <w:rPr>
                <w:rFonts w:hint="eastAsia" w:ascii="宋体" w:hAnsi="宋体"/>
                <w:spacing w:val="1"/>
                <w:kern w:val="0"/>
                <w:sz w:val="24"/>
                <w:highlight w:val="none"/>
                <w:fitText w:val="1100" w:id="1360069583"/>
              </w:rPr>
              <w:t>称</w:t>
            </w:r>
            <w:r>
              <w:rPr>
                <w:rFonts w:hint="eastAsia" w:ascii="宋体" w:hAnsi="宋体"/>
                <w:spacing w:val="-30"/>
                <w:sz w:val="24"/>
                <w:highlight w:val="none"/>
              </w:rPr>
              <w:t>：</w:t>
            </w:r>
            <w:r>
              <w:rPr>
                <w:rFonts w:ascii="宋体" w:hAnsi="宋体"/>
                <w:sz w:val="24"/>
                <w:highlight w:val="none"/>
              </w:rPr>
              <w:t>(</w:t>
            </w:r>
            <w:r>
              <w:rPr>
                <w:rFonts w:hint="eastAsia" w:ascii="宋体" w:hAnsi="宋体"/>
                <w:sz w:val="24"/>
                <w:highlight w:val="none"/>
              </w:rPr>
              <w:t>章</w:t>
            </w:r>
            <w:r>
              <w:rPr>
                <w:rFonts w:ascii="宋体" w:hAnsi="宋体"/>
                <w:sz w:val="24"/>
                <w:highlight w:val="none"/>
              </w:rPr>
              <w:t>)</w:t>
            </w:r>
            <w:r>
              <w:rPr>
                <w:rFonts w:hint="eastAsia" w:ascii="宋体" w:hAnsi="宋体"/>
                <w:sz w:val="24"/>
                <w:highlight w:val="none"/>
              </w:rPr>
              <w:t xml:space="preserve"> </w:t>
            </w:r>
            <w:r>
              <w:rPr>
                <w:rFonts w:hint="eastAsia"/>
                <w:sz w:val="24"/>
                <w:highlight w:val="none"/>
                <w:u w:val="single"/>
              </w:rPr>
              <w:t xml:space="preserve">南通日报社                   </w:t>
            </w:r>
          </w:p>
          <w:p w14:paraId="161C6C85">
            <w:pPr>
              <w:spacing w:line="440" w:lineRule="exact"/>
              <w:rPr>
                <w:rFonts w:ascii="宋体" w:hAnsi="宋体"/>
                <w:sz w:val="24"/>
                <w:highlight w:val="none"/>
              </w:rPr>
            </w:pPr>
          </w:p>
        </w:tc>
        <w:tc>
          <w:tcPr>
            <w:tcW w:w="240" w:type="dxa"/>
          </w:tcPr>
          <w:p w14:paraId="41667199">
            <w:pPr>
              <w:spacing w:line="440" w:lineRule="exact"/>
              <w:rPr>
                <w:rFonts w:ascii="宋体" w:hAnsi="宋体"/>
                <w:sz w:val="24"/>
                <w:highlight w:val="none"/>
              </w:rPr>
            </w:pPr>
          </w:p>
        </w:tc>
        <w:tc>
          <w:tcPr>
            <w:tcW w:w="5257" w:type="dxa"/>
          </w:tcPr>
          <w:p w14:paraId="67C2A7BB">
            <w:pPr>
              <w:spacing w:line="440" w:lineRule="exact"/>
              <w:rPr>
                <w:rFonts w:ascii="宋体" w:hAnsi="宋体"/>
                <w:sz w:val="24"/>
                <w:highlight w:val="none"/>
              </w:rPr>
            </w:pPr>
            <w:r>
              <w:rPr>
                <w:rFonts w:hint="eastAsia" w:ascii="宋体" w:hAnsi="宋体"/>
                <w:spacing w:val="23"/>
                <w:kern w:val="0"/>
                <w:sz w:val="24"/>
                <w:highlight w:val="none"/>
                <w:fitText w:val="1100" w:id="467820283"/>
              </w:rPr>
              <w:t>单位名</w:t>
            </w:r>
            <w:r>
              <w:rPr>
                <w:rFonts w:hint="eastAsia" w:ascii="宋体" w:hAnsi="宋体"/>
                <w:spacing w:val="1"/>
                <w:kern w:val="0"/>
                <w:sz w:val="24"/>
                <w:highlight w:val="none"/>
                <w:fitText w:val="1100" w:id="467820283"/>
              </w:rPr>
              <w:t>称</w:t>
            </w:r>
            <w:r>
              <w:rPr>
                <w:rFonts w:hint="eastAsia" w:ascii="宋体" w:hAnsi="宋体"/>
                <w:sz w:val="24"/>
                <w:highlight w:val="none"/>
              </w:rPr>
              <w:t>：</w:t>
            </w:r>
            <w:r>
              <w:rPr>
                <w:rFonts w:ascii="宋体" w:hAnsi="宋体"/>
                <w:sz w:val="24"/>
                <w:highlight w:val="none"/>
              </w:rPr>
              <w:t>(</w:t>
            </w:r>
            <w:r>
              <w:rPr>
                <w:rFonts w:hint="eastAsia" w:ascii="宋体" w:hAnsi="宋体"/>
                <w:sz w:val="24"/>
                <w:highlight w:val="none"/>
              </w:rPr>
              <w:t>章</w:t>
            </w:r>
            <w:r>
              <w:rPr>
                <w:rFonts w:ascii="宋体" w:hAnsi="宋体"/>
                <w:sz w:val="24"/>
                <w:highlight w:val="none"/>
              </w:rPr>
              <w:t>)</w:t>
            </w:r>
            <w:r>
              <w:rPr>
                <w:rFonts w:hint="eastAsia" w:ascii="宋体" w:hAnsi="宋体"/>
                <w:sz w:val="24"/>
                <w:highlight w:val="none"/>
              </w:rPr>
              <w:t xml:space="preserve">   </w:t>
            </w:r>
            <w:r>
              <w:rPr>
                <w:rFonts w:hint="eastAsia" w:ascii="宋体" w:hAnsi="宋体"/>
                <w:kern w:val="0"/>
                <w:sz w:val="24"/>
                <w:highlight w:val="none"/>
                <w:u w:val="single"/>
              </w:rPr>
              <w:t xml:space="preserve">    </w:t>
            </w:r>
          </w:p>
        </w:tc>
      </w:tr>
      <w:tr w14:paraId="0BF10153">
        <w:tblPrEx>
          <w:tblCellMar>
            <w:top w:w="0" w:type="dxa"/>
            <w:left w:w="0" w:type="dxa"/>
            <w:bottom w:w="0" w:type="dxa"/>
            <w:right w:w="0" w:type="dxa"/>
          </w:tblCellMar>
        </w:tblPrEx>
        <w:trPr>
          <w:trHeight w:val="471" w:hRule="exact"/>
        </w:trPr>
        <w:tc>
          <w:tcPr>
            <w:tcW w:w="4253" w:type="dxa"/>
          </w:tcPr>
          <w:p w14:paraId="096559F6">
            <w:pPr>
              <w:spacing w:line="440" w:lineRule="exact"/>
              <w:rPr>
                <w:rFonts w:ascii="宋体" w:hAnsi="宋体"/>
                <w:sz w:val="24"/>
                <w:highlight w:val="none"/>
              </w:rPr>
            </w:pPr>
            <w:r>
              <w:rPr>
                <w:rFonts w:hint="eastAsia" w:ascii="宋体" w:hAnsi="宋体"/>
                <w:spacing w:val="23"/>
                <w:kern w:val="0"/>
                <w:sz w:val="24"/>
                <w:highlight w:val="none"/>
                <w:fitText w:val="1100" w:id="92281388"/>
              </w:rPr>
              <w:t>单位地</w:t>
            </w:r>
            <w:r>
              <w:rPr>
                <w:rFonts w:hint="eastAsia" w:ascii="宋体" w:hAnsi="宋体"/>
                <w:spacing w:val="1"/>
                <w:kern w:val="0"/>
                <w:sz w:val="24"/>
                <w:highlight w:val="none"/>
                <w:fitText w:val="1100" w:id="92281388"/>
              </w:rPr>
              <w:t>址</w:t>
            </w:r>
            <w:r>
              <w:rPr>
                <w:rFonts w:hint="eastAsia" w:ascii="宋体" w:hAnsi="宋体"/>
                <w:sz w:val="24"/>
                <w:highlight w:val="none"/>
              </w:rPr>
              <w:t>：</w:t>
            </w:r>
            <w:r>
              <w:rPr>
                <w:rFonts w:hint="eastAsia" w:ascii="宋体" w:hAnsi="宋体"/>
                <w:sz w:val="24"/>
                <w:highlight w:val="none"/>
                <w:u w:val="single"/>
              </w:rPr>
              <w:t>南通市崇川区世纪大道8号</w:t>
            </w:r>
            <w:r>
              <w:rPr>
                <w:rFonts w:ascii="宋体" w:hAnsi="宋体"/>
                <w:sz w:val="24"/>
                <w:highlight w:val="none"/>
                <w:u w:val="single"/>
              </w:rPr>
              <w:t xml:space="preserve">                 </w:t>
            </w:r>
            <w:r>
              <w:rPr>
                <w:rFonts w:ascii="宋体" w:hAnsi="宋体"/>
                <w:spacing w:val="-3"/>
                <w:sz w:val="24"/>
                <w:highlight w:val="none"/>
                <w:u w:val="single"/>
              </w:rPr>
              <w:t xml:space="preserve">    </w:t>
            </w:r>
            <w:r>
              <w:rPr>
                <w:rFonts w:ascii="宋体" w:hAnsi="宋体"/>
                <w:sz w:val="24"/>
                <w:highlight w:val="none"/>
                <w:u w:val="single"/>
              </w:rPr>
              <w:t xml:space="preserve">                             </w:t>
            </w:r>
          </w:p>
        </w:tc>
        <w:tc>
          <w:tcPr>
            <w:tcW w:w="240" w:type="dxa"/>
          </w:tcPr>
          <w:p w14:paraId="48F41512">
            <w:pPr>
              <w:spacing w:line="440" w:lineRule="exact"/>
              <w:rPr>
                <w:rFonts w:ascii="宋体" w:hAnsi="宋体"/>
                <w:sz w:val="24"/>
                <w:highlight w:val="none"/>
              </w:rPr>
            </w:pPr>
          </w:p>
        </w:tc>
        <w:tc>
          <w:tcPr>
            <w:tcW w:w="5257" w:type="dxa"/>
          </w:tcPr>
          <w:p w14:paraId="2EAA7B2C">
            <w:pPr>
              <w:spacing w:line="440" w:lineRule="exact"/>
              <w:rPr>
                <w:rFonts w:ascii="宋体" w:hAnsi="宋体"/>
                <w:sz w:val="24"/>
                <w:highlight w:val="none"/>
                <w:u w:val="single"/>
              </w:rPr>
            </w:pPr>
            <w:r>
              <w:rPr>
                <w:rFonts w:hint="eastAsia" w:ascii="宋体" w:hAnsi="宋体"/>
                <w:spacing w:val="23"/>
                <w:kern w:val="0"/>
                <w:sz w:val="24"/>
                <w:highlight w:val="none"/>
                <w:fitText w:val="1100" w:id="1121730912"/>
              </w:rPr>
              <w:t>单位地</w:t>
            </w:r>
            <w:r>
              <w:rPr>
                <w:rFonts w:hint="eastAsia" w:ascii="宋体" w:hAnsi="宋体"/>
                <w:spacing w:val="1"/>
                <w:kern w:val="0"/>
                <w:sz w:val="24"/>
                <w:highlight w:val="none"/>
                <w:fitText w:val="1100" w:id="1121730912"/>
              </w:rPr>
              <w:t>址</w:t>
            </w:r>
            <w:r>
              <w:rPr>
                <w:rFonts w:hint="eastAsia" w:ascii="宋体" w:hAnsi="宋体"/>
                <w:sz w:val="24"/>
                <w:highlight w:val="none"/>
              </w:rPr>
              <w:t>：</w:t>
            </w:r>
            <w:r>
              <w:rPr>
                <w:rFonts w:hint="eastAsia" w:ascii="宋体" w:hAnsi="宋体"/>
                <w:sz w:val="24"/>
                <w:highlight w:val="none"/>
                <w:u w:val="single"/>
              </w:rPr>
              <w:t xml:space="preserve"> </w:t>
            </w:r>
          </w:p>
          <w:p w14:paraId="6BBCDF05">
            <w:pPr>
              <w:spacing w:line="440" w:lineRule="exact"/>
              <w:rPr>
                <w:rFonts w:ascii="宋体" w:hAnsi="宋体"/>
                <w:sz w:val="24"/>
                <w:highlight w:val="none"/>
                <w:u w:val="single"/>
              </w:rPr>
            </w:pPr>
          </w:p>
          <w:p w14:paraId="4ED2974F">
            <w:pPr>
              <w:spacing w:line="440" w:lineRule="exact"/>
              <w:rPr>
                <w:rFonts w:ascii="宋体" w:hAnsi="宋体"/>
                <w:sz w:val="24"/>
                <w:highlight w:val="none"/>
                <w:u w:val="single"/>
              </w:rPr>
            </w:pPr>
          </w:p>
          <w:p w14:paraId="17696565">
            <w:pPr>
              <w:spacing w:line="440" w:lineRule="exact"/>
              <w:rPr>
                <w:rFonts w:ascii="宋体" w:hAnsi="宋体"/>
                <w:sz w:val="24"/>
                <w:highlight w:val="none"/>
              </w:rPr>
            </w:pPr>
          </w:p>
        </w:tc>
      </w:tr>
      <w:tr w14:paraId="0963003D">
        <w:tblPrEx>
          <w:tblCellMar>
            <w:top w:w="0" w:type="dxa"/>
            <w:left w:w="0" w:type="dxa"/>
            <w:bottom w:w="0" w:type="dxa"/>
            <w:right w:w="0" w:type="dxa"/>
          </w:tblCellMar>
        </w:tblPrEx>
        <w:trPr>
          <w:trHeight w:val="539" w:hRule="exact"/>
        </w:trPr>
        <w:tc>
          <w:tcPr>
            <w:tcW w:w="4253" w:type="dxa"/>
          </w:tcPr>
          <w:p w14:paraId="53BCEED6">
            <w:pPr>
              <w:spacing w:line="440" w:lineRule="exact"/>
              <w:rPr>
                <w:rFonts w:ascii="宋体" w:hAnsi="宋体"/>
                <w:sz w:val="24"/>
                <w:highlight w:val="none"/>
              </w:rPr>
            </w:pPr>
            <w:r>
              <w:rPr>
                <w:rFonts w:hint="eastAsia" w:ascii="宋体" w:hAnsi="宋体"/>
                <w:spacing w:val="95"/>
                <w:kern w:val="0"/>
                <w:sz w:val="24"/>
                <w:highlight w:val="none"/>
                <w:fitText w:val="1100" w:id="150098689"/>
              </w:rPr>
              <w:t>负责</w:t>
            </w:r>
            <w:r>
              <w:rPr>
                <w:rFonts w:hint="eastAsia" w:ascii="宋体" w:hAnsi="宋体"/>
                <w:spacing w:val="0"/>
                <w:kern w:val="0"/>
                <w:sz w:val="24"/>
                <w:highlight w:val="none"/>
                <w:fitText w:val="1100" w:id="150098689"/>
              </w:rPr>
              <w:t>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胡卫东</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tc>
        <w:tc>
          <w:tcPr>
            <w:tcW w:w="240" w:type="dxa"/>
          </w:tcPr>
          <w:p w14:paraId="7D1298D2">
            <w:pPr>
              <w:spacing w:line="440" w:lineRule="exact"/>
              <w:rPr>
                <w:rFonts w:ascii="宋体" w:hAnsi="宋体"/>
                <w:sz w:val="24"/>
                <w:highlight w:val="none"/>
              </w:rPr>
            </w:pPr>
          </w:p>
        </w:tc>
        <w:tc>
          <w:tcPr>
            <w:tcW w:w="5257" w:type="dxa"/>
          </w:tcPr>
          <w:p w14:paraId="62C980D1">
            <w:pPr>
              <w:spacing w:line="440" w:lineRule="exact"/>
              <w:rPr>
                <w:rFonts w:ascii="宋体" w:hAnsi="宋体"/>
                <w:sz w:val="24"/>
                <w:highlight w:val="none"/>
              </w:rPr>
            </w:pPr>
            <w:r>
              <w:rPr>
                <w:rFonts w:hint="eastAsia" w:ascii="宋体" w:hAnsi="宋体"/>
                <w:sz w:val="24"/>
                <w:highlight w:val="none"/>
              </w:rPr>
              <w:t>负  责  人：</w:t>
            </w:r>
            <w:r>
              <w:rPr>
                <w:rFonts w:hint="eastAsia" w:ascii="宋体" w:hAnsi="宋体"/>
                <w:sz w:val="24"/>
                <w:highlight w:val="none"/>
                <w:u w:val="single"/>
              </w:rPr>
              <w:t xml:space="preserve">            </w:t>
            </w:r>
          </w:p>
        </w:tc>
      </w:tr>
      <w:tr w14:paraId="445279E1">
        <w:tblPrEx>
          <w:tblCellMar>
            <w:top w:w="0" w:type="dxa"/>
            <w:left w:w="0" w:type="dxa"/>
            <w:bottom w:w="0" w:type="dxa"/>
            <w:right w:w="0" w:type="dxa"/>
          </w:tblCellMar>
        </w:tblPrEx>
        <w:trPr>
          <w:trHeight w:val="539" w:hRule="exact"/>
        </w:trPr>
        <w:tc>
          <w:tcPr>
            <w:tcW w:w="4253" w:type="dxa"/>
          </w:tcPr>
          <w:p w14:paraId="07DBBEFB">
            <w:pPr>
              <w:spacing w:line="440" w:lineRule="exact"/>
              <w:rPr>
                <w:rFonts w:ascii="宋体" w:hAnsi="宋体"/>
                <w:sz w:val="24"/>
                <w:highlight w:val="none"/>
              </w:rPr>
            </w:pPr>
            <w:r>
              <w:rPr>
                <w:rFonts w:hint="eastAsia" w:ascii="宋体" w:hAnsi="宋体"/>
                <w:spacing w:val="95"/>
                <w:kern w:val="0"/>
                <w:sz w:val="24"/>
                <w:highlight w:val="none"/>
                <w:fitText w:val="1100" w:id="1889208181"/>
              </w:rPr>
              <w:t>联系</w:t>
            </w:r>
            <w:r>
              <w:rPr>
                <w:rFonts w:hint="eastAsia" w:ascii="宋体" w:hAnsi="宋体"/>
                <w:spacing w:val="0"/>
                <w:kern w:val="0"/>
                <w:sz w:val="24"/>
                <w:highlight w:val="none"/>
                <w:fitText w:val="1100" w:id="1889208181"/>
              </w:rPr>
              <w:t>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朱  兵</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tc>
        <w:tc>
          <w:tcPr>
            <w:tcW w:w="240" w:type="dxa"/>
          </w:tcPr>
          <w:p w14:paraId="73A1EEF0">
            <w:pPr>
              <w:spacing w:line="440" w:lineRule="exact"/>
              <w:rPr>
                <w:rFonts w:ascii="宋体" w:hAnsi="宋体"/>
                <w:sz w:val="24"/>
                <w:highlight w:val="none"/>
              </w:rPr>
            </w:pPr>
            <w:r>
              <w:rPr>
                <w:rFonts w:ascii="宋体" w:hAnsi="宋体"/>
                <w:sz w:val="24"/>
                <w:highlight w:val="none"/>
              </w:rPr>
              <w:t xml:space="preserve"> </w:t>
            </w:r>
          </w:p>
        </w:tc>
        <w:tc>
          <w:tcPr>
            <w:tcW w:w="5257" w:type="dxa"/>
          </w:tcPr>
          <w:p w14:paraId="02159450">
            <w:pPr>
              <w:spacing w:line="440" w:lineRule="exact"/>
              <w:rPr>
                <w:rFonts w:ascii="宋体" w:hAnsi="宋体"/>
                <w:sz w:val="24"/>
                <w:highlight w:val="none"/>
              </w:rPr>
            </w:pPr>
            <w:r>
              <w:rPr>
                <w:rFonts w:hint="eastAsia" w:ascii="宋体" w:hAnsi="宋体"/>
                <w:spacing w:val="95"/>
                <w:kern w:val="0"/>
                <w:sz w:val="24"/>
                <w:highlight w:val="none"/>
                <w:fitText w:val="1100" w:id="373257740"/>
              </w:rPr>
              <w:t>联系</w:t>
            </w:r>
            <w:r>
              <w:rPr>
                <w:rFonts w:hint="eastAsia" w:ascii="宋体" w:hAnsi="宋体"/>
                <w:spacing w:val="0"/>
                <w:kern w:val="0"/>
                <w:sz w:val="24"/>
                <w:highlight w:val="none"/>
                <w:fitText w:val="1100" w:id="373257740"/>
              </w:rPr>
              <w:t>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tc>
      </w:tr>
      <w:tr w14:paraId="61AF6754">
        <w:tblPrEx>
          <w:tblCellMar>
            <w:top w:w="0" w:type="dxa"/>
            <w:left w:w="0" w:type="dxa"/>
            <w:bottom w:w="0" w:type="dxa"/>
            <w:right w:w="0" w:type="dxa"/>
          </w:tblCellMar>
        </w:tblPrEx>
        <w:trPr>
          <w:trHeight w:val="539" w:hRule="exact"/>
        </w:trPr>
        <w:tc>
          <w:tcPr>
            <w:tcW w:w="4253" w:type="dxa"/>
          </w:tcPr>
          <w:p w14:paraId="6144C0F3">
            <w:pPr>
              <w:spacing w:line="440" w:lineRule="exact"/>
              <w:rPr>
                <w:rFonts w:ascii="宋体" w:hAnsi="宋体"/>
                <w:sz w:val="24"/>
                <w:highlight w:val="none"/>
              </w:rPr>
            </w:pPr>
            <w:r>
              <w:rPr>
                <w:rFonts w:hint="eastAsia" w:ascii="宋体" w:hAnsi="宋体"/>
                <w:spacing w:val="310"/>
                <w:kern w:val="0"/>
                <w:sz w:val="24"/>
                <w:highlight w:val="none"/>
                <w:fitText w:val="1100" w:id="1003883138"/>
              </w:rPr>
              <w:t>电</w:t>
            </w:r>
            <w:r>
              <w:rPr>
                <w:rFonts w:hint="eastAsia" w:ascii="宋体" w:hAnsi="宋体"/>
                <w:spacing w:val="0"/>
                <w:kern w:val="0"/>
                <w:sz w:val="24"/>
                <w:highlight w:val="none"/>
                <w:fitText w:val="1100" w:id="1003883138"/>
              </w:rPr>
              <w:t>话</w:t>
            </w:r>
            <w:r>
              <w:rPr>
                <w:rFonts w:hint="eastAsia" w:ascii="宋体" w:hAnsi="宋体"/>
                <w:sz w:val="24"/>
                <w:highlight w:val="none"/>
              </w:rPr>
              <w:t>：</w:t>
            </w:r>
            <w:r>
              <w:rPr>
                <w:rFonts w:ascii="宋体" w:hAnsi="宋体"/>
                <w:sz w:val="24"/>
                <w:highlight w:val="none"/>
                <w:u w:val="single"/>
              </w:rPr>
              <w:t xml:space="preserve">   0513-68218826   </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 xml:space="preserve">                    </w:t>
            </w:r>
          </w:p>
        </w:tc>
        <w:tc>
          <w:tcPr>
            <w:tcW w:w="240" w:type="dxa"/>
          </w:tcPr>
          <w:p w14:paraId="5D3186FD">
            <w:pPr>
              <w:spacing w:line="440" w:lineRule="exact"/>
              <w:rPr>
                <w:rFonts w:ascii="宋体" w:hAnsi="宋体"/>
                <w:sz w:val="24"/>
                <w:highlight w:val="none"/>
              </w:rPr>
            </w:pPr>
          </w:p>
        </w:tc>
        <w:tc>
          <w:tcPr>
            <w:tcW w:w="5257" w:type="dxa"/>
          </w:tcPr>
          <w:p w14:paraId="5E6C203D">
            <w:pPr>
              <w:spacing w:line="440" w:lineRule="exact"/>
              <w:rPr>
                <w:rFonts w:ascii="宋体" w:hAnsi="宋体"/>
                <w:sz w:val="24"/>
                <w:highlight w:val="none"/>
              </w:rPr>
            </w:pPr>
            <w:r>
              <w:rPr>
                <w:rFonts w:hint="eastAsia" w:ascii="宋体" w:hAnsi="宋体"/>
                <w:spacing w:val="310"/>
                <w:kern w:val="0"/>
                <w:sz w:val="24"/>
                <w:highlight w:val="none"/>
                <w:fitText w:val="1100" w:id="672077680"/>
              </w:rPr>
              <w:t>电</w:t>
            </w:r>
            <w:r>
              <w:rPr>
                <w:rFonts w:hint="eastAsia" w:ascii="宋体" w:hAnsi="宋体"/>
                <w:spacing w:val="0"/>
                <w:kern w:val="0"/>
                <w:sz w:val="24"/>
                <w:highlight w:val="none"/>
                <w:fitText w:val="1100" w:id="672077680"/>
              </w:rPr>
              <w:t>话</w:t>
            </w:r>
            <w:r>
              <w:rPr>
                <w:rFonts w:hint="eastAsia" w:ascii="宋体" w:hAnsi="宋体"/>
                <w:kern w:val="0"/>
                <w:sz w:val="24"/>
                <w:highlight w:val="none"/>
              </w:rPr>
              <w:t>：</w:t>
            </w:r>
            <w:r>
              <w:rPr>
                <w:rFonts w:hint="eastAsia" w:ascii="宋体" w:hAnsi="宋体"/>
                <w:kern w:val="0"/>
                <w:sz w:val="24"/>
                <w:highlight w:val="none"/>
                <w:u w:val="single"/>
              </w:rPr>
              <w:t xml:space="preserve">                </w:t>
            </w:r>
          </w:p>
        </w:tc>
      </w:tr>
      <w:tr w14:paraId="482DE030">
        <w:tblPrEx>
          <w:tblCellMar>
            <w:top w:w="0" w:type="dxa"/>
            <w:left w:w="0" w:type="dxa"/>
            <w:bottom w:w="0" w:type="dxa"/>
            <w:right w:w="0" w:type="dxa"/>
          </w:tblCellMar>
        </w:tblPrEx>
        <w:trPr>
          <w:trHeight w:val="539" w:hRule="exact"/>
        </w:trPr>
        <w:tc>
          <w:tcPr>
            <w:tcW w:w="4253" w:type="dxa"/>
          </w:tcPr>
          <w:p w14:paraId="2FC8D76D">
            <w:pPr>
              <w:spacing w:line="440" w:lineRule="exact"/>
              <w:rPr>
                <w:rFonts w:ascii="宋体" w:hAnsi="宋体"/>
                <w:sz w:val="24"/>
                <w:highlight w:val="none"/>
              </w:rPr>
            </w:pPr>
            <w:r>
              <w:rPr>
                <w:rFonts w:hint="eastAsia" w:ascii="宋体" w:hAnsi="宋体"/>
                <w:spacing w:val="310"/>
                <w:kern w:val="0"/>
                <w:sz w:val="24"/>
                <w:highlight w:val="none"/>
                <w:fitText w:val="1100" w:id="329020765"/>
              </w:rPr>
              <w:t>户</w:t>
            </w:r>
            <w:r>
              <w:rPr>
                <w:rFonts w:hint="eastAsia" w:ascii="宋体" w:hAnsi="宋体"/>
                <w:spacing w:val="0"/>
                <w:kern w:val="0"/>
                <w:sz w:val="24"/>
                <w:highlight w:val="none"/>
                <w:fitText w:val="1100" w:id="329020765"/>
              </w:rPr>
              <w:t>名</w:t>
            </w:r>
            <w:r>
              <w:rPr>
                <w:rFonts w:hint="eastAsia" w:ascii="宋体" w:hAnsi="宋体"/>
                <w:sz w:val="24"/>
                <w:highlight w:val="none"/>
              </w:rPr>
              <w:t>：</w:t>
            </w:r>
            <w:r>
              <w:rPr>
                <w:rFonts w:hint="eastAsia"/>
                <w:sz w:val="24"/>
                <w:highlight w:val="none"/>
                <w:u w:val="single"/>
              </w:rPr>
              <w:t>南通日报社</w:t>
            </w:r>
            <w:r>
              <w:rPr>
                <w:rFonts w:ascii="宋体" w:hAnsi="宋体"/>
                <w:sz w:val="24"/>
                <w:highlight w:val="none"/>
                <w:u w:val="single"/>
              </w:rPr>
              <w:t xml:space="preserve">                          </w:t>
            </w:r>
          </w:p>
        </w:tc>
        <w:tc>
          <w:tcPr>
            <w:tcW w:w="240" w:type="dxa"/>
          </w:tcPr>
          <w:p w14:paraId="51CE0E2A">
            <w:pPr>
              <w:spacing w:line="440" w:lineRule="exact"/>
              <w:rPr>
                <w:rFonts w:ascii="宋体" w:hAnsi="宋体"/>
                <w:sz w:val="24"/>
                <w:highlight w:val="none"/>
              </w:rPr>
            </w:pPr>
          </w:p>
        </w:tc>
        <w:tc>
          <w:tcPr>
            <w:tcW w:w="5257" w:type="dxa"/>
          </w:tcPr>
          <w:p w14:paraId="44124BDB">
            <w:pPr>
              <w:spacing w:line="440" w:lineRule="exact"/>
              <w:rPr>
                <w:rFonts w:ascii="宋体" w:hAnsi="宋体"/>
                <w:sz w:val="24"/>
                <w:highlight w:val="none"/>
              </w:rPr>
            </w:pPr>
            <w:r>
              <w:rPr>
                <w:rFonts w:hint="eastAsia" w:ascii="宋体" w:hAnsi="宋体"/>
                <w:spacing w:val="310"/>
                <w:kern w:val="0"/>
                <w:sz w:val="24"/>
                <w:highlight w:val="none"/>
                <w:fitText w:val="1100" w:id="1039162200"/>
              </w:rPr>
              <w:t>户</w:t>
            </w:r>
            <w:r>
              <w:rPr>
                <w:rFonts w:hint="eastAsia" w:ascii="宋体" w:hAnsi="宋体"/>
                <w:spacing w:val="0"/>
                <w:kern w:val="0"/>
                <w:sz w:val="24"/>
                <w:highlight w:val="none"/>
                <w:fitText w:val="1100" w:id="1039162200"/>
              </w:rPr>
              <w:t>名</w:t>
            </w:r>
            <w:r>
              <w:rPr>
                <w:rFonts w:hint="eastAsia" w:ascii="宋体" w:hAnsi="宋体"/>
                <w:kern w:val="0"/>
                <w:sz w:val="24"/>
                <w:highlight w:val="none"/>
              </w:rPr>
              <w:t>：</w:t>
            </w:r>
            <w:r>
              <w:rPr>
                <w:rFonts w:hint="eastAsia" w:ascii="宋体" w:hAnsi="宋体"/>
                <w:sz w:val="24"/>
                <w:highlight w:val="none"/>
                <w:u w:val="single"/>
              </w:rPr>
              <w:t xml:space="preserve">        </w:t>
            </w:r>
          </w:p>
        </w:tc>
      </w:tr>
      <w:tr w14:paraId="55502AB8">
        <w:tblPrEx>
          <w:tblCellMar>
            <w:top w:w="0" w:type="dxa"/>
            <w:left w:w="0" w:type="dxa"/>
            <w:bottom w:w="0" w:type="dxa"/>
            <w:right w:w="0" w:type="dxa"/>
          </w:tblCellMar>
        </w:tblPrEx>
        <w:trPr>
          <w:trHeight w:val="539" w:hRule="exact"/>
        </w:trPr>
        <w:tc>
          <w:tcPr>
            <w:tcW w:w="4253" w:type="dxa"/>
          </w:tcPr>
          <w:p w14:paraId="4BBAEA6B">
            <w:pPr>
              <w:spacing w:line="440" w:lineRule="exact"/>
              <w:rPr>
                <w:rFonts w:ascii="宋体" w:hAnsi="宋体"/>
                <w:sz w:val="24"/>
                <w:highlight w:val="none"/>
              </w:rPr>
            </w:pPr>
            <w:r>
              <w:rPr>
                <w:rFonts w:hint="eastAsia" w:ascii="宋体" w:hAnsi="宋体"/>
                <w:spacing w:val="23"/>
                <w:kern w:val="0"/>
                <w:sz w:val="24"/>
                <w:highlight w:val="none"/>
                <w:fitText w:val="1100" w:id="1291666737"/>
              </w:rPr>
              <w:t>开户银</w:t>
            </w:r>
            <w:r>
              <w:rPr>
                <w:rFonts w:hint="eastAsia" w:ascii="宋体" w:hAnsi="宋体"/>
                <w:spacing w:val="1"/>
                <w:kern w:val="0"/>
                <w:sz w:val="24"/>
                <w:highlight w:val="none"/>
                <w:fitText w:val="1100" w:id="1291666737"/>
              </w:rPr>
              <w:t>行</w:t>
            </w:r>
            <w:r>
              <w:rPr>
                <w:rFonts w:hint="eastAsia" w:ascii="宋体" w:hAnsi="宋体"/>
                <w:sz w:val="24"/>
                <w:highlight w:val="none"/>
              </w:rPr>
              <w:t>：</w:t>
            </w:r>
            <w:r>
              <w:rPr>
                <w:rFonts w:hint="eastAsia" w:ascii="宋体" w:hAnsi="宋体"/>
                <w:sz w:val="24"/>
                <w:highlight w:val="none"/>
                <w:u w:val="single"/>
              </w:rPr>
              <w:t>建行南通崇川支行</w:t>
            </w:r>
            <w:r>
              <w:rPr>
                <w:rFonts w:ascii="宋体" w:hAnsi="宋体"/>
                <w:sz w:val="24"/>
                <w:highlight w:val="none"/>
                <w:u w:val="single"/>
              </w:rPr>
              <w:t xml:space="preserve">                 </w:t>
            </w:r>
            <w:r>
              <w:rPr>
                <w:rFonts w:ascii="宋体" w:hAnsi="宋体"/>
                <w:spacing w:val="-3"/>
                <w:sz w:val="24"/>
                <w:highlight w:val="none"/>
                <w:u w:val="single"/>
              </w:rPr>
              <w:t xml:space="preserve">    </w:t>
            </w:r>
            <w:r>
              <w:rPr>
                <w:rFonts w:ascii="宋体" w:hAnsi="宋体"/>
                <w:sz w:val="24"/>
                <w:highlight w:val="none"/>
                <w:u w:val="single"/>
              </w:rPr>
              <w:t xml:space="preserve">     </w:t>
            </w:r>
          </w:p>
        </w:tc>
        <w:tc>
          <w:tcPr>
            <w:tcW w:w="240" w:type="dxa"/>
          </w:tcPr>
          <w:p w14:paraId="634903AD">
            <w:pPr>
              <w:spacing w:line="440" w:lineRule="exact"/>
              <w:rPr>
                <w:rFonts w:ascii="宋体" w:hAnsi="宋体"/>
                <w:sz w:val="24"/>
                <w:highlight w:val="none"/>
              </w:rPr>
            </w:pPr>
          </w:p>
        </w:tc>
        <w:tc>
          <w:tcPr>
            <w:tcW w:w="5257" w:type="dxa"/>
          </w:tcPr>
          <w:p w14:paraId="45BCAE4F">
            <w:pPr>
              <w:spacing w:line="440" w:lineRule="exact"/>
              <w:rPr>
                <w:rFonts w:ascii="宋体" w:hAnsi="宋体"/>
                <w:sz w:val="24"/>
                <w:highlight w:val="none"/>
              </w:rPr>
            </w:pPr>
            <w:r>
              <w:rPr>
                <w:rFonts w:hint="eastAsia" w:ascii="宋体" w:hAnsi="宋体"/>
                <w:spacing w:val="23"/>
                <w:kern w:val="0"/>
                <w:sz w:val="24"/>
                <w:highlight w:val="none"/>
                <w:fitText w:val="1100" w:id="2007375069"/>
              </w:rPr>
              <w:t>开户银</w:t>
            </w:r>
            <w:r>
              <w:rPr>
                <w:rFonts w:hint="eastAsia" w:ascii="宋体" w:hAnsi="宋体"/>
                <w:spacing w:val="1"/>
                <w:kern w:val="0"/>
                <w:sz w:val="24"/>
                <w:highlight w:val="none"/>
                <w:fitText w:val="1100" w:id="2007375069"/>
              </w:rPr>
              <w:t>行</w:t>
            </w:r>
            <w:r>
              <w:rPr>
                <w:rFonts w:hint="eastAsia" w:ascii="宋体" w:hAnsi="宋体"/>
                <w:sz w:val="24"/>
                <w:highlight w:val="none"/>
              </w:rPr>
              <w:t>：</w:t>
            </w:r>
            <w:r>
              <w:rPr>
                <w:rFonts w:hint="eastAsia" w:ascii="宋体" w:hAnsi="宋体"/>
                <w:sz w:val="24"/>
                <w:highlight w:val="none"/>
                <w:u w:val="single"/>
              </w:rPr>
              <w:t xml:space="preserve">       </w:t>
            </w:r>
          </w:p>
        </w:tc>
      </w:tr>
      <w:tr w14:paraId="5110D017">
        <w:tblPrEx>
          <w:tblCellMar>
            <w:top w:w="0" w:type="dxa"/>
            <w:left w:w="0" w:type="dxa"/>
            <w:bottom w:w="0" w:type="dxa"/>
            <w:right w:w="0" w:type="dxa"/>
          </w:tblCellMar>
        </w:tblPrEx>
        <w:trPr>
          <w:trHeight w:val="539" w:hRule="exact"/>
        </w:trPr>
        <w:tc>
          <w:tcPr>
            <w:tcW w:w="4253" w:type="dxa"/>
          </w:tcPr>
          <w:p w14:paraId="1B145F08">
            <w:pPr>
              <w:spacing w:line="440" w:lineRule="exact"/>
              <w:rPr>
                <w:rFonts w:ascii="宋体" w:hAnsi="宋体"/>
                <w:sz w:val="24"/>
                <w:highlight w:val="none"/>
              </w:rPr>
            </w:pPr>
            <w:r>
              <w:rPr>
                <w:rFonts w:hint="eastAsia" w:ascii="宋体" w:hAnsi="宋体"/>
                <w:spacing w:val="310"/>
                <w:kern w:val="0"/>
                <w:sz w:val="24"/>
                <w:highlight w:val="none"/>
                <w:fitText w:val="1100" w:id="956778367"/>
              </w:rPr>
              <w:t>账</w:t>
            </w:r>
            <w:r>
              <w:rPr>
                <w:rFonts w:hint="eastAsia" w:ascii="宋体" w:hAnsi="宋体"/>
                <w:spacing w:val="0"/>
                <w:kern w:val="0"/>
                <w:sz w:val="24"/>
                <w:highlight w:val="none"/>
                <w:fitText w:val="1100" w:id="956778367"/>
              </w:rPr>
              <w:t>号</w:t>
            </w:r>
            <w:r>
              <w:rPr>
                <w:rFonts w:hint="eastAsia" w:ascii="宋体" w:hAnsi="宋体"/>
                <w:sz w:val="24"/>
                <w:highlight w:val="none"/>
              </w:rPr>
              <w:t>：</w:t>
            </w:r>
            <w:r>
              <w:rPr>
                <w:rFonts w:ascii="宋体" w:hAnsi="宋体"/>
                <w:sz w:val="24"/>
                <w:highlight w:val="none"/>
                <w:u w:val="single"/>
              </w:rPr>
              <w:t xml:space="preserve"> 32001642736052505639                 </w:t>
            </w:r>
            <w:r>
              <w:rPr>
                <w:rFonts w:ascii="宋体" w:hAnsi="宋体"/>
                <w:spacing w:val="-3"/>
                <w:sz w:val="24"/>
                <w:highlight w:val="none"/>
                <w:u w:val="single"/>
              </w:rPr>
              <w:t xml:space="preserve">    </w:t>
            </w:r>
            <w:r>
              <w:rPr>
                <w:rFonts w:ascii="宋体" w:hAnsi="宋体"/>
                <w:sz w:val="24"/>
                <w:highlight w:val="none"/>
                <w:u w:val="single"/>
              </w:rPr>
              <w:t xml:space="preserve">     </w:t>
            </w:r>
          </w:p>
        </w:tc>
        <w:tc>
          <w:tcPr>
            <w:tcW w:w="240" w:type="dxa"/>
          </w:tcPr>
          <w:p w14:paraId="3428E9E1">
            <w:pPr>
              <w:spacing w:line="440" w:lineRule="exact"/>
              <w:rPr>
                <w:rFonts w:ascii="宋体" w:hAnsi="宋体"/>
                <w:sz w:val="24"/>
                <w:highlight w:val="none"/>
              </w:rPr>
            </w:pPr>
          </w:p>
        </w:tc>
        <w:tc>
          <w:tcPr>
            <w:tcW w:w="5257" w:type="dxa"/>
          </w:tcPr>
          <w:p w14:paraId="15E2AF1A">
            <w:pPr>
              <w:spacing w:line="440" w:lineRule="exact"/>
              <w:rPr>
                <w:rFonts w:ascii="宋体" w:hAnsi="宋体"/>
                <w:sz w:val="24"/>
                <w:highlight w:val="none"/>
              </w:rPr>
            </w:pPr>
            <w:r>
              <w:rPr>
                <w:rFonts w:hint="eastAsia" w:ascii="宋体" w:hAnsi="宋体"/>
                <w:spacing w:val="310"/>
                <w:kern w:val="0"/>
                <w:sz w:val="24"/>
                <w:highlight w:val="none"/>
                <w:fitText w:val="1100" w:id="2059566122"/>
              </w:rPr>
              <w:t>账</w:t>
            </w:r>
            <w:r>
              <w:rPr>
                <w:rFonts w:hint="eastAsia" w:ascii="宋体" w:hAnsi="宋体"/>
                <w:spacing w:val="0"/>
                <w:kern w:val="0"/>
                <w:sz w:val="24"/>
                <w:highlight w:val="none"/>
                <w:fitText w:val="1100" w:id="2059566122"/>
              </w:rPr>
              <w:t>号</w:t>
            </w:r>
            <w:r>
              <w:rPr>
                <w:rFonts w:hint="eastAsia" w:ascii="宋体" w:hAnsi="宋体"/>
                <w:sz w:val="24"/>
                <w:highlight w:val="none"/>
              </w:rPr>
              <w:t>：</w:t>
            </w:r>
            <w:r>
              <w:rPr>
                <w:rFonts w:hint="eastAsia" w:ascii="宋体" w:hAnsi="宋体"/>
                <w:sz w:val="24"/>
                <w:highlight w:val="none"/>
                <w:u w:val="single"/>
              </w:rPr>
              <w:t xml:space="preserve">           </w:t>
            </w:r>
          </w:p>
        </w:tc>
      </w:tr>
      <w:tr w14:paraId="002B0A30">
        <w:tblPrEx>
          <w:tblCellMar>
            <w:top w:w="0" w:type="dxa"/>
            <w:left w:w="0" w:type="dxa"/>
            <w:bottom w:w="0" w:type="dxa"/>
            <w:right w:w="0" w:type="dxa"/>
          </w:tblCellMar>
        </w:tblPrEx>
        <w:trPr>
          <w:trHeight w:val="539" w:hRule="exact"/>
        </w:trPr>
        <w:tc>
          <w:tcPr>
            <w:tcW w:w="4253" w:type="dxa"/>
          </w:tcPr>
          <w:p w14:paraId="26C9F002">
            <w:pPr>
              <w:spacing w:line="440" w:lineRule="exact"/>
              <w:ind w:right="-53" w:rightChars="-25"/>
              <w:rPr>
                <w:rFonts w:ascii="宋体" w:hAnsi="宋体"/>
                <w:sz w:val="24"/>
                <w:highlight w:val="none"/>
              </w:rPr>
            </w:pPr>
            <w:r>
              <w:rPr>
                <w:rFonts w:hint="eastAsia" w:ascii="宋体" w:hAnsi="宋体"/>
                <w:spacing w:val="23"/>
                <w:kern w:val="0"/>
                <w:sz w:val="24"/>
                <w:highlight w:val="none"/>
                <w:fitText w:val="1100" w:id="1458846050"/>
              </w:rPr>
              <w:t>签约地</w:t>
            </w:r>
            <w:r>
              <w:rPr>
                <w:rFonts w:hint="eastAsia" w:ascii="宋体" w:hAnsi="宋体"/>
                <w:spacing w:val="1"/>
                <w:kern w:val="0"/>
                <w:sz w:val="24"/>
                <w:highlight w:val="none"/>
                <w:fitText w:val="1100" w:id="1458846050"/>
              </w:rPr>
              <w:t>点</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南 通</w:t>
            </w:r>
            <w:r>
              <w:rPr>
                <w:rFonts w:ascii="宋体" w:hAnsi="宋体"/>
                <w:sz w:val="24"/>
                <w:highlight w:val="none"/>
                <w:u w:val="single"/>
              </w:rPr>
              <w:t xml:space="preserve">   </w:t>
            </w:r>
            <w:r>
              <w:rPr>
                <w:rFonts w:ascii="宋体" w:hAnsi="宋体"/>
                <w:spacing w:val="-3"/>
                <w:sz w:val="24"/>
                <w:highlight w:val="none"/>
                <w:u w:val="single"/>
              </w:rPr>
              <w:t xml:space="preserve">    </w:t>
            </w:r>
            <w:r>
              <w:rPr>
                <w:rFonts w:hint="eastAsia" w:ascii="宋体" w:hAnsi="宋体"/>
                <w:spacing w:val="-3"/>
                <w:sz w:val="24"/>
                <w:highlight w:val="none"/>
                <w:u w:val="single"/>
              </w:rPr>
              <w:t xml:space="preserve">  </w:t>
            </w:r>
            <w:r>
              <w:rPr>
                <w:rFonts w:ascii="宋体" w:hAnsi="宋体"/>
                <w:sz w:val="24"/>
                <w:highlight w:val="none"/>
                <w:u w:val="single"/>
              </w:rPr>
              <w:t xml:space="preserve">     </w:t>
            </w:r>
          </w:p>
        </w:tc>
        <w:tc>
          <w:tcPr>
            <w:tcW w:w="240" w:type="dxa"/>
          </w:tcPr>
          <w:p w14:paraId="79BB514D">
            <w:pPr>
              <w:spacing w:line="440" w:lineRule="exact"/>
              <w:rPr>
                <w:rFonts w:ascii="宋体" w:hAnsi="宋体"/>
                <w:sz w:val="24"/>
                <w:highlight w:val="none"/>
              </w:rPr>
            </w:pPr>
          </w:p>
        </w:tc>
        <w:tc>
          <w:tcPr>
            <w:tcW w:w="5257" w:type="dxa"/>
          </w:tcPr>
          <w:p w14:paraId="65DCCE44">
            <w:pPr>
              <w:spacing w:line="440" w:lineRule="exact"/>
              <w:rPr>
                <w:rFonts w:ascii="宋体" w:hAnsi="宋体"/>
                <w:sz w:val="24"/>
                <w:highlight w:val="none"/>
              </w:rPr>
            </w:pPr>
            <w:r>
              <w:rPr>
                <w:rFonts w:hint="eastAsia" w:ascii="宋体" w:hAnsi="宋体"/>
                <w:spacing w:val="23"/>
                <w:kern w:val="0"/>
                <w:sz w:val="24"/>
                <w:highlight w:val="none"/>
                <w:fitText w:val="1100" w:id="1450645469"/>
              </w:rPr>
              <w:t>签订日</w:t>
            </w:r>
            <w:r>
              <w:rPr>
                <w:rFonts w:hint="eastAsia" w:ascii="宋体" w:hAnsi="宋体"/>
                <w:spacing w:val="1"/>
                <w:kern w:val="0"/>
                <w:sz w:val="24"/>
                <w:highlight w:val="none"/>
                <w:fitText w:val="1100" w:id="1450645469"/>
              </w:rPr>
              <w:t>期</w:t>
            </w:r>
            <w:r>
              <w:rPr>
                <w:rFonts w:hint="eastAsia"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tc>
      </w:tr>
    </w:tbl>
    <w:p w14:paraId="4B96C75C">
      <w:pPr>
        <w:spacing w:before="120" w:beforeLines="50" w:line="440" w:lineRule="exact"/>
        <w:ind w:right="-45"/>
        <w:rPr>
          <w:rFonts w:eastAsia="黑体"/>
          <w:b/>
          <w:bCs/>
          <w:spacing w:val="14"/>
          <w:sz w:val="24"/>
          <w:highlight w:val="none"/>
        </w:rPr>
      </w:pPr>
    </w:p>
    <w:p w14:paraId="0E96837A">
      <w:pPr>
        <w:spacing w:line="440" w:lineRule="exact"/>
        <w:rPr>
          <w:rFonts w:ascii="宋体" w:hAnsi="宋体"/>
          <w:sz w:val="24"/>
          <w:highlight w:val="none"/>
        </w:rPr>
      </w:pPr>
    </w:p>
    <w:p w14:paraId="1A4C8335">
      <w:pPr>
        <w:spacing w:line="440" w:lineRule="exact"/>
        <w:rPr>
          <w:rFonts w:ascii="宋体" w:hAnsi="宋体" w:cs="宋体"/>
          <w:sz w:val="24"/>
          <w:highlight w:val="none"/>
        </w:rPr>
      </w:pPr>
      <w:r>
        <w:rPr>
          <w:rFonts w:hint="eastAsia" w:ascii="宋体" w:hAnsi="宋体"/>
          <w:sz w:val="24"/>
          <w:highlight w:val="none"/>
        </w:rPr>
        <w:t xml:space="preserve"> </w:t>
      </w:r>
      <w:r>
        <w:rPr>
          <w:rFonts w:hint="eastAsia" w:ascii="宋体" w:hAnsi="宋体" w:cs="宋体"/>
          <w:sz w:val="24"/>
          <w:highlight w:val="none"/>
        </w:rPr>
        <w:t>双方按照《中华人民共和国特种设备安全法》及相关法律法规、安全技术规范的规定，遵循公平、诚实和信用的原则，共同确定以下由乙方向甲方提供的产品保养服务内容条款。</w:t>
      </w:r>
    </w:p>
    <w:p w14:paraId="0FC93AD5">
      <w:pPr>
        <w:spacing w:line="440" w:lineRule="exact"/>
        <w:rPr>
          <w:rFonts w:ascii="宋体" w:hAnsi="宋体" w:cs="宋体"/>
          <w:b/>
          <w:bCs/>
          <w:sz w:val="24"/>
          <w:highlight w:val="none"/>
        </w:rPr>
      </w:pPr>
      <w:r>
        <w:rPr>
          <w:rFonts w:hint="eastAsia" w:ascii="宋体" w:hAnsi="宋体" w:cs="宋体"/>
          <w:b/>
          <w:bCs/>
          <w:sz w:val="24"/>
          <w:highlight w:val="none"/>
        </w:rPr>
        <w:t>一、本合同经双方代表签字并盖章后，符合本合同第二条的前提情况下生效。</w:t>
      </w:r>
    </w:p>
    <w:p w14:paraId="639253C3">
      <w:pPr>
        <w:spacing w:line="440" w:lineRule="exact"/>
        <w:rPr>
          <w:rFonts w:ascii="宋体" w:hAnsi="宋体" w:cs="宋体"/>
          <w:sz w:val="24"/>
          <w:highlight w:val="none"/>
        </w:rPr>
      </w:pPr>
      <w:r>
        <w:rPr>
          <w:rFonts w:hint="eastAsia" w:ascii="宋体" w:hAnsi="宋体" w:cs="宋体"/>
          <w:b/>
          <w:bCs/>
          <w:sz w:val="24"/>
          <w:highlight w:val="none"/>
        </w:rPr>
        <w:t>二、</w:t>
      </w:r>
      <w:r>
        <w:rPr>
          <w:rFonts w:hint="eastAsia" w:ascii="宋体" w:hAnsi="宋体" w:cs="宋体"/>
          <w:sz w:val="24"/>
          <w:highlight w:val="none"/>
        </w:rPr>
        <w:t>本合同内所述及的“电梯设备”是指在本合同中列出的、由甲方委托乙方保养的、已经政府主管部门检验合格并允许使用的各类乘客电梯、载货电梯、液压电梯、杂物电梯、自动扶梯和自动人行道等甲方设备的总称。</w:t>
      </w:r>
    </w:p>
    <w:p w14:paraId="02DD4F17">
      <w:pPr>
        <w:spacing w:line="440" w:lineRule="exact"/>
        <w:ind w:right="-45"/>
        <w:rPr>
          <w:rFonts w:ascii="宋体" w:hAnsi="宋体" w:cs="宋体"/>
          <w:b/>
          <w:bCs/>
          <w:sz w:val="24"/>
          <w:highlight w:val="none"/>
        </w:rPr>
      </w:pPr>
      <w:r>
        <w:rPr>
          <w:rFonts w:hint="eastAsia" w:ascii="宋体" w:hAnsi="宋体" w:cs="宋体"/>
          <w:b/>
          <w:bCs/>
          <w:sz w:val="24"/>
          <w:highlight w:val="none"/>
        </w:rPr>
        <w:t>三、服务对象</w:t>
      </w:r>
    </w:p>
    <w:p w14:paraId="7459E89D">
      <w:pPr>
        <w:spacing w:line="440" w:lineRule="exact"/>
        <w:ind w:firstLine="405"/>
        <w:rPr>
          <w:rFonts w:ascii="宋体" w:hAnsi="宋体" w:cs="宋体"/>
          <w:b/>
          <w:bCs/>
          <w:sz w:val="24"/>
          <w:highlight w:val="none"/>
        </w:rPr>
      </w:pPr>
      <w:r>
        <w:rPr>
          <w:rFonts w:hint="eastAsia" w:ascii="宋体" w:hAnsi="宋体" w:cs="宋体"/>
          <w:sz w:val="24"/>
          <w:highlight w:val="none"/>
        </w:rPr>
        <w:t xml:space="preserve">甲方委托乙方对于安装位于地址 </w:t>
      </w:r>
      <w:r>
        <w:rPr>
          <w:rFonts w:hint="eastAsia" w:ascii="宋体" w:hAnsi="宋体" w:cs="宋体"/>
          <w:sz w:val="24"/>
          <w:highlight w:val="none"/>
          <w:u w:val="single"/>
        </w:rPr>
        <w:t xml:space="preserve">南通市崇川区世纪大道8号 </w:t>
      </w:r>
      <w:r>
        <w:rPr>
          <w:rFonts w:hint="eastAsia" w:ascii="宋体" w:hAnsi="宋体" w:cs="宋体"/>
          <w:sz w:val="24"/>
          <w:highlight w:val="none"/>
        </w:rPr>
        <w:t>的名为</w:t>
      </w:r>
      <w:r>
        <w:rPr>
          <w:rFonts w:hint="eastAsia" w:ascii="宋体" w:hAnsi="宋体" w:cs="宋体"/>
          <w:sz w:val="24"/>
          <w:highlight w:val="none"/>
          <w:u w:val="single"/>
        </w:rPr>
        <w:t xml:space="preserve"> 南通日报社 </w:t>
      </w:r>
      <w:r>
        <w:rPr>
          <w:rFonts w:hint="eastAsia" w:ascii="宋体" w:hAnsi="宋体" w:cs="宋体"/>
          <w:sz w:val="24"/>
          <w:highlight w:val="none"/>
        </w:rPr>
        <w:t>建筑物及甲方附属楼宇内的共计</w:t>
      </w:r>
      <w:r>
        <w:rPr>
          <w:rFonts w:hint="eastAsia" w:ascii="宋体" w:hAnsi="宋体" w:cs="宋体"/>
          <w:sz w:val="24"/>
          <w:highlight w:val="none"/>
          <w:u w:val="single"/>
        </w:rPr>
        <w:t xml:space="preserve"> 11 </w:t>
      </w:r>
      <w:r>
        <w:rPr>
          <w:rFonts w:hint="eastAsia" w:ascii="宋体" w:hAnsi="宋体" w:cs="宋体"/>
          <w:sz w:val="24"/>
          <w:highlight w:val="none"/>
        </w:rPr>
        <w:t>台电梯设备提供保养服务。（电梯设备的具体规格详见本合同条款：“八、电梯设备规格”中表一）</w:t>
      </w:r>
    </w:p>
    <w:p w14:paraId="36225EF2">
      <w:pPr>
        <w:spacing w:line="440" w:lineRule="exact"/>
        <w:ind w:right="-45"/>
        <w:rPr>
          <w:rFonts w:ascii="宋体" w:hAnsi="宋体" w:cs="宋体"/>
          <w:b/>
          <w:bCs/>
          <w:sz w:val="24"/>
          <w:highlight w:val="none"/>
        </w:rPr>
      </w:pPr>
      <w:r>
        <w:rPr>
          <w:rFonts w:hint="eastAsia" w:ascii="宋体" w:hAnsi="宋体" w:cs="宋体"/>
          <w:b/>
          <w:bCs/>
          <w:sz w:val="24"/>
          <w:highlight w:val="none"/>
        </w:rPr>
        <w:t>四、服务期限</w:t>
      </w:r>
    </w:p>
    <w:p w14:paraId="2F05DE1A">
      <w:pPr>
        <w:spacing w:line="440" w:lineRule="exact"/>
        <w:ind w:right="-196"/>
        <w:rPr>
          <w:rFonts w:ascii="宋体" w:hAnsi="宋体" w:cs="宋体"/>
          <w:sz w:val="24"/>
          <w:highlight w:val="none"/>
        </w:rPr>
      </w:pPr>
      <w:r>
        <w:rPr>
          <w:rFonts w:hint="eastAsia" w:ascii="宋体" w:hAnsi="宋体" w:cs="宋体"/>
          <w:b/>
          <w:bCs/>
          <w:sz w:val="24"/>
          <w:highlight w:val="none"/>
        </w:rPr>
        <w:t xml:space="preserve">   </w:t>
      </w:r>
      <w:r>
        <w:rPr>
          <w:rFonts w:hint="eastAsia" w:ascii="宋体" w:hAnsi="宋体" w:cs="宋体"/>
          <w:b/>
          <w:bCs/>
          <w:sz w:val="24"/>
          <w:highlight w:val="none"/>
        </w:rPr>
        <w:t xml:space="preserve"> </w:t>
      </w:r>
      <w:r>
        <w:rPr>
          <w:rFonts w:hint="eastAsia" w:ascii="宋体" w:hAnsi="宋体" w:cs="宋体"/>
          <w:sz w:val="24"/>
          <w:highlight w:val="none"/>
        </w:rPr>
        <w:t>自</w:t>
      </w:r>
      <w:r>
        <w:rPr>
          <w:rFonts w:hint="eastAsia" w:ascii="宋体" w:hAnsi="宋体" w:cs="宋体"/>
          <w:sz w:val="24"/>
          <w:highlight w:val="none"/>
          <w:u w:val="single"/>
        </w:rPr>
        <w:t>2022</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日起至</w:t>
      </w:r>
      <w:r>
        <w:rPr>
          <w:rFonts w:hint="eastAsia" w:ascii="宋体" w:hAnsi="宋体" w:cs="宋体"/>
          <w:sz w:val="24"/>
          <w:highlight w:val="none"/>
          <w:u w:val="single"/>
        </w:rPr>
        <w:t xml:space="preserve"> 2026</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日止，共一年。</w:t>
      </w:r>
    </w:p>
    <w:p w14:paraId="584AA5DF">
      <w:pPr>
        <w:spacing w:line="440" w:lineRule="exact"/>
        <w:rPr>
          <w:rFonts w:ascii="宋体" w:hAnsi="宋体" w:cs="宋体"/>
          <w:b/>
          <w:bCs/>
          <w:sz w:val="24"/>
          <w:highlight w:val="none"/>
        </w:rPr>
      </w:pPr>
      <w:r>
        <w:rPr>
          <w:rFonts w:hint="eastAsia" w:ascii="宋体" w:hAnsi="宋体" w:cs="宋体"/>
          <w:b/>
          <w:bCs/>
          <w:sz w:val="24"/>
          <w:highlight w:val="none"/>
        </w:rPr>
        <w:t>五、服务时间</w:t>
      </w:r>
    </w:p>
    <w:p w14:paraId="0A54B2CC">
      <w:pPr>
        <w:spacing w:line="440" w:lineRule="exact"/>
        <w:ind w:firstLine="480" w:firstLineChars="200"/>
        <w:rPr>
          <w:rFonts w:ascii="宋体" w:hAnsi="宋体" w:cs="宋体"/>
          <w:sz w:val="24"/>
          <w:highlight w:val="none"/>
        </w:rPr>
      </w:pPr>
      <w:r>
        <w:rPr>
          <w:rFonts w:hint="eastAsia" w:ascii="宋体" w:hAnsi="宋体" w:cs="宋体"/>
          <w:sz w:val="24"/>
          <w:highlight w:val="none"/>
        </w:rPr>
        <w:t>1.本合同提供的保养服务，确定在乙方的正常工作时间（周一至周五上午8：00——下午4：30）内进行，甲方若有特殊需要，乙方也可在正常工作时间以外的时间内提供服务，但需另行计费。</w:t>
      </w:r>
    </w:p>
    <w:p w14:paraId="56D41E74">
      <w:pPr>
        <w:tabs>
          <w:tab w:val="left" w:pos="840"/>
        </w:tabs>
        <w:spacing w:line="440" w:lineRule="exact"/>
        <w:ind w:left="840" w:hanging="840"/>
        <w:rPr>
          <w:rFonts w:ascii="宋体" w:hAnsi="宋体" w:cs="宋体"/>
          <w:sz w:val="24"/>
          <w:highlight w:val="none"/>
        </w:rPr>
      </w:pPr>
      <w:r>
        <w:rPr>
          <w:rFonts w:hint="eastAsia" w:ascii="宋体" w:hAnsi="宋体" w:cs="宋体"/>
          <w:sz w:val="24"/>
          <w:highlight w:val="none"/>
        </w:rPr>
        <w:t xml:space="preserve">    2.本合同所保养的电梯设备，若发生故障需要应急处理时不受上述时间限制。</w:t>
      </w:r>
    </w:p>
    <w:p w14:paraId="4B0DE45D">
      <w:pPr>
        <w:spacing w:line="440" w:lineRule="exact"/>
        <w:ind w:left="240" w:firstLine="240" w:firstLineChars="100"/>
        <w:rPr>
          <w:rFonts w:ascii="宋体" w:hAnsi="宋体" w:cs="宋体"/>
          <w:sz w:val="24"/>
          <w:highlight w:val="none"/>
        </w:rPr>
      </w:pPr>
      <w:r>
        <w:rPr>
          <w:rFonts w:hint="eastAsia" w:ascii="宋体" w:hAnsi="宋体" w:cs="宋体"/>
          <w:sz w:val="24"/>
          <w:highlight w:val="none"/>
        </w:rPr>
        <w:t>3.每</w:t>
      </w:r>
      <w:r>
        <w:rPr>
          <w:rFonts w:hint="eastAsia" w:ascii="宋体" w:hAnsi="宋体" w:cs="宋体"/>
          <w:sz w:val="24"/>
          <w:highlight w:val="none"/>
          <w:u w:val="single"/>
        </w:rPr>
        <w:t xml:space="preserve"> 15  </w:t>
      </w:r>
      <w:r>
        <w:rPr>
          <w:rFonts w:hint="eastAsia" w:ascii="宋体" w:hAnsi="宋体" w:cs="宋体"/>
          <w:sz w:val="24"/>
          <w:highlight w:val="none"/>
        </w:rPr>
        <w:t>天1次根据国家有关的技术规范和乙方的工艺要求对电梯设备进行保养。</w:t>
      </w:r>
    </w:p>
    <w:p w14:paraId="226A8FB3">
      <w:pPr>
        <w:spacing w:line="440" w:lineRule="exact"/>
        <w:rPr>
          <w:rFonts w:ascii="宋体" w:hAnsi="宋体" w:cs="宋体"/>
          <w:b/>
          <w:bCs/>
          <w:sz w:val="24"/>
          <w:highlight w:val="none"/>
        </w:rPr>
      </w:pPr>
      <w:r>
        <w:rPr>
          <w:rFonts w:hint="eastAsia" w:ascii="宋体" w:hAnsi="宋体" w:cs="宋体"/>
          <w:b/>
          <w:bCs/>
          <w:sz w:val="24"/>
          <w:highlight w:val="none"/>
        </w:rPr>
        <w:t>六、乙方的服务内容</w:t>
      </w:r>
    </w:p>
    <w:p w14:paraId="043CC120">
      <w:pPr>
        <w:snapToGrid w:val="0"/>
        <w:spacing w:line="360" w:lineRule="auto"/>
        <w:ind w:firstLine="480" w:firstLineChars="200"/>
        <w:rPr>
          <w:rFonts w:ascii="宋体" w:hAnsi="宋体" w:cs="宋体"/>
          <w:b/>
          <w:bCs/>
          <w:sz w:val="24"/>
          <w:highlight w:val="none"/>
        </w:rPr>
      </w:pPr>
      <w:r>
        <w:rPr>
          <w:rFonts w:hint="eastAsia" w:ascii="宋体" w:hAnsi="宋体" w:cs="宋体"/>
          <w:kern w:val="0"/>
          <w:sz w:val="24"/>
          <w:highlight w:val="none"/>
        </w:rPr>
        <w:t>1、项目服务标准</w:t>
      </w:r>
      <w:r>
        <w:rPr>
          <w:rFonts w:hint="eastAsia" w:ascii="宋体" w:hAnsi="宋体" w:cs="宋体"/>
          <w:b/>
          <w:bCs/>
          <w:sz w:val="24"/>
          <w:highlight w:val="none"/>
        </w:rPr>
        <w:t xml:space="preserve"> </w:t>
      </w:r>
    </w:p>
    <w:p w14:paraId="65294BA9">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1.1乙方根据国家有关的技术规范和招标人需求,</w:t>
      </w:r>
      <w:r>
        <w:rPr>
          <w:rFonts w:hint="eastAsia"/>
          <w:highlight w:val="none"/>
        </w:rPr>
        <w:t xml:space="preserve"> </w:t>
      </w:r>
      <w:r>
        <w:rPr>
          <w:rFonts w:hint="eastAsia" w:ascii="宋体" w:hAnsi="宋体" w:cs="宋体"/>
          <w:color w:val="000000"/>
          <w:kern w:val="0"/>
          <w:sz w:val="24"/>
          <w:highlight w:val="none"/>
        </w:rPr>
        <w:t>每2周至少组织一次对所有电梯的巡检、保养，每月、每季进行例行检查、保养，发现隐患或故障及时排除，确保电梯安全正常安全运行。每次巡检、保养结束必须填写维修保养服务单并由采购人或采购人委托协管负责人确认，维修保养期内满足付款条件时，中标人凭采购人确认的维保单按期支付维保费用。</w:t>
      </w:r>
    </w:p>
    <w:p w14:paraId="4E5C93E4">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1.2确保电梯年检合格。乙方必须在年度合同到期前一个月内配合政府主管部门对服务期内的设备实施年检，并对因保养不当而产生的整改项目进行免费整改，直至年检合格，方可收取当年的维保费用。</w:t>
      </w:r>
    </w:p>
    <w:p w14:paraId="50D4C3C9">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1.3在甲方的主导和授权下，甲方聘请的物业服务单位可享有甲方的管理权利及履行相关义务，参与对乙方的监管。</w:t>
      </w:r>
    </w:p>
    <w:p w14:paraId="7C0EB9BF">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1.4乙方需具有信息化、智能化管理服务的手段和措施，须无条件配合物业服务单位做好智能楼宇信息化管理的相关工作。</w:t>
      </w:r>
    </w:p>
    <w:p w14:paraId="1689C7ED">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2、电梯维保的具体服务要求</w:t>
      </w:r>
    </w:p>
    <w:p w14:paraId="51FA93AE">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2.1 电梯轿厢、机房、井道、底坑、安全装置、显示等部位的各部件的常规检查、调整、润滑和清洁服务；</w:t>
      </w:r>
    </w:p>
    <w:p w14:paraId="11DBDF95">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2.2 电梯曳引机、补偿钢丝绳、补偿链、限速器、钢丝绳的清洁和张力调整及平层等；</w:t>
      </w:r>
    </w:p>
    <w:p w14:paraId="77863940">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2.3 具体检修及对成套设备的检查工作，如齿轮箱、马达、控制柜、制动器、层站显示和其他电梯运行部件的检修；</w:t>
      </w:r>
    </w:p>
    <w:p w14:paraId="463DDE35">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2.4 严格按规范要求调试抱闸、导轨、曳引钢丝绳、开关、电梯运行部件等，并对设备进行润滑、换油等工作。</w:t>
      </w:r>
    </w:p>
    <w:p w14:paraId="0095AE82">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2.5 乙方负责配合政府主管部门实施年检，如因维保原因造成年检一次性不合格，乙方必须承担其二次检测费用，以及由此引起的一切后果。</w:t>
      </w:r>
    </w:p>
    <w:p w14:paraId="1ED21B01">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2.6 乙方维修保养人员应及时与甲方沟通维修保养、使用及运行情况，每三个月向甲方提交一份电梯维修保养情况报告，每半年进行一次综合性的运行安全和运行质量的检查，并在检测结束时，向甲方提交检测报告。</w:t>
      </w:r>
    </w:p>
    <w:p w14:paraId="5FED5D1C">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2.7 乙方必须严格按《特种设备安全法》第22、23、24条等规定的内容执行。</w:t>
      </w:r>
    </w:p>
    <w:p w14:paraId="73FE0DB4">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3、电梯维保的具体服务标准</w:t>
      </w:r>
    </w:p>
    <w:p w14:paraId="5CBABEB8">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3.1 保证电梯安全运行。严格按照规定的服务内容实施服务，并根据“电梯保养年度作业计划方案”所列的项目和周期进行检查、调整、润滑和清洁等保养工作。每次维修保养后，必须在两个工作日程呈交维修保养报告。</w:t>
      </w:r>
    </w:p>
    <w:p w14:paraId="5EB8D1F7">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3.2 在保证电梯安全运行的前提下满足正常使用的需求。电梯日常维修保养，应严格按照电梯使用管理与维修保养规则TSG-T5002-2017标准执行。</w:t>
      </w:r>
    </w:p>
    <w:p w14:paraId="268FF992">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3.3 要求电梯日常维修保养驻点固定人员服务。确定成交后，乙方必须选派足够数量的技术精湛、经验丰富且工作负责的相对固定维保人员到场服务，服务时应严格遵守甲方有关的规章制度。</w:t>
      </w:r>
    </w:p>
    <w:p w14:paraId="3FA4CDCE">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3.4 因没有实施保养或保养不当造成电梯停运，若在24小时内未能恢复运行的、困人在30分钟内未能解决，采购人付款时扣除该台设备一个月的保养费；在48小时内未能恢复运行的，困人在60分钟内未能解决，</w:t>
      </w:r>
      <w:r>
        <w:rPr>
          <w:rFonts w:hint="eastAsia" w:ascii="宋体" w:hAnsi="宋体" w:cs="宋体"/>
          <w:color w:val="000000"/>
          <w:kern w:val="0"/>
          <w:sz w:val="24"/>
          <w:highlight w:val="none"/>
        </w:rPr>
        <w:t xml:space="preserve">采购人方付款时扣除该台设备一年的保养费。 </w:t>
      </w:r>
    </w:p>
    <w:p w14:paraId="028D6877">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3.5 须提供24小时的应急响应服务，对电梯困人事故要求在接到报警</w:t>
      </w:r>
      <w:r>
        <w:rPr>
          <w:rFonts w:hint="eastAsia" w:ascii="宋体" w:hAnsi="宋体" w:cs="宋体"/>
          <w:color w:val="000000"/>
          <w:kern w:val="0"/>
          <w:sz w:val="24"/>
          <w:highlight w:val="none"/>
        </w:rPr>
        <w:t>后10分钟内</w:t>
      </w:r>
      <w:r>
        <w:rPr>
          <w:rFonts w:hint="eastAsia" w:ascii="宋体" w:hAnsi="宋体" w:cs="宋体"/>
          <w:color w:val="000000"/>
          <w:kern w:val="0"/>
          <w:sz w:val="24"/>
          <w:highlight w:val="none"/>
        </w:rPr>
        <w:t>到达现场，将乘客先从轿厢中救出后即时抢修故障。电梯发生其他故障，乙方在接到甲方紧急报修通知后, 需15分钟内赶到现场排除。一般故障乙方接通知后派员到场处理，要求在60分钟内排除。特殊故障应在2小时内确认，如要更换配件需经双方商定认可。</w:t>
      </w:r>
    </w:p>
    <w:p w14:paraId="0B914AD9">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3.6每年度10月底前</w:t>
      </w:r>
      <w:r>
        <w:rPr>
          <w:rFonts w:hint="eastAsia" w:ascii="宋体" w:hAnsi="宋体" w:cs="宋体"/>
          <w:color w:val="000000"/>
          <w:kern w:val="0"/>
          <w:sz w:val="24"/>
          <w:highlight w:val="none"/>
        </w:rPr>
        <w:t>须进行电梯运行分析，并提供书面报告，对电梯的运行及安全方面进行全方位测试或总结。对可能不利于安全运行的部件或一年内即将到使用寿命的部件及时申报进行更换修理。</w:t>
      </w:r>
    </w:p>
    <w:p w14:paraId="33F035D1">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3.7 当发现或发生非保养责任事故时，需书面通知甲方整改，当事故严重影响设备安全运行时，应及时通知甲方停止使用该设备。</w:t>
      </w:r>
    </w:p>
    <w:p w14:paraId="10F960E1">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3.8 乙方应提供服务承诺书和维修电话号码并粘贴在轿厢显著位置。</w:t>
      </w:r>
    </w:p>
    <w:p w14:paraId="1C8D90CE">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3.9乙方在履行义务过程中而导致的相关人身安全及财产安全责任均由乙方全权承担，与采购人无关。</w:t>
      </w:r>
    </w:p>
    <w:p w14:paraId="237637E2">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3.10乙方必须配合采购人各种大型活动监护和安全检查。</w:t>
      </w:r>
    </w:p>
    <w:p w14:paraId="4625B7C3">
      <w:pPr>
        <w:widowControl/>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4、服务要求：</w:t>
      </w:r>
    </w:p>
    <w:p w14:paraId="56690D23">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4.1维保期间电梯配件供货时间要求（提供书面开列清单承诺）：一般电梯配件（如门滑块、按钮、外召显示板、内召显示板、红外光幕、行程开关、感应开关、接触器、继电器等）</w:t>
      </w:r>
      <w:r>
        <w:rPr>
          <w:rFonts w:hint="eastAsia" w:ascii="宋体" w:hAnsi="宋体" w:cs="宋体"/>
          <w:b/>
          <w:bCs/>
          <w:kern w:val="0"/>
          <w:sz w:val="24"/>
          <w:highlight w:val="none"/>
        </w:rPr>
        <w:t>保养单位需现场备存，随时更换</w:t>
      </w:r>
      <w:r>
        <w:rPr>
          <w:rFonts w:hint="eastAsia" w:ascii="宋体" w:hAnsi="宋体" w:cs="宋体"/>
          <w:kern w:val="0"/>
          <w:sz w:val="24"/>
          <w:highlight w:val="none"/>
        </w:rPr>
        <w:t>；主要配件（如门机板、曳引钢丝绳、电梯主板、变频器、编码器等）</w:t>
      </w:r>
      <w:r>
        <w:rPr>
          <w:rFonts w:hint="eastAsia" w:ascii="宋体" w:hAnsi="宋体" w:cs="宋体"/>
          <w:b/>
          <w:bCs/>
          <w:kern w:val="0"/>
          <w:sz w:val="24"/>
          <w:highlight w:val="none"/>
        </w:rPr>
        <w:t>，保养单位两天内到货更换</w:t>
      </w:r>
      <w:r>
        <w:rPr>
          <w:rFonts w:hint="eastAsia" w:ascii="宋体" w:hAnsi="宋体" w:cs="宋体"/>
          <w:kern w:val="0"/>
          <w:sz w:val="24"/>
          <w:highlight w:val="none"/>
        </w:rPr>
        <w:t>；特殊大件（如曳引主机、门机整件等）</w:t>
      </w:r>
      <w:r>
        <w:rPr>
          <w:rFonts w:hint="eastAsia" w:ascii="宋体" w:hAnsi="宋体" w:cs="宋体"/>
          <w:b/>
          <w:bCs/>
          <w:kern w:val="0"/>
          <w:sz w:val="24"/>
          <w:highlight w:val="none"/>
        </w:rPr>
        <w:t>三天内到货更换，特殊情况另议</w:t>
      </w:r>
      <w:r>
        <w:rPr>
          <w:rFonts w:hint="eastAsia" w:ascii="宋体" w:hAnsi="宋体" w:cs="宋体"/>
          <w:kern w:val="0"/>
          <w:sz w:val="24"/>
          <w:highlight w:val="none"/>
        </w:rPr>
        <w:t>。以上部件必须提供原厂纯正品部件，不得以次充好。</w:t>
      </w:r>
    </w:p>
    <w:p w14:paraId="5BF1B033">
      <w:pPr>
        <w:tabs>
          <w:tab w:val="left" w:pos="180"/>
          <w:tab w:val="left" w:pos="540"/>
        </w:tabs>
        <w:adjustRightInd w:val="0"/>
        <w:snapToGrid w:val="0"/>
        <w:spacing w:line="360" w:lineRule="auto"/>
        <w:ind w:firstLine="480" w:firstLineChars="200"/>
        <w:rPr>
          <w:rFonts w:hAnsi="宋体"/>
          <w:color w:val="000000"/>
          <w:sz w:val="24"/>
          <w:szCs w:val="24"/>
          <w:highlight w:val="none"/>
        </w:rPr>
      </w:pPr>
      <w:r>
        <w:rPr>
          <w:rFonts w:hint="eastAsia" w:hAnsi="宋体"/>
          <w:color w:val="000000"/>
          <w:sz w:val="24"/>
          <w:szCs w:val="24"/>
          <w:highlight w:val="none"/>
        </w:rPr>
        <w:t>4.2乙方对配件提供全日</w:t>
      </w:r>
      <w:r>
        <w:rPr>
          <w:rFonts w:hint="eastAsia"/>
          <w:color w:val="000000"/>
          <w:sz w:val="24"/>
          <w:szCs w:val="24"/>
          <w:highlight w:val="none"/>
        </w:rPr>
        <w:t>24</w:t>
      </w:r>
      <w:r>
        <w:rPr>
          <w:rFonts w:hint="eastAsia" w:hAnsi="宋体"/>
          <w:color w:val="000000"/>
          <w:sz w:val="24"/>
          <w:szCs w:val="24"/>
          <w:highlight w:val="none"/>
        </w:rPr>
        <w:t>小时供应服务，并且保证上海三菱原产配件。在维保过程中乙方发现需更换的配件，应主动联系甲方及时进行更换。成交供应商负责500元（含500元，价格以三菱官方渠道为准）以内正常损耗的配件更换。维修超出500元以上的配件以三菱官方渠道销售价的八折与采购人结算 。本项目备品配件人工费均为免费。</w:t>
      </w:r>
    </w:p>
    <w:p w14:paraId="2EFDC320">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4.3按规定进行定期砝码载荷试验，保证电梯安全高效舒适运行。</w:t>
      </w:r>
    </w:p>
    <w:p w14:paraId="6B07F805">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4.4运用信息化、物联网等技术，维保过程中具有APP、微信小程序等实时查看维保记录功能、实时视频主动传输存储、实行轨迹回放，全程追溯及其他先进功能。</w:t>
      </w:r>
    </w:p>
    <w:p w14:paraId="7BB3466B">
      <w:pPr>
        <w:spacing w:line="440" w:lineRule="exact"/>
        <w:rPr>
          <w:rFonts w:ascii="宋体" w:hAnsi="宋体" w:cs="宋体"/>
          <w:b/>
          <w:bCs/>
          <w:sz w:val="24"/>
          <w:highlight w:val="none"/>
        </w:rPr>
      </w:pPr>
      <w:r>
        <w:rPr>
          <w:rFonts w:hint="eastAsia" w:ascii="宋体" w:hAnsi="宋体" w:cs="宋体"/>
          <w:b/>
          <w:bCs/>
          <w:sz w:val="24"/>
          <w:highlight w:val="none"/>
        </w:rPr>
        <w:t>七、双方责任</w:t>
      </w:r>
    </w:p>
    <w:p w14:paraId="5BD5AA59">
      <w:pPr>
        <w:spacing w:line="440" w:lineRule="exact"/>
        <w:rPr>
          <w:rFonts w:ascii="宋体" w:hAnsi="宋体" w:cs="宋体"/>
          <w:b/>
          <w:bCs/>
          <w:sz w:val="24"/>
          <w:highlight w:val="none"/>
        </w:rPr>
      </w:pPr>
      <w:r>
        <w:rPr>
          <w:rFonts w:hint="eastAsia" w:ascii="宋体" w:hAnsi="宋体" w:cs="宋体"/>
          <w:b/>
          <w:bCs/>
          <w:sz w:val="24"/>
          <w:highlight w:val="none"/>
        </w:rPr>
        <w:t>甲方的责任</w:t>
      </w:r>
    </w:p>
    <w:p w14:paraId="002D6186">
      <w:pPr>
        <w:tabs>
          <w:tab w:val="left" w:pos="315"/>
        </w:tabs>
        <w:spacing w:line="440" w:lineRule="exact"/>
        <w:ind w:firstLine="480" w:firstLineChars="200"/>
        <w:rPr>
          <w:rFonts w:ascii="宋体" w:hAnsi="宋体" w:cs="宋体"/>
          <w:sz w:val="24"/>
          <w:highlight w:val="none"/>
        </w:rPr>
      </w:pPr>
      <w:r>
        <w:rPr>
          <w:rFonts w:hint="eastAsia" w:ascii="宋体" w:hAnsi="宋体" w:cs="宋体"/>
          <w:sz w:val="24"/>
          <w:highlight w:val="none"/>
        </w:rPr>
        <w:t>1.甲方应按照《特种设备安全法》的规定，履行电梯使用单位的义务。在签订本合同时，甲方已经获得并知晓该《特种设备安全法》。</w:t>
      </w:r>
    </w:p>
    <w:p w14:paraId="451BF729">
      <w:pPr>
        <w:tabs>
          <w:tab w:val="left" w:pos="315"/>
        </w:tabs>
        <w:spacing w:line="440" w:lineRule="exact"/>
        <w:ind w:firstLine="480" w:firstLineChars="200"/>
        <w:rPr>
          <w:rFonts w:ascii="宋体" w:hAnsi="宋体" w:cs="宋体"/>
          <w:sz w:val="24"/>
          <w:highlight w:val="none"/>
        </w:rPr>
      </w:pPr>
      <w:r>
        <w:rPr>
          <w:rFonts w:hint="eastAsia" w:ascii="宋体" w:hAnsi="宋体" w:cs="宋体"/>
          <w:sz w:val="24"/>
          <w:highlight w:val="none"/>
        </w:rPr>
        <w:t>2.负责按照政府主管部门对电梯设备日常管理的法规、规定和要求进行全面管理，对乙方的服务项目、服务内容和服务质量进行确认。</w:t>
      </w:r>
    </w:p>
    <w:p w14:paraId="3010F20D">
      <w:pPr>
        <w:tabs>
          <w:tab w:val="left" w:pos="315"/>
        </w:tabs>
        <w:spacing w:line="440" w:lineRule="exact"/>
        <w:ind w:firstLine="480" w:firstLineChars="200"/>
        <w:rPr>
          <w:rFonts w:ascii="宋体" w:hAnsi="宋体" w:cs="宋体"/>
          <w:sz w:val="24"/>
          <w:highlight w:val="none"/>
        </w:rPr>
      </w:pPr>
      <w:r>
        <w:rPr>
          <w:rFonts w:hint="eastAsia" w:ascii="宋体" w:hAnsi="宋体" w:cs="宋体"/>
          <w:sz w:val="24"/>
          <w:highlight w:val="none"/>
        </w:rPr>
        <w:t>3.在乙方提供保养服务期间，负责给予乙方合理和充分的停梯时间并协助和管理设置现场安全警示标志。</w:t>
      </w:r>
    </w:p>
    <w:p w14:paraId="04AE4AEE">
      <w:pPr>
        <w:tabs>
          <w:tab w:val="left" w:pos="315"/>
        </w:tabs>
        <w:spacing w:line="440" w:lineRule="exact"/>
        <w:ind w:firstLine="480" w:firstLineChars="200"/>
        <w:rPr>
          <w:rFonts w:ascii="宋体" w:hAnsi="宋体" w:cs="宋体"/>
          <w:sz w:val="24"/>
          <w:highlight w:val="none"/>
        </w:rPr>
      </w:pPr>
      <w:r>
        <w:rPr>
          <w:rFonts w:hint="eastAsia" w:ascii="宋体" w:hAnsi="宋体" w:cs="宋体"/>
          <w:sz w:val="24"/>
          <w:highlight w:val="none"/>
        </w:rPr>
        <w:t>4.在有效服务期内，甲方若需对本合同电梯设备实施改造、修理、装饰、更换的，必须严格按国家有关法规、规章、规定实施，因非乙方实施的上述工程而影响到乙方保养电梯设备的使用性能和安全性能的，乙方不承担任何责任。</w:t>
      </w:r>
    </w:p>
    <w:p w14:paraId="0AEF3931">
      <w:pPr>
        <w:tabs>
          <w:tab w:val="left" w:pos="315"/>
        </w:tabs>
        <w:spacing w:line="440" w:lineRule="exact"/>
        <w:ind w:firstLine="480" w:firstLineChars="200"/>
        <w:rPr>
          <w:rFonts w:ascii="宋体" w:hAnsi="宋体" w:cs="宋体"/>
          <w:sz w:val="24"/>
          <w:highlight w:val="none"/>
        </w:rPr>
      </w:pPr>
      <w:r>
        <w:rPr>
          <w:rFonts w:hint="eastAsia" w:ascii="宋体" w:hAnsi="宋体" w:cs="宋体"/>
          <w:sz w:val="24"/>
          <w:highlight w:val="none"/>
        </w:rPr>
        <w:t>5.属甲方管理、使用不当、人为损坏、不可抗力或非保养范围内的原因，而导致电梯设备需要修理、更换的，应由甲方负责。在甲方与乙方签订《产品修理合同》后，由乙方实施修理、更换。</w:t>
      </w:r>
    </w:p>
    <w:p w14:paraId="0043EF53">
      <w:pPr>
        <w:tabs>
          <w:tab w:val="left" w:pos="315"/>
        </w:tabs>
        <w:spacing w:line="440" w:lineRule="exact"/>
        <w:ind w:left="624" w:leftChars="190" w:hanging="225" w:hangingChars="94"/>
        <w:rPr>
          <w:rFonts w:ascii="宋体" w:hAnsi="宋体" w:cs="宋体"/>
          <w:sz w:val="24"/>
          <w:highlight w:val="none"/>
        </w:rPr>
      </w:pPr>
      <w:r>
        <w:rPr>
          <w:rFonts w:hint="eastAsia" w:ascii="宋体" w:hAnsi="宋体" w:cs="宋体"/>
          <w:sz w:val="24"/>
          <w:highlight w:val="none"/>
        </w:rPr>
        <w:t xml:space="preserve">6.甲方指定 </w:t>
      </w:r>
      <w:r>
        <w:rPr>
          <w:rFonts w:hint="eastAsia" w:ascii="宋体" w:hAnsi="宋体" w:cs="宋体"/>
          <w:sz w:val="24"/>
          <w:highlight w:val="none"/>
          <w:u w:val="single"/>
        </w:rPr>
        <w:t xml:space="preserve">朱兵 </w:t>
      </w:r>
      <w:r>
        <w:rPr>
          <w:rFonts w:hint="eastAsia" w:ascii="宋体" w:hAnsi="宋体" w:cs="宋体"/>
          <w:sz w:val="24"/>
          <w:highlight w:val="none"/>
        </w:rPr>
        <w:t>为现场配合人员，联系电话：</w:t>
      </w:r>
      <w:r>
        <w:rPr>
          <w:rFonts w:hint="eastAsia" w:ascii="宋体" w:hAnsi="宋体" w:cs="宋体"/>
          <w:sz w:val="24"/>
          <w:highlight w:val="none"/>
          <w:u w:val="single"/>
        </w:rPr>
        <w:t>13962900197</w:t>
      </w:r>
      <w:r>
        <w:rPr>
          <w:rFonts w:hint="eastAsia" w:ascii="宋体" w:hAnsi="宋体" w:cs="宋体"/>
          <w:sz w:val="24"/>
          <w:highlight w:val="none"/>
        </w:rPr>
        <w:t>。</w:t>
      </w:r>
    </w:p>
    <w:p w14:paraId="0477490E">
      <w:pPr>
        <w:spacing w:line="440" w:lineRule="exact"/>
        <w:rPr>
          <w:rFonts w:ascii="宋体" w:hAnsi="宋体" w:cs="宋体"/>
          <w:b/>
          <w:bCs/>
          <w:sz w:val="24"/>
          <w:highlight w:val="none"/>
        </w:rPr>
      </w:pPr>
      <w:r>
        <w:rPr>
          <w:rFonts w:hint="eastAsia" w:ascii="宋体" w:hAnsi="宋体" w:cs="宋体"/>
          <w:b/>
          <w:bCs/>
          <w:sz w:val="24"/>
          <w:highlight w:val="none"/>
        </w:rPr>
        <w:t>乙方的责任</w:t>
      </w:r>
    </w:p>
    <w:p w14:paraId="6F51E952">
      <w:pPr>
        <w:tabs>
          <w:tab w:val="left" w:pos="720"/>
        </w:tabs>
        <w:spacing w:line="440" w:lineRule="exact"/>
        <w:ind w:firstLine="480" w:firstLineChars="200"/>
        <w:rPr>
          <w:rFonts w:ascii="宋体" w:hAnsi="宋体" w:cs="宋体"/>
          <w:sz w:val="24"/>
          <w:highlight w:val="none"/>
        </w:rPr>
      </w:pPr>
      <w:r>
        <w:rPr>
          <w:rFonts w:hint="eastAsia" w:ascii="宋体" w:hAnsi="宋体" w:cs="宋体"/>
          <w:sz w:val="24"/>
          <w:highlight w:val="none"/>
        </w:rPr>
        <w:t>1.在提供服务时，当甲方保证提供实施服务条件的前提下，应严格遵守甲方有关的规章制度。</w:t>
      </w:r>
    </w:p>
    <w:p w14:paraId="4ECCF322">
      <w:pPr>
        <w:spacing w:line="440" w:lineRule="exact"/>
        <w:ind w:firstLine="480" w:firstLineChars="200"/>
        <w:rPr>
          <w:rFonts w:ascii="宋体" w:hAnsi="宋体" w:cs="宋体"/>
          <w:sz w:val="24"/>
          <w:highlight w:val="none"/>
        </w:rPr>
      </w:pPr>
      <w:r>
        <w:rPr>
          <w:rFonts w:hint="eastAsia" w:ascii="宋体" w:hAnsi="宋体" w:cs="宋体"/>
          <w:sz w:val="24"/>
          <w:highlight w:val="none"/>
        </w:rPr>
        <w:t>2. 严格按照附件一规定的内容提供服务，并按照《产品保养年度作业计划表》所列的项目进行清洁、润滑、调整和检查等保养工作。</w:t>
      </w:r>
    </w:p>
    <w:p w14:paraId="1246D81E">
      <w:pPr>
        <w:spacing w:line="440" w:lineRule="exact"/>
        <w:ind w:firstLine="480" w:firstLineChars="200"/>
        <w:rPr>
          <w:rFonts w:ascii="宋体" w:hAnsi="宋体" w:cs="宋体"/>
          <w:sz w:val="24"/>
          <w:highlight w:val="none"/>
        </w:rPr>
      </w:pPr>
      <w:r>
        <w:rPr>
          <w:rFonts w:hint="eastAsia" w:ascii="宋体" w:hAnsi="宋体" w:cs="宋体"/>
          <w:sz w:val="24"/>
          <w:highlight w:val="none"/>
        </w:rPr>
        <w:t>3.提供全天候应急处理服务，并在接到甲方紧急报修通知后</w:t>
      </w:r>
      <w:r>
        <w:rPr>
          <w:rFonts w:hint="eastAsia" w:ascii="宋体" w:hAnsi="宋体" w:cs="宋体"/>
          <w:sz w:val="24"/>
          <w:highlight w:val="none"/>
          <w:u w:val="single"/>
        </w:rPr>
        <w:t xml:space="preserve">     </w:t>
      </w:r>
      <w:r>
        <w:rPr>
          <w:rFonts w:hint="eastAsia" w:ascii="宋体" w:hAnsi="宋体" w:cs="宋体"/>
          <w:sz w:val="24"/>
          <w:highlight w:val="none"/>
        </w:rPr>
        <w:t>分钟内赶到现场</w:t>
      </w:r>
    </w:p>
    <w:p w14:paraId="141FF05D">
      <w:pPr>
        <w:tabs>
          <w:tab w:val="left" w:pos="840"/>
        </w:tabs>
        <w:spacing w:line="440" w:lineRule="exact"/>
        <w:ind w:left="584" w:hanging="584"/>
        <w:rPr>
          <w:rFonts w:ascii="宋体" w:hAnsi="宋体" w:cs="宋体"/>
          <w:sz w:val="24"/>
          <w:highlight w:val="none"/>
        </w:rPr>
      </w:pPr>
      <w:r>
        <w:rPr>
          <w:rFonts w:hint="eastAsia" w:ascii="宋体" w:hAnsi="宋体" w:cs="宋体"/>
          <w:sz w:val="24"/>
          <w:highlight w:val="none"/>
        </w:rPr>
        <w:t>按照本合同约定的保养方式，提供确保整机正常和安全的运行所需的备品配件。</w:t>
      </w:r>
    </w:p>
    <w:p w14:paraId="6CB13FDC">
      <w:pPr>
        <w:tabs>
          <w:tab w:val="left" w:pos="840"/>
        </w:tabs>
        <w:spacing w:line="440" w:lineRule="exact"/>
        <w:ind w:firstLine="480" w:firstLineChars="200"/>
        <w:rPr>
          <w:rFonts w:ascii="宋体" w:hAnsi="宋体" w:cs="宋体"/>
          <w:sz w:val="24"/>
          <w:highlight w:val="none"/>
        </w:rPr>
      </w:pPr>
      <w:r>
        <w:rPr>
          <w:rFonts w:hint="eastAsia" w:ascii="宋体" w:hAnsi="宋体" w:cs="宋体"/>
          <w:sz w:val="24"/>
          <w:highlight w:val="none"/>
        </w:rPr>
        <w:t>4.配合政府主管部门对有效服务期内的电梯设备实施年检，对政府主管部门提出的涉及乙方保养环节、部位的整改内容、项目及时提供整改。</w:t>
      </w:r>
    </w:p>
    <w:p w14:paraId="4319F011">
      <w:pPr>
        <w:tabs>
          <w:tab w:val="left" w:pos="840"/>
        </w:tabs>
        <w:spacing w:line="440" w:lineRule="exact"/>
        <w:ind w:firstLine="480" w:firstLineChars="200"/>
        <w:rPr>
          <w:rFonts w:ascii="宋体" w:hAnsi="宋体" w:cs="宋体"/>
          <w:sz w:val="24"/>
          <w:highlight w:val="none"/>
        </w:rPr>
      </w:pPr>
      <w:r>
        <w:rPr>
          <w:rFonts w:hint="eastAsia" w:ascii="宋体" w:hAnsi="宋体" w:cs="宋体"/>
          <w:sz w:val="24"/>
          <w:highlight w:val="none"/>
        </w:rPr>
        <w:t>5.在乙方按本合同规定提供有效服务期内，对存在的非保养责任故障，应及时书面通知甲方整改；当存在的故障可能严重影响电梯设备安全运行时，应及时通知甲方暂时停止使用该电梯设备。</w:t>
      </w:r>
    </w:p>
    <w:p w14:paraId="455F7400">
      <w:pPr>
        <w:tabs>
          <w:tab w:val="left" w:pos="840"/>
        </w:tabs>
        <w:spacing w:line="440" w:lineRule="exact"/>
        <w:ind w:firstLine="480" w:firstLineChars="200"/>
        <w:rPr>
          <w:rFonts w:ascii="宋体" w:hAnsi="宋体" w:cs="宋体"/>
          <w:sz w:val="24"/>
          <w:highlight w:val="none"/>
        </w:rPr>
      </w:pPr>
      <w:r>
        <w:rPr>
          <w:rFonts w:hint="eastAsia" w:ascii="宋体" w:hAnsi="宋体" w:cs="宋体"/>
          <w:sz w:val="24"/>
          <w:highlight w:val="none"/>
        </w:rPr>
        <w:t>6.配合政府主管部门实施年检。</w:t>
      </w:r>
    </w:p>
    <w:p w14:paraId="309810B4">
      <w:pPr>
        <w:tabs>
          <w:tab w:val="left" w:pos="840"/>
        </w:tabs>
        <w:spacing w:line="440" w:lineRule="exact"/>
        <w:ind w:left="580" w:hanging="580"/>
        <w:rPr>
          <w:rFonts w:ascii="宋体" w:hAnsi="宋体" w:cs="宋体"/>
          <w:bCs/>
          <w:sz w:val="24"/>
          <w:highlight w:val="none"/>
        </w:rPr>
      </w:pPr>
      <w:r>
        <w:rPr>
          <w:rFonts w:hint="eastAsia" w:ascii="宋体" w:hAnsi="宋体" w:cs="宋体"/>
          <w:sz w:val="24"/>
          <w:highlight w:val="none"/>
        </w:rPr>
        <w:t xml:space="preserve">    7.免费</w:t>
      </w:r>
      <w:r>
        <w:rPr>
          <w:rFonts w:hint="eastAsia" w:ascii="宋体" w:hAnsi="宋体" w:cs="宋体"/>
          <w:bCs/>
          <w:sz w:val="24"/>
          <w:highlight w:val="none"/>
        </w:rPr>
        <w:t>调换在服务期因保养不当损坏的零部件。</w:t>
      </w:r>
    </w:p>
    <w:p w14:paraId="213916DC">
      <w:pPr>
        <w:tabs>
          <w:tab w:val="left" w:pos="840"/>
        </w:tabs>
        <w:spacing w:line="440" w:lineRule="exact"/>
        <w:ind w:firstLine="480" w:firstLineChars="200"/>
        <w:rPr>
          <w:rFonts w:ascii="宋体" w:hAnsi="宋体" w:cs="宋体"/>
          <w:bCs/>
          <w:sz w:val="24"/>
          <w:highlight w:val="none"/>
        </w:rPr>
      </w:pPr>
      <w:r>
        <w:rPr>
          <w:rFonts w:hint="eastAsia" w:ascii="宋体" w:hAnsi="宋体" w:cs="宋体"/>
          <w:bCs/>
          <w:sz w:val="24"/>
          <w:highlight w:val="none"/>
        </w:rPr>
        <w:t xml:space="preserve">8.乙方指定 </w:t>
      </w:r>
      <w:r>
        <w:rPr>
          <w:rFonts w:hint="eastAsia" w:ascii="宋体" w:hAnsi="宋体" w:cs="宋体"/>
          <w:bCs/>
          <w:sz w:val="24"/>
          <w:highlight w:val="none"/>
          <w:u w:val="single"/>
        </w:rPr>
        <w:t xml:space="preserve">  </w:t>
      </w:r>
      <w:r>
        <w:rPr>
          <w:rFonts w:hint="eastAsia" w:ascii="宋体" w:hAnsi="宋体" w:cs="宋体"/>
          <w:bCs/>
          <w:sz w:val="24"/>
          <w:highlight w:val="none"/>
        </w:rPr>
        <w:t>为维保项目负责人，联系电话：</w:t>
      </w:r>
      <w:r>
        <w:rPr>
          <w:rFonts w:hint="eastAsia" w:ascii="宋体" w:hAnsi="宋体" w:cs="宋体"/>
          <w:bCs/>
          <w:sz w:val="24"/>
          <w:highlight w:val="none"/>
          <w:u w:val="single"/>
        </w:rPr>
        <w:t xml:space="preserve">       </w:t>
      </w:r>
    </w:p>
    <w:p w14:paraId="525B502A">
      <w:pPr>
        <w:tabs>
          <w:tab w:val="left" w:pos="840"/>
        </w:tabs>
        <w:spacing w:line="440" w:lineRule="exact"/>
        <w:rPr>
          <w:rFonts w:ascii="宋体" w:hAnsi="宋体" w:cs="宋体"/>
          <w:b/>
          <w:bCs/>
          <w:sz w:val="24"/>
          <w:highlight w:val="none"/>
        </w:rPr>
      </w:pPr>
      <w:r>
        <w:rPr>
          <w:rFonts w:hint="eastAsia" w:ascii="宋体" w:hAnsi="宋体" w:cs="宋体"/>
          <w:b/>
          <w:bCs/>
          <w:sz w:val="24"/>
          <w:highlight w:val="none"/>
        </w:rPr>
        <w:t>八</w:t>
      </w:r>
      <w:r>
        <w:rPr>
          <w:rFonts w:hint="eastAsia" w:ascii="宋体" w:hAnsi="宋体" w:cs="宋体"/>
          <w:sz w:val="24"/>
          <w:highlight w:val="none"/>
        </w:rPr>
        <w:t>、</w:t>
      </w:r>
      <w:r>
        <w:rPr>
          <w:rFonts w:hint="eastAsia" w:ascii="宋体" w:hAnsi="宋体" w:cs="宋体"/>
          <w:b/>
          <w:bCs/>
          <w:sz w:val="24"/>
          <w:highlight w:val="none"/>
        </w:rPr>
        <w:t>电梯设备规格及服务费用</w:t>
      </w:r>
    </w:p>
    <w:p w14:paraId="049CB1B3">
      <w:pPr>
        <w:spacing w:line="440" w:lineRule="exact"/>
        <w:ind w:firstLine="480"/>
        <w:rPr>
          <w:rFonts w:ascii="宋体" w:hAnsi="宋体" w:cs="宋体"/>
          <w:sz w:val="24"/>
          <w:highlight w:val="none"/>
        </w:rPr>
      </w:pPr>
      <w:r>
        <w:rPr>
          <w:rFonts w:hint="eastAsia" w:ascii="宋体" w:hAnsi="宋体" w:cs="宋体"/>
          <w:sz w:val="24"/>
          <w:highlight w:val="none"/>
        </w:rPr>
        <w:t>根据服务形式和服务内容，服务期含税（增值税税率为： %）保养费为：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 电梯设备规格:</w:t>
      </w:r>
    </w:p>
    <w:tbl>
      <w:tblPr>
        <w:tblStyle w:val="54"/>
        <w:tblW w:w="85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08"/>
        <w:gridCol w:w="2631"/>
        <w:gridCol w:w="1395"/>
        <w:gridCol w:w="1335"/>
        <w:gridCol w:w="1095"/>
        <w:gridCol w:w="945"/>
      </w:tblGrid>
      <w:tr w14:paraId="78C79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Pr>
        <w:tc>
          <w:tcPr>
            <w:tcW w:w="1108" w:type="dxa"/>
            <w:tcBorders>
              <w:top w:val="single" w:color="auto" w:sz="12" w:space="0"/>
              <w:bottom w:val="double" w:color="auto" w:sz="4" w:space="0"/>
            </w:tcBorders>
            <w:vAlign w:val="center"/>
          </w:tcPr>
          <w:p w14:paraId="5E3E8D93">
            <w:pPr>
              <w:spacing w:line="296" w:lineRule="exact"/>
              <w:jc w:val="center"/>
              <w:rPr>
                <w:rFonts w:ascii="Arial" w:hAnsi="Arial" w:eastAsia="黑体" w:cs="Arial"/>
                <w:b/>
                <w:bCs/>
                <w:sz w:val="18"/>
                <w:szCs w:val="18"/>
                <w:highlight w:val="none"/>
              </w:rPr>
            </w:pPr>
            <w:r>
              <w:rPr>
                <w:rFonts w:hint="eastAsia" w:ascii="Arial" w:hAnsi="Arial" w:eastAsia="黑体" w:cs="Arial"/>
                <w:b/>
                <w:bCs/>
                <w:sz w:val="18"/>
                <w:szCs w:val="18"/>
                <w:highlight w:val="none"/>
              </w:rPr>
              <w:t>序号</w:t>
            </w:r>
          </w:p>
        </w:tc>
        <w:tc>
          <w:tcPr>
            <w:tcW w:w="2631" w:type="dxa"/>
            <w:tcBorders>
              <w:top w:val="single" w:color="auto" w:sz="12" w:space="0"/>
              <w:bottom w:val="double" w:color="auto" w:sz="4" w:space="0"/>
            </w:tcBorders>
            <w:vAlign w:val="center"/>
          </w:tcPr>
          <w:p w14:paraId="4899E629">
            <w:pPr>
              <w:spacing w:line="296" w:lineRule="exact"/>
              <w:jc w:val="center"/>
              <w:rPr>
                <w:rFonts w:ascii="Arial" w:hAnsi="Arial" w:eastAsia="黑体" w:cs="Arial"/>
                <w:b/>
                <w:bCs/>
                <w:sz w:val="18"/>
                <w:highlight w:val="none"/>
              </w:rPr>
            </w:pPr>
            <w:r>
              <w:rPr>
                <w:rFonts w:hint="eastAsia" w:ascii="Arial" w:hAnsi="Arial" w:eastAsia="黑体" w:cs="Arial"/>
                <w:b/>
                <w:bCs/>
                <w:sz w:val="18"/>
                <w:szCs w:val="18"/>
                <w:highlight w:val="none"/>
              </w:rPr>
              <w:t>电梯位置</w:t>
            </w:r>
          </w:p>
        </w:tc>
        <w:tc>
          <w:tcPr>
            <w:tcW w:w="1395" w:type="dxa"/>
            <w:tcBorders>
              <w:top w:val="single" w:color="auto" w:sz="12" w:space="0"/>
              <w:bottom w:val="double" w:color="auto" w:sz="4" w:space="0"/>
            </w:tcBorders>
            <w:vAlign w:val="center"/>
          </w:tcPr>
          <w:p w14:paraId="16E8CF67">
            <w:pPr>
              <w:spacing w:line="296" w:lineRule="exact"/>
              <w:jc w:val="center"/>
              <w:rPr>
                <w:rFonts w:ascii="Arial" w:hAnsi="Arial" w:eastAsia="黑体" w:cs="Arial"/>
                <w:b/>
                <w:bCs/>
                <w:sz w:val="18"/>
                <w:highlight w:val="none"/>
              </w:rPr>
            </w:pPr>
            <w:r>
              <w:rPr>
                <w:rFonts w:hint="eastAsia" w:ascii="Arial" w:hAnsi="Arial" w:eastAsia="黑体" w:cs="Arial"/>
                <w:b/>
                <w:bCs/>
                <w:sz w:val="18"/>
                <w:szCs w:val="18"/>
                <w:highlight w:val="none"/>
              </w:rPr>
              <w:t>品牌</w:t>
            </w:r>
          </w:p>
        </w:tc>
        <w:tc>
          <w:tcPr>
            <w:tcW w:w="1335" w:type="dxa"/>
            <w:tcBorders>
              <w:top w:val="single" w:color="auto" w:sz="12" w:space="0"/>
              <w:bottom w:val="double" w:color="auto" w:sz="4" w:space="0"/>
            </w:tcBorders>
            <w:vAlign w:val="center"/>
          </w:tcPr>
          <w:p w14:paraId="17744FC0">
            <w:pPr>
              <w:spacing w:line="296" w:lineRule="exact"/>
              <w:jc w:val="center"/>
              <w:rPr>
                <w:rFonts w:ascii="Arial" w:hAnsi="Arial" w:eastAsia="黑体" w:cs="Arial"/>
                <w:b/>
                <w:bCs/>
                <w:sz w:val="18"/>
                <w:highlight w:val="none"/>
              </w:rPr>
            </w:pPr>
            <w:r>
              <w:rPr>
                <w:rFonts w:hint="eastAsia" w:ascii="Arial" w:hAnsi="Arial" w:eastAsia="黑体" w:cs="Arial"/>
                <w:b/>
                <w:bCs/>
                <w:sz w:val="18"/>
                <w:szCs w:val="18"/>
                <w:highlight w:val="none"/>
              </w:rPr>
              <w:t>型</w:t>
            </w:r>
            <w:r>
              <w:rPr>
                <w:rFonts w:ascii="Arial" w:hAnsi="Arial" w:eastAsia="黑体" w:cs="Arial"/>
                <w:b/>
                <w:bCs/>
                <w:sz w:val="18"/>
                <w:szCs w:val="18"/>
                <w:highlight w:val="none"/>
              </w:rPr>
              <w:t xml:space="preserve">  </w:t>
            </w:r>
            <w:r>
              <w:rPr>
                <w:rFonts w:hint="eastAsia" w:ascii="Arial" w:hAnsi="Arial" w:eastAsia="黑体" w:cs="Arial"/>
                <w:b/>
                <w:bCs/>
                <w:sz w:val="18"/>
                <w:szCs w:val="18"/>
                <w:highlight w:val="none"/>
              </w:rPr>
              <w:t>号</w:t>
            </w:r>
          </w:p>
        </w:tc>
        <w:tc>
          <w:tcPr>
            <w:tcW w:w="1095" w:type="dxa"/>
            <w:tcBorders>
              <w:top w:val="single" w:color="auto" w:sz="12" w:space="0"/>
              <w:bottom w:val="double" w:color="auto" w:sz="4" w:space="0"/>
            </w:tcBorders>
            <w:vAlign w:val="center"/>
          </w:tcPr>
          <w:p w14:paraId="47B99C1D">
            <w:pPr>
              <w:spacing w:line="296" w:lineRule="exact"/>
              <w:jc w:val="center"/>
              <w:rPr>
                <w:rFonts w:ascii="Arial" w:hAnsi="Arial" w:eastAsia="黑体" w:cs="Arial"/>
                <w:b/>
                <w:bCs/>
                <w:sz w:val="18"/>
                <w:szCs w:val="18"/>
                <w:highlight w:val="none"/>
              </w:rPr>
            </w:pPr>
            <w:r>
              <w:rPr>
                <w:rFonts w:hint="eastAsia" w:ascii="Arial" w:hAnsi="Arial" w:eastAsia="黑体" w:cs="Arial"/>
                <w:b/>
                <w:bCs/>
                <w:sz w:val="18"/>
                <w:szCs w:val="18"/>
                <w:highlight w:val="none"/>
              </w:rPr>
              <w:t>层站</w:t>
            </w:r>
          </w:p>
          <w:p w14:paraId="5EB928B2">
            <w:pPr>
              <w:spacing w:line="296" w:lineRule="exact"/>
              <w:jc w:val="center"/>
              <w:rPr>
                <w:rFonts w:ascii="Arial" w:hAnsi="Arial" w:eastAsia="黑体" w:cs="Arial"/>
                <w:b/>
                <w:bCs/>
                <w:sz w:val="18"/>
                <w:highlight w:val="none"/>
              </w:rPr>
            </w:pPr>
            <w:r>
              <w:rPr>
                <w:rFonts w:eastAsia="黑体"/>
                <w:sz w:val="18"/>
                <w:szCs w:val="18"/>
                <w:highlight w:val="none"/>
              </w:rPr>
              <w:t>(</w:t>
            </w:r>
            <w:r>
              <w:rPr>
                <w:rFonts w:hint="eastAsia" w:eastAsia="黑体"/>
                <w:sz w:val="18"/>
                <w:szCs w:val="18"/>
                <w:highlight w:val="none"/>
              </w:rPr>
              <w:t>站</w:t>
            </w:r>
            <w:r>
              <w:rPr>
                <w:rFonts w:eastAsia="黑体"/>
                <w:sz w:val="18"/>
                <w:szCs w:val="18"/>
                <w:highlight w:val="none"/>
              </w:rPr>
              <w:t>/</w:t>
            </w:r>
            <w:r>
              <w:rPr>
                <w:rFonts w:hint="eastAsia" w:eastAsia="黑体"/>
                <w:sz w:val="18"/>
                <w:szCs w:val="18"/>
                <w:highlight w:val="none"/>
              </w:rPr>
              <w:t>门</w:t>
            </w:r>
            <w:r>
              <w:rPr>
                <w:rFonts w:eastAsia="黑体"/>
                <w:sz w:val="18"/>
                <w:szCs w:val="18"/>
                <w:highlight w:val="none"/>
              </w:rPr>
              <w:t>)</w:t>
            </w:r>
          </w:p>
        </w:tc>
        <w:tc>
          <w:tcPr>
            <w:tcW w:w="945" w:type="dxa"/>
            <w:tcBorders>
              <w:top w:val="single" w:color="auto" w:sz="12" w:space="0"/>
              <w:bottom w:val="double" w:color="auto" w:sz="4" w:space="0"/>
            </w:tcBorders>
            <w:vAlign w:val="center"/>
          </w:tcPr>
          <w:p w14:paraId="116B1C14">
            <w:pPr>
              <w:spacing w:line="296" w:lineRule="exact"/>
              <w:jc w:val="center"/>
              <w:rPr>
                <w:rFonts w:ascii="Arial" w:hAnsi="Arial" w:eastAsia="黑体" w:cs="Arial"/>
                <w:b/>
                <w:bCs/>
                <w:sz w:val="18"/>
                <w:szCs w:val="18"/>
                <w:highlight w:val="none"/>
              </w:rPr>
            </w:pPr>
            <w:r>
              <w:rPr>
                <w:rFonts w:hint="eastAsia" w:ascii="Arial" w:hAnsi="Arial" w:eastAsia="黑体" w:cs="Arial"/>
                <w:b/>
                <w:bCs/>
                <w:sz w:val="18"/>
                <w:szCs w:val="18"/>
                <w:highlight w:val="none"/>
              </w:rPr>
              <w:t>数量</w:t>
            </w:r>
          </w:p>
          <w:p w14:paraId="41EDEE4B">
            <w:pPr>
              <w:spacing w:line="296" w:lineRule="exact"/>
              <w:jc w:val="center"/>
              <w:rPr>
                <w:rFonts w:ascii="Arial" w:hAnsi="Arial" w:eastAsia="黑体" w:cs="Arial"/>
                <w:b/>
                <w:bCs/>
                <w:sz w:val="18"/>
                <w:highlight w:val="none"/>
              </w:rPr>
            </w:pPr>
            <w:r>
              <w:rPr>
                <w:rFonts w:ascii="宋体" w:hAnsi="宋体" w:cs="Arial"/>
                <w:sz w:val="18"/>
                <w:szCs w:val="18"/>
                <w:highlight w:val="none"/>
              </w:rPr>
              <w:t>(</w:t>
            </w:r>
            <w:r>
              <w:rPr>
                <w:rFonts w:hint="eastAsia" w:ascii="宋体" w:hAnsi="宋体" w:cs="Arial"/>
                <w:sz w:val="18"/>
                <w:szCs w:val="18"/>
                <w:highlight w:val="none"/>
              </w:rPr>
              <w:t>台</w:t>
            </w:r>
            <w:r>
              <w:rPr>
                <w:rFonts w:ascii="宋体" w:hAnsi="宋体" w:cs="Arial"/>
                <w:sz w:val="18"/>
                <w:szCs w:val="18"/>
                <w:highlight w:val="none"/>
              </w:rPr>
              <w:t>)</w:t>
            </w:r>
          </w:p>
        </w:tc>
      </w:tr>
      <w:tr w14:paraId="436CF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59" w:hRule="exact"/>
        </w:trPr>
        <w:tc>
          <w:tcPr>
            <w:tcW w:w="1108" w:type="dxa"/>
            <w:tcBorders>
              <w:top w:val="double" w:color="auto" w:sz="4" w:space="0"/>
              <w:bottom w:val="double" w:color="auto" w:sz="4" w:space="0"/>
            </w:tcBorders>
            <w:vAlign w:val="center"/>
          </w:tcPr>
          <w:p w14:paraId="004E87D3">
            <w:pPr>
              <w:jc w:val="center"/>
              <w:rPr>
                <w:color w:val="000000"/>
                <w:sz w:val="22"/>
                <w:szCs w:val="22"/>
                <w:highlight w:val="none"/>
              </w:rPr>
            </w:pPr>
            <w:r>
              <w:rPr>
                <w:rFonts w:hint="eastAsia"/>
                <w:color w:val="000000"/>
                <w:sz w:val="22"/>
                <w:szCs w:val="22"/>
                <w:highlight w:val="none"/>
              </w:rPr>
              <w:t>1</w:t>
            </w:r>
          </w:p>
        </w:tc>
        <w:tc>
          <w:tcPr>
            <w:tcW w:w="2631" w:type="dxa"/>
            <w:tcBorders>
              <w:top w:val="double" w:color="auto" w:sz="4" w:space="0"/>
              <w:bottom w:val="double" w:color="auto" w:sz="4" w:space="0"/>
            </w:tcBorders>
            <w:vAlign w:val="center"/>
          </w:tcPr>
          <w:p w14:paraId="1FA3FE6E">
            <w:pPr>
              <w:jc w:val="center"/>
              <w:rPr>
                <w:rFonts w:ascii="宋体" w:cs="宋体"/>
                <w:color w:val="000000"/>
                <w:sz w:val="22"/>
                <w:szCs w:val="22"/>
                <w:highlight w:val="none"/>
              </w:rPr>
            </w:pPr>
            <w:r>
              <w:rPr>
                <w:rFonts w:hint="eastAsia"/>
                <w:color w:val="000000"/>
                <w:sz w:val="22"/>
                <w:szCs w:val="22"/>
                <w:highlight w:val="none"/>
              </w:rPr>
              <w:t>裙楼北货梯</w:t>
            </w:r>
          </w:p>
        </w:tc>
        <w:tc>
          <w:tcPr>
            <w:tcW w:w="1395" w:type="dxa"/>
            <w:tcBorders>
              <w:top w:val="double" w:color="auto" w:sz="4" w:space="0"/>
              <w:bottom w:val="double" w:color="auto" w:sz="4" w:space="0"/>
            </w:tcBorders>
            <w:vAlign w:val="center"/>
          </w:tcPr>
          <w:p w14:paraId="59BE8177">
            <w:pPr>
              <w:jc w:val="center"/>
              <w:rPr>
                <w:rFonts w:ascii="宋体" w:cs="宋体"/>
                <w:color w:val="000000"/>
                <w:sz w:val="22"/>
                <w:szCs w:val="22"/>
                <w:highlight w:val="none"/>
              </w:rPr>
            </w:pPr>
            <w:r>
              <w:rPr>
                <w:rFonts w:hint="eastAsia"/>
                <w:color w:val="000000"/>
                <w:sz w:val="22"/>
                <w:szCs w:val="22"/>
                <w:highlight w:val="none"/>
              </w:rPr>
              <w:t>三菱</w:t>
            </w:r>
          </w:p>
        </w:tc>
        <w:tc>
          <w:tcPr>
            <w:tcW w:w="1335" w:type="dxa"/>
            <w:tcBorders>
              <w:top w:val="double" w:color="auto" w:sz="4" w:space="0"/>
              <w:bottom w:val="double" w:color="auto" w:sz="4" w:space="0"/>
            </w:tcBorders>
            <w:vAlign w:val="center"/>
          </w:tcPr>
          <w:p w14:paraId="42EEB5A0">
            <w:pPr>
              <w:jc w:val="center"/>
              <w:rPr>
                <w:rFonts w:ascii="宋体" w:cs="宋体"/>
                <w:color w:val="000000"/>
                <w:sz w:val="22"/>
                <w:szCs w:val="22"/>
                <w:highlight w:val="none"/>
              </w:rPr>
            </w:pPr>
            <w:r>
              <w:rPr>
                <w:color w:val="000000"/>
                <w:sz w:val="22"/>
                <w:szCs w:val="22"/>
                <w:highlight w:val="none"/>
              </w:rPr>
              <w:t>HOPE-2G</w:t>
            </w:r>
          </w:p>
        </w:tc>
        <w:tc>
          <w:tcPr>
            <w:tcW w:w="1095" w:type="dxa"/>
            <w:tcBorders>
              <w:top w:val="double" w:color="auto" w:sz="4" w:space="0"/>
              <w:bottom w:val="double" w:color="auto" w:sz="4" w:space="0"/>
            </w:tcBorders>
            <w:vAlign w:val="center"/>
          </w:tcPr>
          <w:p w14:paraId="4B0A7597">
            <w:pPr>
              <w:jc w:val="center"/>
              <w:rPr>
                <w:rFonts w:ascii="宋体" w:cs="宋体"/>
                <w:color w:val="000000"/>
                <w:sz w:val="22"/>
                <w:szCs w:val="22"/>
                <w:highlight w:val="none"/>
              </w:rPr>
            </w:pPr>
            <w:r>
              <w:rPr>
                <w:color w:val="000000"/>
                <w:sz w:val="22"/>
                <w:szCs w:val="22"/>
                <w:highlight w:val="none"/>
              </w:rPr>
              <w:t>4/4</w:t>
            </w:r>
          </w:p>
        </w:tc>
        <w:tc>
          <w:tcPr>
            <w:tcW w:w="945" w:type="dxa"/>
            <w:tcBorders>
              <w:top w:val="double" w:color="auto" w:sz="4" w:space="0"/>
              <w:bottom w:val="double" w:color="auto" w:sz="4" w:space="0"/>
            </w:tcBorders>
            <w:vAlign w:val="center"/>
          </w:tcPr>
          <w:p w14:paraId="6E89BF5E">
            <w:pPr>
              <w:jc w:val="center"/>
              <w:rPr>
                <w:sz w:val="20"/>
                <w:highlight w:val="none"/>
              </w:rPr>
            </w:pPr>
            <w:r>
              <w:rPr>
                <w:sz w:val="20"/>
                <w:highlight w:val="none"/>
              </w:rPr>
              <w:t>1</w:t>
            </w:r>
          </w:p>
        </w:tc>
      </w:tr>
      <w:tr w14:paraId="167A8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59" w:hRule="exact"/>
        </w:trPr>
        <w:tc>
          <w:tcPr>
            <w:tcW w:w="1108" w:type="dxa"/>
            <w:tcBorders>
              <w:top w:val="double" w:color="auto" w:sz="4" w:space="0"/>
              <w:bottom w:val="double" w:color="auto" w:sz="4" w:space="0"/>
            </w:tcBorders>
            <w:vAlign w:val="center"/>
          </w:tcPr>
          <w:p w14:paraId="3C4505CC">
            <w:pPr>
              <w:jc w:val="center"/>
              <w:rPr>
                <w:color w:val="000000"/>
                <w:sz w:val="22"/>
                <w:szCs w:val="22"/>
                <w:highlight w:val="none"/>
              </w:rPr>
            </w:pPr>
            <w:r>
              <w:rPr>
                <w:rFonts w:hint="eastAsia"/>
                <w:color w:val="000000"/>
                <w:sz w:val="22"/>
                <w:szCs w:val="22"/>
                <w:highlight w:val="none"/>
              </w:rPr>
              <w:t>2</w:t>
            </w:r>
          </w:p>
        </w:tc>
        <w:tc>
          <w:tcPr>
            <w:tcW w:w="2631" w:type="dxa"/>
            <w:tcBorders>
              <w:top w:val="double" w:color="auto" w:sz="4" w:space="0"/>
              <w:bottom w:val="double" w:color="auto" w:sz="4" w:space="0"/>
            </w:tcBorders>
            <w:vAlign w:val="center"/>
          </w:tcPr>
          <w:p w14:paraId="6DA3E616">
            <w:pPr>
              <w:jc w:val="center"/>
              <w:rPr>
                <w:rFonts w:ascii="宋体" w:cs="宋体"/>
                <w:color w:val="000000"/>
                <w:sz w:val="22"/>
                <w:szCs w:val="22"/>
                <w:highlight w:val="none"/>
              </w:rPr>
            </w:pPr>
            <w:r>
              <w:rPr>
                <w:rFonts w:hint="eastAsia" w:ascii="宋体" w:cs="宋体"/>
                <w:color w:val="000000"/>
                <w:sz w:val="22"/>
                <w:szCs w:val="22"/>
                <w:highlight w:val="none"/>
              </w:rPr>
              <w:t>南府喜宴</w:t>
            </w:r>
          </w:p>
        </w:tc>
        <w:tc>
          <w:tcPr>
            <w:tcW w:w="1395" w:type="dxa"/>
            <w:tcBorders>
              <w:top w:val="double" w:color="auto" w:sz="4" w:space="0"/>
              <w:bottom w:val="double" w:color="auto" w:sz="4" w:space="0"/>
            </w:tcBorders>
            <w:vAlign w:val="center"/>
          </w:tcPr>
          <w:p w14:paraId="02610A3F">
            <w:pPr>
              <w:jc w:val="center"/>
              <w:rPr>
                <w:rFonts w:ascii="宋体" w:cs="宋体"/>
                <w:color w:val="000000"/>
                <w:sz w:val="22"/>
                <w:szCs w:val="22"/>
                <w:highlight w:val="none"/>
              </w:rPr>
            </w:pPr>
            <w:r>
              <w:rPr>
                <w:rFonts w:hint="eastAsia"/>
                <w:color w:val="000000"/>
                <w:sz w:val="22"/>
                <w:szCs w:val="22"/>
                <w:highlight w:val="none"/>
              </w:rPr>
              <w:t>三菱</w:t>
            </w:r>
          </w:p>
        </w:tc>
        <w:tc>
          <w:tcPr>
            <w:tcW w:w="1335" w:type="dxa"/>
            <w:tcBorders>
              <w:top w:val="double" w:color="auto" w:sz="4" w:space="0"/>
              <w:bottom w:val="double" w:color="auto" w:sz="4" w:space="0"/>
            </w:tcBorders>
            <w:vAlign w:val="center"/>
          </w:tcPr>
          <w:p w14:paraId="63A2ABD0">
            <w:pPr>
              <w:jc w:val="center"/>
              <w:rPr>
                <w:rFonts w:ascii="宋体" w:cs="宋体"/>
                <w:color w:val="000000"/>
                <w:sz w:val="22"/>
                <w:szCs w:val="22"/>
                <w:highlight w:val="none"/>
              </w:rPr>
            </w:pPr>
            <w:r>
              <w:rPr>
                <w:color w:val="000000"/>
                <w:sz w:val="22"/>
                <w:szCs w:val="22"/>
                <w:highlight w:val="none"/>
              </w:rPr>
              <w:t>MAXIEZ-LZ</w:t>
            </w:r>
          </w:p>
        </w:tc>
        <w:tc>
          <w:tcPr>
            <w:tcW w:w="1095" w:type="dxa"/>
            <w:tcBorders>
              <w:top w:val="double" w:color="auto" w:sz="4" w:space="0"/>
              <w:bottom w:val="double" w:color="auto" w:sz="4" w:space="0"/>
            </w:tcBorders>
            <w:vAlign w:val="center"/>
          </w:tcPr>
          <w:p w14:paraId="2F462E01">
            <w:pPr>
              <w:jc w:val="center"/>
              <w:rPr>
                <w:rFonts w:ascii="宋体" w:cs="宋体"/>
                <w:color w:val="000000"/>
                <w:sz w:val="22"/>
                <w:szCs w:val="22"/>
                <w:highlight w:val="none"/>
              </w:rPr>
            </w:pPr>
            <w:r>
              <w:rPr>
                <w:color w:val="000000"/>
                <w:sz w:val="22"/>
                <w:szCs w:val="22"/>
                <w:highlight w:val="none"/>
              </w:rPr>
              <w:t>3/3</w:t>
            </w:r>
          </w:p>
        </w:tc>
        <w:tc>
          <w:tcPr>
            <w:tcW w:w="945" w:type="dxa"/>
            <w:tcBorders>
              <w:top w:val="double" w:color="auto" w:sz="4" w:space="0"/>
              <w:bottom w:val="double" w:color="auto" w:sz="4" w:space="0"/>
            </w:tcBorders>
            <w:vAlign w:val="center"/>
          </w:tcPr>
          <w:p w14:paraId="56F8E278">
            <w:pPr>
              <w:jc w:val="center"/>
              <w:rPr>
                <w:highlight w:val="none"/>
              </w:rPr>
            </w:pPr>
            <w:r>
              <w:rPr>
                <w:rFonts w:hint="eastAsia"/>
                <w:sz w:val="20"/>
                <w:highlight w:val="none"/>
              </w:rPr>
              <w:t>2</w:t>
            </w:r>
          </w:p>
        </w:tc>
      </w:tr>
      <w:tr w14:paraId="4B5EF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59" w:hRule="exact"/>
        </w:trPr>
        <w:tc>
          <w:tcPr>
            <w:tcW w:w="1108" w:type="dxa"/>
            <w:tcBorders>
              <w:top w:val="double" w:color="auto" w:sz="4" w:space="0"/>
              <w:bottom w:val="double" w:color="auto" w:sz="4" w:space="0"/>
            </w:tcBorders>
            <w:vAlign w:val="center"/>
          </w:tcPr>
          <w:p w14:paraId="6B088DED">
            <w:pPr>
              <w:jc w:val="center"/>
              <w:rPr>
                <w:color w:val="000000"/>
                <w:sz w:val="22"/>
                <w:szCs w:val="22"/>
                <w:highlight w:val="none"/>
              </w:rPr>
            </w:pPr>
            <w:r>
              <w:rPr>
                <w:rFonts w:hint="eastAsia"/>
                <w:color w:val="000000"/>
                <w:sz w:val="22"/>
                <w:szCs w:val="22"/>
                <w:highlight w:val="none"/>
              </w:rPr>
              <w:t>3</w:t>
            </w:r>
          </w:p>
        </w:tc>
        <w:tc>
          <w:tcPr>
            <w:tcW w:w="2631" w:type="dxa"/>
            <w:tcBorders>
              <w:top w:val="double" w:color="auto" w:sz="4" w:space="0"/>
              <w:bottom w:val="double" w:color="auto" w:sz="4" w:space="0"/>
            </w:tcBorders>
            <w:vAlign w:val="center"/>
          </w:tcPr>
          <w:p w14:paraId="1A599FDE">
            <w:pPr>
              <w:jc w:val="center"/>
              <w:rPr>
                <w:rFonts w:ascii="宋体" w:cs="宋体"/>
                <w:color w:val="000000"/>
                <w:sz w:val="22"/>
                <w:szCs w:val="22"/>
                <w:highlight w:val="none"/>
              </w:rPr>
            </w:pPr>
            <w:r>
              <w:rPr>
                <w:rFonts w:hint="eastAsia"/>
                <w:color w:val="000000"/>
                <w:sz w:val="22"/>
                <w:szCs w:val="22"/>
                <w:highlight w:val="none"/>
              </w:rPr>
              <w:t>北京银行南梯</w:t>
            </w:r>
          </w:p>
        </w:tc>
        <w:tc>
          <w:tcPr>
            <w:tcW w:w="1395" w:type="dxa"/>
            <w:tcBorders>
              <w:top w:val="double" w:color="auto" w:sz="4" w:space="0"/>
              <w:bottom w:val="double" w:color="auto" w:sz="4" w:space="0"/>
            </w:tcBorders>
            <w:vAlign w:val="center"/>
          </w:tcPr>
          <w:p w14:paraId="7F110BAA">
            <w:pPr>
              <w:jc w:val="center"/>
              <w:rPr>
                <w:rFonts w:ascii="宋体" w:cs="宋体"/>
                <w:color w:val="000000"/>
                <w:sz w:val="22"/>
                <w:szCs w:val="22"/>
                <w:highlight w:val="none"/>
              </w:rPr>
            </w:pPr>
            <w:r>
              <w:rPr>
                <w:rFonts w:hint="eastAsia"/>
                <w:color w:val="000000"/>
                <w:sz w:val="22"/>
                <w:szCs w:val="22"/>
                <w:highlight w:val="none"/>
              </w:rPr>
              <w:t>三菱</w:t>
            </w:r>
          </w:p>
        </w:tc>
        <w:tc>
          <w:tcPr>
            <w:tcW w:w="1335" w:type="dxa"/>
            <w:tcBorders>
              <w:top w:val="double" w:color="auto" w:sz="4" w:space="0"/>
              <w:bottom w:val="double" w:color="auto" w:sz="4" w:space="0"/>
            </w:tcBorders>
            <w:vAlign w:val="center"/>
          </w:tcPr>
          <w:p w14:paraId="48D1C95C">
            <w:pPr>
              <w:jc w:val="center"/>
              <w:rPr>
                <w:rFonts w:ascii="宋体" w:cs="宋体"/>
                <w:color w:val="000000"/>
                <w:sz w:val="22"/>
                <w:szCs w:val="22"/>
                <w:highlight w:val="none"/>
              </w:rPr>
            </w:pPr>
            <w:r>
              <w:rPr>
                <w:color w:val="000000"/>
                <w:sz w:val="22"/>
                <w:szCs w:val="22"/>
                <w:highlight w:val="none"/>
              </w:rPr>
              <w:t>MAXIEZ-LZ</w:t>
            </w:r>
          </w:p>
        </w:tc>
        <w:tc>
          <w:tcPr>
            <w:tcW w:w="1095" w:type="dxa"/>
            <w:tcBorders>
              <w:top w:val="double" w:color="auto" w:sz="4" w:space="0"/>
              <w:bottom w:val="double" w:color="auto" w:sz="4" w:space="0"/>
            </w:tcBorders>
            <w:vAlign w:val="center"/>
          </w:tcPr>
          <w:p w14:paraId="249A6E56">
            <w:pPr>
              <w:jc w:val="center"/>
              <w:rPr>
                <w:rFonts w:ascii="宋体" w:cs="宋体"/>
                <w:color w:val="000000"/>
                <w:sz w:val="22"/>
                <w:szCs w:val="22"/>
                <w:highlight w:val="none"/>
              </w:rPr>
            </w:pPr>
            <w:r>
              <w:rPr>
                <w:color w:val="000000"/>
                <w:sz w:val="22"/>
                <w:szCs w:val="22"/>
                <w:highlight w:val="none"/>
              </w:rPr>
              <w:t>4/4</w:t>
            </w:r>
          </w:p>
        </w:tc>
        <w:tc>
          <w:tcPr>
            <w:tcW w:w="945" w:type="dxa"/>
            <w:tcBorders>
              <w:top w:val="double" w:color="auto" w:sz="4" w:space="0"/>
              <w:bottom w:val="double" w:color="auto" w:sz="4" w:space="0"/>
            </w:tcBorders>
            <w:vAlign w:val="center"/>
          </w:tcPr>
          <w:p w14:paraId="46CFA434">
            <w:pPr>
              <w:jc w:val="center"/>
              <w:rPr>
                <w:highlight w:val="none"/>
              </w:rPr>
            </w:pPr>
            <w:r>
              <w:rPr>
                <w:rFonts w:hint="eastAsia"/>
                <w:sz w:val="20"/>
                <w:highlight w:val="none"/>
              </w:rPr>
              <w:t>2</w:t>
            </w:r>
          </w:p>
        </w:tc>
      </w:tr>
      <w:tr w14:paraId="3953C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59" w:hRule="exact"/>
        </w:trPr>
        <w:tc>
          <w:tcPr>
            <w:tcW w:w="1108" w:type="dxa"/>
            <w:tcBorders>
              <w:top w:val="double" w:color="auto" w:sz="4" w:space="0"/>
              <w:bottom w:val="double" w:color="auto" w:sz="4" w:space="0"/>
            </w:tcBorders>
            <w:vAlign w:val="center"/>
          </w:tcPr>
          <w:p w14:paraId="5977FDA3">
            <w:pPr>
              <w:jc w:val="center"/>
              <w:rPr>
                <w:color w:val="000000"/>
                <w:sz w:val="22"/>
                <w:szCs w:val="22"/>
                <w:highlight w:val="none"/>
              </w:rPr>
            </w:pPr>
            <w:r>
              <w:rPr>
                <w:rFonts w:hint="eastAsia"/>
                <w:color w:val="000000"/>
                <w:sz w:val="22"/>
                <w:szCs w:val="22"/>
                <w:highlight w:val="none"/>
              </w:rPr>
              <w:t>4</w:t>
            </w:r>
          </w:p>
        </w:tc>
        <w:tc>
          <w:tcPr>
            <w:tcW w:w="2631" w:type="dxa"/>
            <w:tcBorders>
              <w:top w:val="double" w:color="auto" w:sz="4" w:space="0"/>
              <w:bottom w:val="double" w:color="auto" w:sz="4" w:space="0"/>
            </w:tcBorders>
            <w:vAlign w:val="center"/>
          </w:tcPr>
          <w:p w14:paraId="56A956D4">
            <w:pPr>
              <w:jc w:val="center"/>
              <w:rPr>
                <w:rFonts w:ascii="宋体" w:cs="宋体"/>
                <w:color w:val="000000"/>
                <w:sz w:val="22"/>
                <w:szCs w:val="22"/>
                <w:highlight w:val="none"/>
              </w:rPr>
            </w:pPr>
            <w:r>
              <w:rPr>
                <w:rFonts w:hint="eastAsia"/>
                <w:color w:val="000000"/>
                <w:sz w:val="22"/>
                <w:szCs w:val="22"/>
                <w:highlight w:val="none"/>
              </w:rPr>
              <w:t>主楼西侧南梯</w:t>
            </w:r>
          </w:p>
        </w:tc>
        <w:tc>
          <w:tcPr>
            <w:tcW w:w="1395" w:type="dxa"/>
            <w:tcBorders>
              <w:top w:val="double" w:color="auto" w:sz="4" w:space="0"/>
              <w:bottom w:val="double" w:color="auto" w:sz="4" w:space="0"/>
            </w:tcBorders>
            <w:vAlign w:val="center"/>
          </w:tcPr>
          <w:p w14:paraId="2E6B395C">
            <w:pPr>
              <w:jc w:val="center"/>
              <w:rPr>
                <w:rFonts w:ascii="宋体" w:hAnsi="Calibri" w:cs="宋体"/>
                <w:color w:val="000000"/>
                <w:sz w:val="22"/>
                <w:szCs w:val="22"/>
                <w:highlight w:val="none"/>
              </w:rPr>
            </w:pPr>
            <w:r>
              <w:rPr>
                <w:rFonts w:hint="eastAsia"/>
                <w:color w:val="000000"/>
                <w:sz w:val="22"/>
                <w:szCs w:val="22"/>
                <w:highlight w:val="none"/>
              </w:rPr>
              <w:t>三菱</w:t>
            </w:r>
          </w:p>
        </w:tc>
        <w:tc>
          <w:tcPr>
            <w:tcW w:w="1335" w:type="dxa"/>
            <w:tcBorders>
              <w:top w:val="double" w:color="auto" w:sz="4" w:space="0"/>
              <w:bottom w:val="double" w:color="auto" w:sz="4" w:space="0"/>
            </w:tcBorders>
            <w:vAlign w:val="center"/>
          </w:tcPr>
          <w:p w14:paraId="27F192B6">
            <w:pPr>
              <w:jc w:val="center"/>
              <w:rPr>
                <w:rFonts w:ascii="宋体" w:cs="宋体"/>
                <w:color w:val="000000"/>
                <w:sz w:val="22"/>
                <w:szCs w:val="22"/>
                <w:highlight w:val="none"/>
              </w:rPr>
            </w:pPr>
            <w:r>
              <w:rPr>
                <w:color w:val="000000"/>
                <w:sz w:val="22"/>
                <w:szCs w:val="22"/>
                <w:highlight w:val="none"/>
              </w:rPr>
              <w:t>MAXIEZ</w:t>
            </w:r>
          </w:p>
        </w:tc>
        <w:tc>
          <w:tcPr>
            <w:tcW w:w="1095" w:type="dxa"/>
            <w:tcBorders>
              <w:top w:val="double" w:color="auto" w:sz="4" w:space="0"/>
              <w:bottom w:val="double" w:color="auto" w:sz="4" w:space="0"/>
            </w:tcBorders>
            <w:vAlign w:val="center"/>
          </w:tcPr>
          <w:p w14:paraId="15C27E6D">
            <w:pPr>
              <w:jc w:val="center"/>
              <w:rPr>
                <w:rFonts w:ascii="宋体" w:cs="宋体"/>
                <w:color w:val="000000"/>
                <w:sz w:val="22"/>
                <w:szCs w:val="22"/>
                <w:highlight w:val="none"/>
              </w:rPr>
            </w:pPr>
            <w:r>
              <w:rPr>
                <w:color w:val="000000"/>
                <w:sz w:val="22"/>
                <w:szCs w:val="22"/>
                <w:highlight w:val="none"/>
              </w:rPr>
              <w:t>27/27</w:t>
            </w:r>
          </w:p>
        </w:tc>
        <w:tc>
          <w:tcPr>
            <w:tcW w:w="945" w:type="dxa"/>
            <w:tcBorders>
              <w:top w:val="double" w:color="auto" w:sz="4" w:space="0"/>
              <w:bottom w:val="double" w:color="auto" w:sz="4" w:space="0"/>
            </w:tcBorders>
            <w:vAlign w:val="center"/>
          </w:tcPr>
          <w:p w14:paraId="7851239A">
            <w:pPr>
              <w:jc w:val="center"/>
              <w:rPr>
                <w:highlight w:val="none"/>
              </w:rPr>
            </w:pPr>
            <w:r>
              <w:rPr>
                <w:rFonts w:hint="eastAsia"/>
                <w:sz w:val="20"/>
                <w:highlight w:val="none"/>
              </w:rPr>
              <w:t>2</w:t>
            </w:r>
          </w:p>
        </w:tc>
      </w:tr>
      <w:tr w14:paraId="191CC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59" w:hRule="exact"/>
        </w:trPr>
        <w:tc>
          <w:tcPr>
            <w:tcW w:w="1108" w:type="dxa"/>
            <w:tcBorders>
              <w:top w:val="double" w:color="auto" w:sz="4" w:space="0"/>
              <w:bottom w:val="double" w:color="auto" w:sz="4" w:space="0"/>
            </w:tcBorders>
            <w:vAlign w:val="center"/>
          </w:tcPr>
          <w:p w14:paraId="00EFB1E3">
            <w:pPr>
              <w:jc w:val="center"/>
              <w:rPr>
                <w:color w:val="000000"/>
                <w:sz w:val="22"/>
                <w:szCs w:val="22"/>
                <w:highlight w:val="none"/>
              </w:rPr>
            </w:pPr>
            <w:r>
              <w:rPr>
                <w:rFonts w:hint="eastAsia"/>
                <w:color w:val="000000"/>
                <w:sz w:val="22"/>
                <w:szCs w:val="22"/>
                <w:highlight w:val="none"/>
              </w:rPr>
              <w:t>5</w:t>
            </w:r>
          </w:p>
        </w:tc>
        <w:tc>
          <w:tcPr>
            <w:tcW w:w="2631" w:type="dxa"/>
            <w:tcBorders>
              <w:top w:val="double" w:color="auto" w:sz="4" w:space="0"/>
              <w:bottom w:val="double" w:color="auto" w:sz="4" w:space="0"/>
            </w:tcBorders>
            <w:vAlign w:val="center"/>
          </w:tcPr>
          <w:p w14:paraId="1F8865CB">
            <w:pPr>
              <w:jc w:val="center"/>
              <w:rPr>
                <w:rFonts w:ascii="宋体" w:cs="宋体"/>
                <w:color w:val="000000"/>
                <w:sz w:val="22"/>
                <w:szCs w:val="22"/>
                <w:highlight w:val="none"/>
              </w:rPr>
            </w:pPr>
            <w:r>
              <w:rPr>
                <w:rFonts w:hint="eastAsia"/>
                <w:color w:val="000000"/>
                <w:sz w:val="22"/>
                <w:szCs w:val="22"/>
                <w:highlight w:val="none"/>
              </w:rPr>
              <w:t>主楼东侧南梯</w:t>
            </w:r>
          </w:p>
        </w:tc>
        <w:tc>
          <w:tcPr>
            <w:tcW w:w="1395" w:type="dxa"/>
            <w:tcBorders>
              <w:top w:val="double" w:color="auto" w:sz="4" w:space="0"/>
              <w:bottom w:val="double" w:color="auto" w:sz="4" w:space="0"/>
            </w:tcBorders>
            <w:vAlign w:val="center"/>
          </w:tcPr>
          <w:p w14:paraId="746AE157">
            <w:pPr>
              <w:jc w:val="center"/>
              <w:rPr>
                <w:rFonts w:ascii="宋体" w:hAnsi="Calibri" w:cs="宋体"/>
                <w:color w:val="000000"/>
                <w:sz w:val="22"/>
                <w:szCs w:val="22"/>
                <w:highlight w:val="none"/>
              </w:rPr>
            </w:pPr>
            <w:r>
              <w:rPr>
                <w:rFonts w:hint="eastAsia"/>
                <w:color w:val="000000"/>
                <w:sz w:val="22"/>
                <w:szCs w:val="22"/>
                <w:highlight w:val="none"/>
              </w:rPr>
              <w:t>三菱</w:t>
            </w:r>
          </w:p>
        </w:tc>
        <w:tc>
          <w:tcPr>
            <w:tcW w:w="1335" w:type="dxa"/>
            <w:tcBorders>
              <w:top w:val="double" w:color="auto" w:sz="4" w:space="0"/>
              <w:bottom w:val="double" w:color="auto" w:sz="4" w:space="0"/>
            </w:tcBorders>
            <w:vAlign w:val="center"/>
          </w:tcPr>
          <w:p w14:paraId="0BE9EAED">
            <w:pPr>
              <w:jc w:val="center"/>
              <w:rPr>
                <w:rFonts w:ascii="宋体" w:cs="宋体"/>
                <w:color w:val="000000"/>
                <w:sz w:val="22"/>
                <w:szCs w:val="22"/>
                <w:highlight w:val="none"/>
              </w:rPr>
            </w:pPr>
            <w:r>
              <w:rPr>
                <w:color w:val="000000"/>
                <w:sz w:val="22"/>
                <w:szCs w:val="22"/>
                <w:highlight w:val="none"/>
              </w:rPr>
              <w:t>MAXIEZ</w:t>
            </w:r>
          </w:p>
        </w:tc>
        <w:tc>
          <w:tcPr>
            <w:tcW w:w="1095" w:type="dxa"/>
            <w:tcBorders>
              <w:top w:val="double" w:color="auto" w:sz="4" w:space="0"/>
              <w:bottom w:val="double" w:color="auto" w:sz="4" w:space="0"/>
            </w:tcBorders>
            <w:vAlign w:val="center"/>
          </w:tcPr>
          <w:p w14:paraId="212DAC51">
            <w:pPr>
              <w:jc w:val="center"/>
              <w:rPr>
                <w:rFonts w:ascii="宋体" w:cs="宋体"/>
                <w:color w:val="000000"/>
                <w:sz w:val="22"/>
                <w:szCs w:val="22"/>
                <w:highlight w:val="none"/>
              </w:rPr>
            </w:pPr>
            <w:r>
              <w:rPr>
                <w:color w:val="000000"/>
                <w:sz w:val="22"/>
                <w:szCs w:val="22"/>
                <w:highlight w:val="none"/>
              </w:rPr>
              <w:t>26/26</w:t>
            </w:r>
          </w:p>
        </w:tc>
        <w:tc>
          <w:tcPr>
            <w:tcW w:w="945" w:type="dxa"/>
            <w:tcBorders>
              <w:top w:val="double" w:color="auto" w:sz="4" w:space="0"/>
              <w:bottom w:val="double" w:color="auto" w:sz="4" w:space="0"/>
            </w:tcBorders>
            <w:vAlign w:val="center"/>
          </w:tcPr>
          <w:p w14:paraId="6E9A3723">
            <w:pPr>
              <w:jc w:val="center"/>
              <w:rPr>
                <w:highlight w:val="none"/>
              </w:rPr>
            </w:pPr>
            <w:r>
              <w:rPr>
                <w:rFonts w:hint="eastAsia"/>
                <w:sz w:val="20"/>
                <w:highlight w:val="none"/>
              </w:rPr>
              <w:t>3</w:t>
            </w:r>
          </w:p>
        </w:tc>
      </w:tr>
      <w:tr w14:paraId="60B34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59" w:hRule="exact"/>
        </w:trPr>
        <w:tc>
          <w:tcPr>
            <w:tcW w:w="1108" w:type="dxa"/>
            <w:tcBorders>
              <w:top w:val="double" w:color="auto" w:sz="4" w:space="0"/>
              <w:bottom w:val="single" w:color="auto" w:sz="12" w:space="0"/>
            </w:tcBorders>
            <w:vAlign w:val="center"/>
          </w:tcPr>
          <w:p w14:paraId="0781F3E1">
            <w:pPr>
              <w:jc w:val="center"/>
              <w:rPr>
                <w:color w:val="000000"/>
                <w:sz w:val="22"/>
                <w:szCs w:val="22"/>
                <w:highlight w:val="none"/>
              </w:rPr>
            </w:pPr>
            <w:r>
              <w:rPr>
                <w:rFonts w:hint="eastAsia"/>
                <w:color w:val="000000"/>
                <w:sz w:val="22"/>
                <w:szCs w:val="22"/>
                <w:highlight w:val="none"/>
              </w:rPr>
              <w:t>6</w:t>
            </w:r>
          </w:p>
        </w:tc>
        <w:tc>
          <w:tcPr>
            <w:tcW w:w="2631" w:type="dxa"/>
            <w:tcBorders>
              <w:top w:val="double" w:color="auto" w:sz="4" w:space="0"/>
              <w:bottom w:val="single" w:color="auto" w:sz="12" w:space="0"/>
            </w:tcBorders>
            <w:vAlign w:val="center"/>
          </w:tcPr>
          <w:p w14:paraId="642CCAC4">
            <w:pPr>
              <w:jc w:val="center"/>
              <w:rPr>
                <w:color w:val="000000"/>
                <w:sz w:val="22"/>
                <w:szCs w:val="22"/>
                <w:highlight w:val="none"/>
              </w:rPr>
            </w:pPr>
            <w:r>
              <w:rPr>
                <w:rFonts w:hint="eastAsia"/>
                <w:color w:val="000000"/>
                <w:sz w:val="22"/>
                <w:szCs w:val="22"/>
                <w:highlight w:val="none"/>
              </w:rPr>
              <w:t>主楼消防梯</w:t>
            </w:r>
          </w:p>
        </w:tc>
        <w:tc>
          <w:tcPr>
            <w:tcW w:w="1395" w:type="dxa"/>
            <w:tcBorders>
              <w:top w:val="double" w:color="auto" w:sz="4" w:space="0"/>
              <w:bottom w:val="single" w:color="auto" w:sz="12" w:space="0"/>
            </w:tcBorders>
            <w:vAlign w:val="center"/>
          </w:tcPr>
          <w:p w14:paraId="270AD2E9">
            <w:pPr>
              <w:jc w:val="center"/>
              <w:rPr>
                <w:rFonts w:ascii="宋体" w:hAnsi="Calibri" w:cs="宋体"/>
                <w:color w:val="000000"/>
                <w:sz w:val="22"/>
                <w:szCs w:val="22"/>
                <w:highlight w:val="none"/>
              </w:rPr>
            </w:pPr>
            <w:r>
              <w:rPr>
                <w:rFonts w:hint="eastAsia"/>
                <w:color w:val="000000"/>
                <w:sz w:val="22"/>
                <w:szCs w:val="22"/>
                <w:highlight w:val="none"/>
              </w:rPr>
              <w:t>三菱</w:t>
            </w:r>
          </w:p>
        </w:tc>
        <w:tc>
          <w:tcPr>
            <w:tcW w:w="1335" w:type="dxa"/>
            <w:tcBorders>
              <w:top w:val="double" w:color="auto" w:sz="4" w:space="0"/>
              <w:bottom w:val="single" w:color="auto" w:sz="12" w:space="0"/>
            </w:tcBorders>
            <w:vAlign w:val="center"/>
          </w:tcPr>
          <w:p w14:paraId="09DA297B">
            <w:pPr>
              <w:jc w:val="center"/>
              <w:rPr>
                <w:color w:val="000000"/>
                <w:sz w:val="22"/>
                <w:szCs w:val="22"/>
                <w:highlight w:val="none"/>
              </w:rPr>
            </w:pPr>
            <w:r>
              <w:rPr>
                <w:color w:val="000000"/>
                <w:sz w:val="22"/>
                <w:szCs w:val="22"/>
                <w:highlight w:val="none"/>
              </w:rPr>
              <w:t>MAXIEZ</w:t>
            </w:r>
          </w:p>
        </w:tc>
        <w:tc>
          <w:tcPr>
            <w:tcW w:w="1095" w:type="dxa"/>
            <w:tcBorders>
              <w:top w:val="double" w:color="auto" w:sz="4" w:space="0"/>
              <w:bottom w:val="single" w:color="auto" w:sz="12" w:space="0"/>
            </w:tcBorders>
            <w:vAlign w:val="center"/>
          </w:tcPr>
          <w:p w14:paraId="08C09DD5">
            <w:pPr>
              <w:jc w:val="center"/>
              <w:rPr>
                <w:color w:val="000000"/>
                <w:sz w:val="22"/>
                <w:szCs w:val="22"/>
                <w:highlight w:val="none"/>
              </w:rPr>
            </w:pPr>
            <w:r>
              <w:rPr>
                <w:color w:val="000000"/>
                <w:sz w:val="22"/>
                <w:szCs w:val="22"/>
                <w:highlight w:val="none"/>
              </w:rPr>
              <w:t>27/27</w:t>
            </w:r>
          </w:p>
        </w:tc>
        <w:tc>
          <w:tcPr>
            <w:tcW w:w="945" w:type="dxa"/>
            <w:tcBorders>
              <w:top w:val="double" w:color="auto" w:sz="4" w:space="0"/>
              <w:bottom w:val="single" w:color="auto" w:sz="12" w:space="0"/>
            </w:tcBorders>
            <w:vAlign w:val="center"/>
          </w:tcPr>
          <w:p w14:paraId="2D316BCD">
            <w:pPr>
              <w:jc w:val="center"/>
              <w:rPr>
                <w:sz w:val="20"/>
                <w:highlight w:val="none"/>
              </w:rPr>
            </w:pPr>
            <w:r>
              <w:rPr>
                <w:rFonts w:hint="eastAsia"/>
                <w:sz w:val="20"/>
                <w:highlight w:val="none"/>
              </w:rPr>
              <w:t>1</w:t>
            </w:r>
          </w:p>
        </w:tc>
      </w:tr>
    </w:tbl>
    <w:p w14:paraId="3BBF4331">
      <w:pPr>
        <w:spacing w:line="440" w:lineRule="exact"/>
        <w:rPr>
          <w:rFonts w:ascii="宋体" w:hAnsi="宋体" w:cs="宋体"/>
          <w:b/>
          <w:bCs/>
          <w:sz w:val="24"/>
          <w:highlight w:val="none"/>
        </w:rPr>
      </w:pPr>
      <w:r>
        <w:rPr>
          <w:rFonts w:hint="eastAsia" w:ascii="宋体" w:hAnsi="宋体" w:cs="宋体"/>
          <w:b/>
          <w:bCs/>
          <w:sz w:val="24"/>
          <w:highlight w:val="none"/>
        </w:rPr>
        <w:t>九、支付方式</w:t>
      </w:r>
    </w:p>
    <w:p w14:paraId="507E5CDF">
      <w:pPr>
        <w:spacing w:after="60" w:afterLines="25" w:line="440" w:lineRule="exact"/>
        <w:rPr>
          <w:rFonts w:ascii="宋体" w:hAnsi="宋体" w:cs="宋体"/>
          <w:b/>
          <w:bCs/>
          <w:sz w:val="24"/>
          <w:highlight w:val="none"/>
        </w:rPr>
      </w:pPr>
      <w:r>
        <w:rPr>
          <w:rFonts w:hint="eastAsia" w:ascii="宋体" w:hAnsi="宋体" w:cs="宋体"/>
          <w:b/>
          <w:bCs/>
          <w:sz w:val="24"/>
          <w:highlight w:val="none"/>
        </w:rPr>
        <w:t xml:space="preserve"> 1支付时间</w:t>
      </w:r>
    </w:p>
    <w:tbl>
      <w:tblPr>
        <w:tblStyle w:val="54"/>
        <w:tblW w:w="91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5"/>
        <w:gridCol w:w="2771"/>
        <w:gridCol w:w="1231"/>
        <w:gridCol w:w="584"/>
        <w:gridCol w:w="2410"/>
        <w:gridCol w:w="1593"/>
      </w:tblGrid>
      <w:tr w14:paraId="4F7B8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585" w:type="dxa"/>
            <w:vAlign w:val="center"/>
          </w:tcPr>
          <w:p w14:paraId="395F8553">
            <w:pPr>
              <w:spacing w:line="440" w:lineRule="exact"/>
              <w:jc w:val="center"/>
              <w:rPr>
                <w:rFonts w:ascii="宋体" w:hAnsi="宋体" w:cs="宋体"/>
                <w:sz w:val="24"/>
                <w:highlight w:val="none"/>
              </w:rPr>
            </w:pPr>
            <w:r>
              <w:rPr>
                <w:rFonts w:hint="eastAsia" w:ascii="宋体" w:hAnsi="宋体" w:cs="宋体"/>
                <w:b/>
                <w:bCs/>
                <w:sz w:val="24"/>
                <w:highlight w:val="none"/>
              </w:rPr>
              <w:t>序号</w:t>
            </w:r>
          </w:p>
        </w:tc>
        <w:tc>
          <w:tcPr>
            <w:tcW w:w="2771" w:type="dxa"/>
            <w:vAlign w:val="center"/>
          </w:tcPr>
          <w:p w14:paraId="105AEBAD">
            <w:pPr>
              <w:spacing w:line="440" w:lineRule="exact"/>
              <w:jc w:val="center"/>
              <w:rPr>
                <w:rFonts w:ascii="宋体" w:hAnsi="宋体" w:cs="宋体"/>
                <w:sz w:val="24"/>
                <w:highlight w:val="none"/>
              </w:rPr>
            </w:pPr>
            <w:r>
              <w:rPr>
                <w:rFonts w:hint="eastAsia" w:ascii="宋体" w:hAnsi="宋体" w:cs="宋体"/>
                <w:b/>
                <w:bCs/>
                <w:sz w:val="24"/>
                <w:highlight w:val="none"/>
              </w:rPr>
              <w:t>支  付  期  限</w:t>
            </w:r>
          </w:p>
        </w:tc>
        <w:tc>
          <w:tcPr>
            <w:tcW w:w="1231" w:type="dxa"/>
            <w:tcBorders>
              <w:right w:val="double" w:color="auto" w:sz="4" w:space="0"/>
            </w:tcBorders>
            <w:vAlign w:val="center"/>
          </w:tcPr>
          <w:p w14:paraId="5AED8D1B">
            <w:pPr>
              <w:spacing w:line="440" w:lineRule="exact"/>
              <w:jc w:val="center"/>
              <w:rPr>
                <w:rFonts w:ascii="宋体" w:hAnsi="宋体" w:cs="宋体"/>
                <w:sz w:val="24"/>
                <w:highlight w:val="none"/>
              </w:rPr>
            </w:pPr>
            <w:r>
              <w:rPr>
                <w:rFonts w:hint="eastAsia" w:ascii="宋体" w:hAnsi="宋体" w:cs="宋体"/>
                <w:b/>
                <w:bCs/>
                <w:sz w:val="24"/>
                <w:highlight w:val="none"/>
              </w:rPr>
              <w:t>金额</w:t>
            </w:r>
            <w:r>
              <w:rPr>
                <w:rFonts w:hint="eastAsia" w:ascii="宋体" w:hAnsi="宋体" w:cs="宋体"/>
                <w:sz w:val="24"/>
                <w:highlight w:val="none"/>
              </w:rPr>
              <w:t>（元）</w:t>
            </w:r>
          </w:p>
        </w:tc>
        <w:tc>
          <w:tcPr>
            <w:tcW w:w="584" w:type="dxa"/>
            <w:tcBorders>
              <w:top w:val="single" w:color="auto" w:sz="12" w:space="0"/>
              <w:left w:val="double" w:color="auto" w:sz="4" w:space="0"/>
              <w:bottom w:val="single" w:color="auto" w:sz="6" w:space="0"/>
              <w:right w:val="single" w:color="auto" w:sz="6" w:space="0"/>
            </w:tcBorders>
            <w:vAlign w:val="center"/>
          </w:tcPr>
          <w:p w14:paraId="3F508C59">
            <w:pPr>
              <w:spacing w:line="440" w:lineRule="exact"/>
              <w:ind w:firstLine="33"/>
              <w:jc w:val="center"/>
              <w:rPr>
                <w:rFonts w:ascii="宋体" w:hAnsi="宋体" w:cs="宋体"/>
                <w:sz w:val="24"/>
                <w:highlight w:val="none"/>
              </w:rPr>
            </w:pPr>
            <w:r>
              <w:rPr>
                <w:rFonts w:hint="eastAsia" w:ascii="宋体" w:hAnsi="宋体" w:cs="宋体"/>
                <w:b/>
                <w:bCs/>
                <w:sz w:val="24"/>
                <w:highlight w:val="none"/>
              </w:rPr>
              <w:t>序号</w:t>
            </w:r>
          </w:p>
        </w:tc>
        <w:tc>
          <w:tcPr>
            <w:tcW w:w="2410" w:type="dxa"/>
            <w:tcBorders>
              <w:left w:val="single" w:color="auto" w:sz="6" w:space="0"/>
            </w:tcBorders>
            <w:vAlign w:val="center"/>
          </w:tcPr>
          <w:p w14:paraId="6EB07FE6">
            <w:pPr>
              <w:spacing w:line="440" w:lineRule="exact"/>
              <w:jc w:val="center"/>
              <w:rPr>
                <w:rFonts w:ascii="宋体" w:hAnsi="宋体" w:cs="宋体"/>
                <w:sz w:val="24"/>
                <w:highlight w:val="none"/>
              </w:rPr>
            </w:pPr>
            <w:r>
              <w:rPr>
                <w:rFonts w:hint="eastAsia" w:ascii="宋体" w:hAnsi="宋体" w:cs="宋体"/>
                <w:b/>
                <w:bCs/>
                <w:sz w:val="24"/>
                <w:highlight w:val="none"/>
              </w:rPr>
              <w:t>支  付  期  限</w:t>
            </w:r>
          </w:p>
        </w:tc>
        <w:tc>
          <w:tcPr>
            <w:tcW w:w="1593" w:type="dxa"/>
            <w:vAlign w:val="center"/>
          </w:tcPr>
          <w:p w14:paraId="0C18BC0F">
            <w:pPr>
              <w:spacing w:line="440" w:lineRule="exact"/>
              <w:jc w:val="center"/>
              <w:rPr>
                <w:rFonts w:ascii="宋体" w:hAnsi="宋体" w:cs="宋体"/>
                <w:sz w:val="24"/>
                <w:highlight w:val="none"/>
              </w:rPr>
            </w:pPr>
            <w:r>
              <w:rPr>
                <w:rFonts w:hint="eastAsia" w:ascii="宋体" w:hAnsi="宋体" w:cs="宋体"/>
                <w:b/>
                <w:bCs/>
                <w:sz w:val="24"/>
                <w:highlight w:val="none"/>
              </w:rPr>
              <w:t>金额</w:t>
            </w:r>
            <w:r>
              <w:rPr>
                <w:rFonts w:hint="eastAsia" w:ascii="宋体" w:hAnsi="宋体" w:cs="宋体"/>
                <w:sz w:val="24"/>
                <w:highlight w:val="none"/>
              </w:rPr>
              <w:t>（元）</w:t>
            </w:r>
          </w:p>
        </w:tc>
      </w:tr>
      <w:tr w14:paraId="30F9F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exact"/>
          <w:jc w:val="center"/>
        </w:trPr>
        <w:tc>
          <w:tcPr>
            <w:tcW w:w="585" w:type="dxa"/>
            <w:vAlign w:val="center"/>
          </w:tcPr>
          <w:p w14:paraId="45BFC483">
            <w:pPr>
              <w:spacing w:line="440" w:lineRule="exact"/>
              <w:ind w:left="-57" w:right="-105" w:rightChars="-50"/>
              <w:jc w:val="center"/>
              <w:rPr>
                <w:rFonts w:ascii="宋体" w:hAnsi="宋体" w:cs="宋体"/>
                <w:sz w:val="24"/>
                <w:highlight w:val="none"/>
              </w:rPr>
            </w:pPr>
            <w:r>
              <w:rPr>
                <w:rFonts w:hint="eastAsia" w:ascii="宋体" w:hAnsi="宋体" w:cs="宋体"/>
                <w:sz w:val="24"/>
                <w:highlight w:val="none"/>
              </w:rPr>
              <w:t>1</w:t>
            </w:r>
          </w:p>
        </w:tc>
        <w:tc>
          <w:tcPr>
            <w:tcW w:w="2771" w:type="dxa"/>
            <w:vAlign w:val="center"/>
          </w:tcPr>
          <w:p w14:paraId="6C90F7D0">
            <w:pPr>
              <w:spacing w:line="440" w:lineRule="exact"/>
              <w:ind w:left="-57" w:right="-105" w:rightChars="-50"/>
              <w:jc w:val="center"/>
              <w:rPr>
                <w:rFonts w:ascii="宋体" w:hAnsi="宋体" w:cs="宋体"/>
                <w:sz w:val="24"/>
                <w:highlight w:val="none"/>
              </w:rPr>
            </w:pPr>
            <w:r>
              <w:rPr>
                <w:rFonts w:hint="eastAsia" w:ascii="宋体" w:hAnsi="宋体" w:cs="宋体"/>
                <w:sz w:val="24"/>
                <w:highlight w:val="none"/>
                <w:u w:val="single"/>
              </w:rPr>
              <w:t>2025</w:t>
            </w:r>
            <w:r>
              <w:rPr>
                <w:rFonts w:hint="eastAsia" w:ascii="宋体" w:hAnsi="宋体" w:cs="宋体"/>
                <w:sz w:val="24"/>
                <w:highlight w:val="none"/>
              </w:rPr>
              <w:t xml:space="preserve">年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日前</w:t>
            </w:r>
          </w:p>
        </w:tc>
        <w:tc>
          <w:tcPr>
            <w:tcW w:w="1231" w:type="dxa"/>
            <w:tcBorders>
              <w:right w:val="double" w:color="auto" w:sz="4" w:space="0"/>
            </w:tcBorders>
            <w:vAlign w:val="center"/>
          </w:tcPr>
          <w:p w14:paraId="65C9DB8F">
            <w:pPr>
              <w:spacing w:line="440" w:lineRule="exact"/>
              <w:ind w:left="-57" w:right="-105" w:rightChars="-50"/>
              <w:jc w:val="center"/>
              <w:rPr>
                <w:rFonts w:ascii="宋体" w:hAnsi="宋体" w:cs="宋体"/>
                <w:sz w:val="24"/>
                <w:highlight w:val="none"/>
              </w:rPr>
            </w:pPr>
          </w:p>
        </w:tc>
        <w:tc>
          <w:tcPr>
            <w:tcW w:w="584" w:type="dxa"/>
            <w:tcBorders>
              <w:top w:val="single" w:color="auto" w:sz="6" w:space="0"/>
              <w:left w:val="double" w:color="auto" w:sz="4" w:space="0"/>
              <w:bottom w:val="single" w:color="auto" w:sz="6" w:space="0"/>
              <w:right w:val="single" w:color="auto" w:sz="6" w:space="0"/>
            </w:tcBorders>
            <w:vAlign w:val="center"/>
          </w:tcPr>
          <w:p w14:paraId="4FACAB80">
            <w:pPr>
              <w:spacing w:line="440" w:lineRule="exact"/>
              <w:ind w:left="-57" w:right="-105" w:rightChars="-50"/>
              <w:jc w:val="center"/>
              <w:rPr>
                <w:rFonts w:ascii="宋体" w:hAnsi="宋体" w:cs="宋体"/>
                <w:sz w:val="24"/>
                <w:highlight w:val="none"/>
              </w:rPr>
            </w:pPr>
            <w:r>
              <w:rPr>
                <w:rFonts w:hint="eastAsia" w:ascii="宋体" w:hAnsi="宋体" w:cs="宋体"/>
                <w:sz w:val="24"/>
                <w:highlight w:val="none"/>
              </w:rPr>
              <w:t>4</w:t>
            </w:r>
          </w:p>
        </w:tc>
        <w:tc>
          <w:tcPr>
            <w:tcW w:w="2410" w:type="dxa"/>
            <w:tcBorders>
              <w:left w:val="single" w:color="auto" w:sz="6" w:space="0"/>
            </w:tcBorders>
            <w:vAlign w:val="center"/>
          </w:tcPr>
          <w:p w14:paraId="5A9AC2AE">
            <w:pPr>
              <w:spacing w:line="440" w:lineRule="exact"/>
              <w:ind w:left="-57" w:right="-105" w:rightChars="-50"/>
              <w:jc w:val="center"/>
              <w:rPr>
                <w:rFonts w:ascii="宋体" w:hAnsi="宋体" w:cs="宋体"/>
                <w:sz w:val="24"/>
                <w:highlight w:val="none"/>
              </w:rPr>
            </w:pPr>
            <w:r>
              <w:rPr>
                <w:rFonts w:hint="eastAsia" w:ascii="宋体" w:hAnsi="宋体" w:cs="宋体"/>
                <w:sz w:val="24"/>
                <w:highlight w:val="none"/>
                <w:u w:val="single"/>
              </w:rPr>
              <w:t>2026</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日前</w:t>
            </w:r>
          </w:p>
        </w:tc>
        <w:tc>
          <w:tcPr>
            <w:tcW w:w="1593" w:type="dxa"/>
            <w:vAlign w:val="center"/>
          </w:tcPr>
          <w:p w14:paraId="0B296591">
            <w:pPr>
              <w:spacing w:line="440" w:lineRule="exact"/>
              <w:ind w:left="-57" w:right="-105" w:rightChars="-50"/>
              <w:jc w:val="center"/>
              <w:rPr>
                <w:rFonts w:ascii="宋体" w:hAnsi="宋体" w:cs="宋体"/>
                <w:sz w:val="24"/>
                <w:highlight w:val="none"/>
              </w:rPr>
            </w:pPr>
          </w:p>
        </w:tc>
      </w:tr>
      <w:tr w14:paraId="2286F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exact"/>
          <w:jc w:val="center"/>
        </w:trPr>
        <w:tc>
          <w:tcPr>
            <w:tcW w:w="585" w:type="dxa"/>
            <w:vAlign w:val="center"/>
          </w:tcPr>
          <w:p w14:paraId="446444D9">
            <w:pPr>
              <w:spacing w:line="440" w:lineRule="exact"/>
              <w:ind w:left="-57" w:right="-105" w:rightChars="-50"/>
              <w:jc w:val="center"/>
              <w:rPr>
                <w:rFonts w:ascii="宋体" w:hAnsi="宋体" w:cs="宋体"/>
                <w:sz w:val="24"/>
                <w:highlight w:val="none"/>
              </w:rPr>
            </w:pPr>
            <w:r>
              <w:rPr>
                <w:rFonts w:hint="eastAsia" w:ascii="宋体" w:hAnsi="宋体" w:cs="宋体"/>
                <w:sz w:val="24"/>
                <w:highlight w:val="none"/>
              </w:rPr>
              <w:t>2</w:t>
            </w:r>
          </w:p>
        </w:tc>
        <w:tc>
          <w:tcPr>
            <w:tcW w:w="2771" w:type="dxa"/>
            <w:vAlign w:val="center"/>
          </w:tcPr>
          <w:p w14:paraId="268E4D6D">
            <w:pPr>
              <w:spacing w:line="440" w:lineRule="exact"/>
              <w:ind w:left="-57" w:right="-105" w:rightChars="-50"/>
              <w:jc w:val="center"/>
              <w:rPr>
                <w:rFonts w:ascii="宋体" w:hAnsi="宋体" w:cs="宋体"/>
                <w:sz w:val="24"/>
                <w:highlight w:val="none"/>
              </w:rPr>
            </w:pPr>
            <w:r>
              <w:rPr>
                <w:rFonts w:hint="eastAsia" w:ascii="宋体" w:hAnsi="宋体" w:cs="宋体"/>
                <w:sz w:val="24"/>
                <w:highlight w:val="none"/>
                <w:u w:val="single"/>
              </w:rPr>
              <w:t>2025</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日前</w:t>
            </w:r>
          </w:p>
        </w:tc>
        <w:tc>
          <w:tcPr>
            <w:tcW w:w="1231" w:type="dxa"/>
            <w:tcBorders>
              <w:right w:val="double" w:color="auto" w:sz="4" w:space="0"/>
            </w:tcBorders>
            <w:vAlign w:val="center"/>
          </w:tcPr>
          <w:p w14:paraId="33FBC44D">
            <w:pPr>
              <w:spacing w:line="440" w:lineRule="exact"/>
              <w:ind w:firstLine="240" w:firstLineChars="100"/>
              <w:rPr>
                <w:rFonts w:ascii="宋体" w:hAnsi="宋体" w:cs="宋体"/>
                <w:sz w:val="24"/>
                <w:highlight w:val="none"/>
              </w:rPr>
            </w:pPr>
          </w:p>
        </w:tc>
        <w:tc>
          <w:tcPr>
            <w:tcW w:w="584" w:type="dxa"/>
            <w:tcBorders>
              <w:top w:val="single" w:color="auto" w:sz="6" w:space="0"/>
              <w:left w:val="double" w:color="auto" w:sz="4" w:space="0"/>
              <w:bottom w:val="single" w:color="auto" w:sz="6" w:space="0"/>
              <w:right w:val="single" w:color="auto" w:sz="6" w:space="0"/>
            </w:tcBorders>
            <w:vAlign w:val="center"/>
          </w:tcPr>
          <w:p w14:paraId="5DA13C6C">
            <w:pPr>
              <w:spacing w:line="440" w:lineRule="exact"/>
              <w:ind w:left="-57" w:right="-105" w:rightChars="-50"/>
              <w:jc w:val="center"/>
              <w:rPr>
                <w:rFonts w:ascii="宋体" w:hAnsi="宋体" w:cs="宋体"/>
                <w:sz w:val="24"/>
                <w:highlight w:val="none"/>
              </w:rPr>
            </w:pPr>
            <w:r>
              <w:rPr>
                <w:rFonts w:hint="eastAsia" w:ascii="宋体" w:hAnsi="宋体" w:cs="宋体"/>
                <w:sz w:val="24"/>
                <w:highlight w:val="none"/>
              </w:rPr>
              <w:t>5</w:t>
            </w:r>
          </w:p>
        </w:tc>
        <w:tc>
          <w:tcPr>
            <w:tcW w:w="2410" w:type="dxa"/>
            <w:tcBorders>
              <w:left w:val="single" w:color="auto" w:sz="6" w:space="0"/>
            </w:tcBorders>
            <w:vAlign w:val="center"/>
          </w:tcPr>
          <w:p w14:paraId="649CADD3">
            <w:pPr>
              <w:spacing w:line="440" w:lineRule="exact"/>
              <w:ind w:left="-57" w:right="-105" w:rightChars="-50"/>
              <w:jc w:val="center"/>
              <w:rPr>
                <w:rFonts w:ascii="宋体" w:hAnsi="宋体" w:cs="宋体"/>
                <w:sz w:val="24"/>
                <w:highlight w:val="none"/>
              </w:rPr>
            </w:pPr>
            <w:r>
              <w:rPr>
                <w:rFonts w:hint="eastAsia" w:ascii="宋体" w:hAnsi="宋体" w:cs="宋体"/>
                <w:sz w:val="24"/>
                <w:highlight w:val="none"/>
                <w:u w:val="single"/>
              </w:rPr>
              <w:t>2027</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日前</w:t>
            </w:r>
          </w:p>
        </w:tc>
        <w:tc>
          <w:tcPr>
            <w:tcW w:w="1593" w:type="dxa"/>
            <w:vAlign w:val="center"/>
          </w:tcPr>
          <w:p w14:paraId="72AC4770">
            <w:pPr>
              <w:spacing w:line="440" w:lineRule="exact"/>
              <w:ind w:left="-57" w:right="-105" w:rightChars="-50"/>
              <w:jc w:val="center"/>
              <w:rPr>
                <w:rFonts w:ascii="宋体" w:hAnsi="宋体" w:cs="宋体"/>
                <w:sz w:val="24"/>
                <w:highlight w:val="none"/>
              </w:rPr>
            </w:pPr>
          </w:p>
        </w:tc>
      </w:tr>
      <w:tr w14:paraId="5E10F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exact"/>
          <w:jc w:val="center"/>
        </w:trPr>
        <w:tc>
          <w:tcPr>
            <w:tcW w:w="585" w:type="dxa"/>
            <w:vAlign w:val="center"/>
          </w:tcPr>
          <w:p w14:paraId="42803750">
            <w:pPr>
              <w:spacing w:line="440" w:lineRule="exact"/>
              <w:ind w:left="-57" w:right="-105" w:rightChars="-50"/>
              <w:jc w:val="center"/>
              <w:rPr>
                <w:rFonts w:ascii="宋体" w:hAnsi="宋体" w:cs="宋体"/>
                <w:sz w:val="24"/>
                <w:highlight w:val="none"/>
              </w:rPr>
            </w:pPr>
            <w:r>
              <w:rPr>
                <w:rFonts w:hint="eastAsia" w:ascii="宋体" w:hAnsi="宋体" w:cs="宋体"/>
                <w:sz w:val="24"/>
                <w:highlight w:val="none"/>
              </w:rPr>
              <w:t>3</w:t>
            </w:r>
          </w:p>
        </w:tc>
        <w:tc>
          <w:tcPr>
            <w:tcW w:w="2771" w:type="dxa"/>
            <w:vAlign w:val="center"/>
          </w:tcPr>
          <w:p w14:paraId="72543F52">
            <w:pPr>
              <w:spacing w:line="440" w:lineRule="exact"/>
              <w:ind w:left="-57" w:right="-105" w:rightChars="-50"/>
              <w:jc w:val="center"/>
              <w:rPr>
                <w:rFonts w:ascii="宋体" w:hAnsi="宋体" w:cs="宋体"/>
                <w:sz w:val="24"/>
                <w:highlight w:val="none"/>
              </w:rPr>
            </w:pPr>
            <w:r>
              <w:rPr>
                <w:rFonts w:hint="eastAsia" w:ascii="宋体" w:hAnsi="宋体" w:cs="宋体"/>
                <w:sz w:val="24"/>
                <w:highlight w:val="none"/>
                <w:u w:val="single"/>
              </w:rPr>
              <w:t>2026</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日前</w:t>
            </w:r>
          </w:p>
        </w:tc>
        <w:tc>
          <w:tcPr>
            <w:tcW w:w="1231" w:type="dxa"/>
            <w:tcBorders>
              <w:right w:val="double" w:color="auto" w:sz="4" w:space="0"/>
            </w:tcBorders>
            <w:vAlign w:val="center"/>
          </w:tcPr>
          <w:p w14:paraId="5643BB9F">
            <w:pPr>
              <w:spacing w:line="440" w:lineRule="exact"/>
              <w:ind w:firstLine="240" w:firstLineChars="100"/>
              <w:rPr>
                <w:rFonts w:ascii="宋体" w:hAnsi="宋体" w:cs="宋体"/>
                <w:sz w:val="24"/>
                <w:highlight w:val="none"/>
              </w:rPr>
            </w:pPr>
          </w:p>
        </w:tc>
        <w:tc>
          <w:tcPr>
            <w:tcW w:w="584" w:type="dxa"/>
            <w:tcBorders>
              <w:top w:val="single" w:color="auto" w:sz="6" w:space="0"/>
              <w:left w:val="double" w:color="auto" w:sz="4" w:space="0"/>
              <w:bottom w:val="single" w:color="auto" w:sz="6" w:space="0"/>
              <w:right w:val="single" w:color="auto" w:sz="6" w:space="0"/>
            </w:tcBorders>
            <w:vAlign w:val="center"/>
          </w:tcPr>
          <w:p w14:paraId="71839295">
            <w:pPr>
              <w:spacing w:line="440" w:lineRule="exact"/>
              <w:ind w:left="-57" w:right="-105" w:rightChars="-50"/>
              <w:jc w:val="center"/>
              <w:rPr>
                <w:rFonts w:ascii="宋体" w:hAnsi="宋体" w:cs="宋体"/>
                <w:sz w:val="24"/>
                <w:highlight w:val="none"/>
              </w:rPr>
            </w:pPr>
            <w:r>
              <w:rPr>
                <w:rFonts w:hint="eastAsia" w:ascii="宋体" w:hAnsi="宋体" w:cs="宋体"/>
                <w:sz w:val="24"/>
                <w:highlight w:val="none"/>
              </w:rPr>
              <w:t>6</w:t>
            </w:r>
          </w:p>
        </w:tc>
        <w:tc>
          <w:tcPr>
            <w:tcW w:w="2410" w:type="dxa"/>
            <w:tcBorders>
              <w:left w:val="single" w:color="auto" w:sz="6" w:space="0"/>
            </w:tcBorders>
            <w:vAlign w:val="center"/>
          </w:tcPr>
          <w:p w14:paraId="6DD34030">
            <w:pPr>
              <w:spacing w:line="440" w:lineRule="exact"/>
              <w:ind w:left="-57" w:right="-105" w:rightChars="-50"/>
              <w:jc w:val="center"/>
              <w:rPr>
                <w:rFonts w:ascii="宋体" w:hAnsi="宋体" w:cs="宋体"/>
                <w:sz w:val="24"/>
                <w:highlight w:val="none"/>
              </w:rPr>
            </w:pPr>
            <w:r>
              <w:rPr>
                <w:rFonts w:hint="eastAsia" w:ascii="宋体" w:hAnsi="宋体" w:cs="宋体"/>
                <w:sz w:val="24"/>
                <w:highlight w:val="none"/>
                <w:u w:val="single"/>
              </w:rPr>
              <w:t>2027</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日前</w:t>
            </w:r>
          </w:p>
        </w:tc>
        <w:tc>
          <w:tcPr>
            <w:tcW w:w="1593" w:type="dxa"/>
            <w:vAlign w:val="center"/>
          </w:tcPr>
          <w:p w14:paraId="67198335">
            <w:pPr>
              <w:spacing w:line="440" w:lineRule="exact"/>
              <w:ind w:left="-57" w:right="-105" w:rightChars="-50"/>
              <w:jc w:val="center"/>
              <w:rPr>
                <w:rFonts w:ascii="宋体" w:hAnsi="宋体" w:cs="宋体"/>
                <w:sz w:val="24"/>
                <w:highlight w:val="none"/>
              </w:rPr>
            </w:pPr>
          </w:p>
        </w:tc>
      </w:tr>
    </w:tbl>
    <w:p w14:paraId="1CFE9A6E">
      <w:pPr>
        <w:tabs>
          <w:tab w:val="left" w:pos="630"/>
          <w:tab w:val="left" w:pos="960"/>
        </w:tabs>
        <w:spacing w:line="440" w:lineRule="exact"/>
        <w:rPr>
          <w:rFonts w:ascii="宋体" w:hAnsi="宋体" w:cs="宋体"/>
          <w:b/>
          <w:bCs/>
          <w:sz w:val="24"/>
          <w:highlight w:val="none"/>
        </w:rPr>
      </w:pPr>
      <w:r>
        <w:rPr>
          <w:rFonts w:hint="eastAsia" w:ascii="宋体" w:hAnsi="宋体" w:cs="宋体"/>
          <w:b/>
          <w:bCs/>
          <w:sz w:val="24"/>
          <w:highlight w:val="none"/>
        </w:rPr>
        <w:t xml:space="preserve"> 2.支付方式</w:t>
      </w:r>
    </w:p>
    <w:p w14:paraId="4FDAB8E6">
      <w:pPr>
        <w:tabs>
          <w:tab w:val="left" w:pos="960"/>
        </w:tabs>
        <w:spacing w:line="440" w:lineRule="exact"/>
        <w:ind w:firstLine="480" w:firstLineChars="200"/>
        <w:rPr>
          <w:rFonts w:ascii="宋体" w:hAnsi="宋体" w:cs="宋体"/>
          <w:sz w:val="24"/>
          <w:highlight w:val="none"/>
        </w:rPr>
      </w:pPr>
      <w:r>
        <w:rPr>
          <w:rFonts w:hint="eastAsia" w:ascii="宋体" w:hAnsi="宋体" w:cs="宋体"/>
          <w:sz w:val="24"/>
          <w:highlight w:val="none"/>
        </w:rPr>
        <w:t>2.1 甲方按上述约定期限将保养费以   □</w:t>
      </w:r>
      <w:r>
        <w:rPr>
          <w:rFonts w:hint="eastAsia" w:ascii="宋体" w:hAnsi="宋体" w:cs="宋体"/>
          <w:b/>
          <w:bCs/>
          <w:sz w:val="24"/>
          <w:highlight w:val="none"/>
        </w:rPr>
        <w:t xml:space="preserve"> </w:t>
      </w:r>
      <w:r>
        <w:rPr>
          <w:rFonts w:hint="eastAsia" w:ascii="宋体" w:hAnsi="宋体" w:cs="宋体"/>
          <w:sz w:val="24"/>
          <w:highlight w:val="none"/>
        </w:rPr>
        <w:t xml:space="preserve">支票  </w:t>
      </w:r>
      <w:r>
        <w:rPr>
          <w:rFonts w:hint="eastAsia" w:ascii="宋体" w:hAnsi="宋体" w:cs="宋体"/>
          <w:b/>
          <w:bCs/>
          <w:sz w:val="24"/>
          <w:highlight w:val="none"/>
        </w:rPr>
        <w:t xml:space="preserve"> </w:t>
      </w:r>
      <w:r>
        <w:rPr>
          <w:rFonts w:hint="eastAsia" w:ascii="宋体" w:hAnsi="宋体" w:cs="宋体"/>
          <w:sz w:val="24"/>
          <w:highlight w:val="none"/>
        </w:rPr>
        <w:t>☑ 汇付  方式支付。乙方收到每笔款项后，甲方开具相应金额的以下发票：</w:t>
      </w:r>
    </w:p>
    <w:p w14:paraId="11F3E886">
      <w:pPr>
        <w:tabs>
          <w:tab w:val="left" w:pos="960"/>
        </w:tabs>
        <w:spacing w:line="440" w:lineRule="exact"/>
        <w:ind w:firstLine="720" w:firstLineChars="300"/>
        <w:rPr>
          <w:rFonts w:ascii="宋体" w:hAnsi="宋体" w:cs="宋体"/>
          <w:sz w:val="24"/>
          <w:highlight w:val="none"/>
        </w:rPr>
      </w:pPr>
      <w:r>
        <w:rPr>
          <w:rFonts w:hint="eastAsia" w:ascii="宋体" w:hAnsi="宋体" w:cs="宋体"/>
          <w:sz w:val="24"/>
          <w:highlight w:val="none"/>
        </w:rPr>
        <w:t>□增值税普通发票    ☑增值税专用发票（税率    %）</w:t>
      </w:r>
    </w:p>
    <w:p w14:paraId="0114AC5D">
      <w:pPr>
        <w:spacing w:line="440" w:lineRule="exact"/>
        <w:rPr>
          <w:rFonts w:ascii="宋体" w:hAnsi="宋体" w:cs="宋体"/>
          <w:sz w:val="24"/>
          <w:highlight w:val="none"/>
        </w:rPr>
      </w:pPr>
      <w:r>
        <w:rPr>
          <w:rFonts w:hint="eastAsia" w:ascii="宋体" w:hAnsi="宋体" w:cs="宋体"/>
          <w:sz w:val="24"/>
          <w:highlight w:val="none"/>
        </w:rPr>
        <w:t>甲方要求开具增值税专用发票的，应当在本合同封面将甲方注册地址、邮编、账户信息、统一社会信用代码填写完整无误。</w:t>
      </w:r>
    </w:p>
    <w:p w14:paraId="6EE3674A">
      <w:pPr>
        <w:tabs>
          <w:tab w:val="left" w:pos="720"/>
        </w:tabs>
        <w:spacing w:line="440" w:lineRule="exact"/>
        <w:ind w:firstLine="480" w:firstLineChars="200"/>
        <w:rPr>
          <w:rFonts w:ascii="宋体" w:hAnsi="宋体" w:cs="宋体"/>
          <w:sz w:val="24"/>
          <w:highlight w:val="none"/>
        </w:rPr>
      </w:pPr>
      <w:r>
        <w:rPr>
          <w:rFonts w:hint="eastAsia" w:ascii="宋体" w:hAnsi="宋体" w:cs="宋体"/>
          <w:sz w:val="24"/>
          <w:highlight w:val="none"/>
        </w:rPr>
        <w:t>2.2 甲方若未按规定时间支付费用的，按未付款部分的每天万分之四比例向乙方支付逾期付款违约金。</w:t>
      </w:r>
    </w:p>
    <w:p w14:paraId="0A00AD36">
      <w:pPr>
        <w:tabs>
          <w:tab w:val="left" w:pos="735"/>
        </w:tabs>
        <w:spacing w:line="440" w:lineRule="exact"/>
        <w:ind w:left="1066" w:leftChars="165" w:hanging="720" w:hangingChars="300"/>
        <w:rPr>
          <w:rFonts w:ascii="宋体" w:hAnsi="宋体" w:cs="宋体"/>
          <w:b/>
          <w:bCs/>
          <w:sz w:val="24"/>
          <w:highlight w:val="none"/>
        </w:rPr>
      </w:pPr>
      <w:r>
        <w:rPr>
          <w:rFonts w:hint="eastAsia" w:ascii="宋体" w:hAnsi="宋体" w:cs="宋体"/>
          <w:sz w:val="24"/>
          <w:highlight w:val="none"/>
        </w:rPr>
        <w:t xml:space="preserve"> 2.3 甲方需购置的零部件，费用应在更换前以同一支付方式一次性付给乙方。</w:t>
      </w:r>
    </w:p>
    <w:p w14:paraId="43860601">
      <w:pPr>
        <w:tabs>
          <w:tab w:val="left" w:pos="420"/>
          <w:tab w:val="left" w:pos="720"/>
        </w:tabs>
        <w:spacing w:line="440" w:lineRule="exact"/>
        <w:ind w:left="601" w:hanging="601"/>
        <w:rPr>
          <w:rFonts w:ascii="宋体" w:hAnsi="宋体" w:cs="宋体"/>
          <w:b/>
          <w:bCs/>
          <w:sz w:val="24"/>
          <w:highlight w:val="none"/>
        </w:rPr>
      </w:pPr>
      <w:r>
        <w:rPr>
          <w:rFonts w:hint="eastAsia" w:ascii="宋体" w:hAnsi="宋体" w:cs="宋体"/>
          <w:b/>
          <w:bCs/>
          <w:sz w:val="24"/>
          <w:highlight w:val="none"/>
        </w:rPr>
        <w:t>十、本合同不承担项目</w:t>
      </w:r>
    </w:p>
    <w:p w14:paraId="469F194E">
      <w:pPr>
        <w:tabs>
          <w:tab w:val="left" w:pos="360"/>
          <w:tab w:val="left" w:pos="779"/>
        </w:tabs>
        <w:spacing w:line="440" w:lineRule="exact"/>
        <w:ind w:firstLine="480" w:firstLineChars="200"/>
        <w:rPr>
          <w:rFonts w:ascii="宋体" w:hAnsi="宋体" w:cs="宋体"/>
          <w:sz w:val="24"/>
          <w:highlight w:val="none"/>
        </w:rPr>
      </w:pPr>
      <w:r>
        <w:rPr>
          <w:rFonts w:hint="eastAsia" w:ascii="宋体" w:hAnsi="宋体" w:cs="宋体"/>
          <w:sz w:val="24"/>
          <w:highlight w:val="none"/>
        </w:rPr>
        <w:t>1.土建工程中的电梯井道壁、井道工字钢、井道灯、井道防水、井道隔离网、机房电源等附属设施的改造、修理、装饰、更换、清理和维修等工作。</w:t>
      </w:r>
    </w:p>
    <w:p w14:paraId="03933152">
      <w:pPr>
        <w:tabs>
          <w:tab w:val="left" w:pos="720"/>
        </w:tabs>
        <w:spacing w:line="440" w:lineRule="exact"/>
        <w:ind w:left="578" w:hanging="578"/>
        <w:rPr>
          <w:rFonts w:ascii="宋体" w:hAnsi="宋体" w:cs="宋体"/>
          <w:sz w:val="24"/>
          <w:highlight w:val="none"/>
        </w:rPr>
      </w:pPr>
      <w:r>
        <w:rPr>
          <w:rFonts w:hint="eastAsia" w:ascii="宋体" w:hAnsi="宋体" w:cs="宋体"/>
          <w:sz w:val="24"/>
          <w:highlight w:val="none"/>
        </w:rPr>
        <w:t xml:space="preserve">    2.本合同及合同附件所述内容之外的其他项目。</w:t>
      </w:r>
    </w:p>
    <w:p w14:paraId="3B72695D">
      <w:pPr>
        <w:tabs>
          <w:tab w:val="left" w:pos="420"/>
          <w:tab w:val="left" w:pos="720"/>
        </w:tabs>
        <w:spacing w:line="440" w:lineRule="exact"/>
        <w:ind w:left="601" w:hanging="601"/>
        <w:rPr>
          <w:rFonts w:ascii="宋体" w:hAnsi="宋体" w:cs="宋体"/>
          <w:b/>
          <w:bCs/>
          <w:sz w:val="24"/>
          <w:highlight w:val="none"/>
        </w:rPr>
      </w:pPr>
      <w:r>
        <w:rPr>
          <w:rFonts w:hint="eastAsia" w:ascii="宋体" w:hAnsi="宋体" w:cs="宋体"/>
          <w:b/>
          <w:bCs/>
          <w:sz w:val="24"/>
          <w:highlight w:val="none"/>
        </w:rPr>
        <w:t>十一、违约责任</w:t>
      </w:r>
    </w:p>
    <w:p w14:paraId="38754B4D">
      <w:pPr>
        <w:tabs>
          <w:tab w:val="left" w:pos="720"/>
        </w:tabs>
        <w:spacing w:line="440" w:lineRule="exact"/>
        <w:ind w:firstLine="480" w:firstLineChars="200"/>
        <w:rPr>
          <w:rFonts w:ascii="宋体" w:hAnsi="宋体" w:cs="宋体"/>
          <w:sz w:val="24"/>
          <w:highlight w:val="none"/>
        </w:rPr>
      </w:pPr>
      <w:r>
        <w:rPr>
          <w:rFonts w:hint="eastAsia" w:ascii="宋体" w:hAnsi="宋体" w:cs="宋体"/>
          <w:sz w:val="24"/>
          <w:highlight w:val="none"/>
        </w:rPr>
        <w:t>1.除不可抗力外，甲方未按约定按期、足额支付保养费或乙方未按合同规定履行保养义务，违约方应当按照未履行部分总额的每天万分之四比例向守约方支付逾期违约金，并继续履行合同义务，该违约金最高不超过合同总额的百分之五。</w:t>
      </w:r>
    </w:p>
    <w:p w14:paraId="5447DE36">
      <w:pPr>
        <w:tabs>
          <w:tab w:val="left" w:pos="720"/>
        </w:tabs>
        <w:spacing w:line="440" w:lineRule="exact"/>
        <w:ind w:firstLine="480" w:firstLineChars="200"/>
        <w:rPr>
          <w:rFonts w:ascii="宋体" w:hAnsi="宋体" w:cs="宋体"/>
          <w:sz w:val="24"/>
          <w:highlight w:val="none"/>
        </w:rPr>
      </w:pPr>
      <w:r>
        <w:rPr>
          <w:rFonts w:hint="eastAsia" w:ascii="宋体" w:hAnsi="宋体" w:cs="宋体"/>
          <w:sz w:val="24"/>
          <w:highlight w:val="none"/>
        </w:rPr>
        <w:t>2.双方协商一致，在结清实际服务期内的保养费用后，可解除合同。</w:t>
      </w:r>
    </w:p>
    <w:p w14:paraId="02DC0064">
      <w:pPr>
        <w:tabs>
          <w:tab w:val="left" w:pos="720"/>
        </w:tabs>
        <w:spacing w:line="440" w:lineRule="exact"/>
        <w:ind w:firstLine="480" w:firstLineChars="200"/>
        <w:rPr>
          <w:rFonts w:ascii="宋体" w:hAnsi="宋体" w:cs="宋体"/>
          <w:sz w:val="24"/>
          <w:highlight w:val="none"/>
        </w:rPr>
      </w:pPr>
      <w:r>
        <w:rPr>
          <w:rFonts w:hint="eastAsia" w:ascii="宋体" w:hAnsi="宋体" w:cs="宋体"/>
          <w:sz w:val="24"/>
          <w:highlight w:val="none"/>
        </w:rPr>
        <w:t>3.任何一方若在合同生效后无故解除合同或以实际行动表示不履行合同的，则需根据有偿服务期内的保养价格对所有实际服务期结清保养费，且违约方应向守约方支付保养合同总价30%的违约金。</w:t>
      </w:r>
    </w:p>
    <w:p w14:paraId="3DCFD0BA">
      <w:pPr>
        <w:tabs>
          <w:tab w:val="left" w:pos="720"/>
        </w:tabs>
        <w:spacing w:line="440" w:lineRule="exact"/>
        <w:ind w:left="601" w:hanging="601"/>
        <w:rPr>
          <w:rFonts w:ascii="宋体" w:hAnsi="宋体" w:cs="宋体"/>
          <w:b/>
          <w:bCs/>
          <w:sz w:val="24"/>
          <w:highlight w:val="none"/>
        </w:rPr>
      </w:pPr>
      <w:r>
        <w:rPr>
          <w:rFonts w:hint="eastAsia" w:ascii="宋体" w:hAnsi="宋体" w:cs="宋体"/>
          <w:b/>
          <w:bCs/>
          <w:sz w:val="24"/>
          <w:highlight w:val="none"/>
        </w:rPr>
        <w:t>十二、其他</w:t>
      </w:r>
    </w:p>
    <w:p w14:paraId="704110BB">
      <w:pPr>
        <w:tabs>
          <w:tab w:val="left" w:pos="360"/>
          <w:tab w:val="left" w:pos="779"/>
        </w:tabs>
        <w:spacing w:line="440" w:lineRule="exact"/>
        <w:ind w:firstLine="480" w:firstLineChars="200"/>
        <w:rPr>
          <w:rFonts w:ascii="宋体" w:hAnsi="宋体" w:cs="宋体"/>
          <w:sz w:val="24"/>
          <w:highlight w:val="none"/>
        </w:rPr>
      </w:pPr>
      <w:r>
        <w:rPr>
          <w:rFonts w:hint="eastAsia" w:ascii="宋体" w:hAnsi="宋体" w:cs="宋体"/>
          <w:sz w:val="24"/>
          <w:highlight w:val="none"/>
        </w:rPr>
        <w:t>1.服务期内，甲方需要增加电梯设备功能和改变性能时，或因国家颁布或修订有关标准而需对电梯设备进行改造时，双方应在另行签订《产品改造合同》后实施。</w:t>
      </w:r>
    </w:p>
    <w:p w14:paraId="39AAE8E2">
      <w:pPr>
        <w:tabs>
          <w:tab w:val="left" w:pos="360"/>
          <w:tab w:val="left" w:pos="779"/>
        </w:tabs>
        <w:spacing w:line="440" w:lineRule="exact"/>
        <w:ind w:firstLine="480" w:firstLineChars="200"/>
        <w:rPr>
          <w:rFonts w:ascii="宋体" w:hAnsi="宋体" w:cs="宋体"/>
          <w:sz w:val="24"/>
          <w:highlight w:val="none"/>
        </w:rPr>
      </w:pPr>
      <w:r>
        <w:rPr>
          <w:rFonts w:hint="eastAsia" w:ascii="宋体" w:hAnsi="宋体" w:cs="宋体"/>
          <w:sz w:val="24"/>
          <w:highlight w:val="none"/>
        </w:rPr>
        <w:t>2.保养中产生的各类废弃物，由甲方负责按照当地环境管理法律法规及有关规定予以处理。</w:t>
      </w:r>
    </w:p>
    <w:p w14:paraId="4D8E9862">
      <w:pPr>
        <w:tabs>
          <w:tab w:val="left" w:pos="360"/>
          <w:tab w:val="left" w:pos="779"/>
        </w:tabs>
        <w:spacing w:line="440" w:lineRule="exact"/>
        <w:ind w:firstLine="480" w:firstLineChars="200"/>
        <w:rPr>
          <w:rFonts w:ascii="宋体" w:hAnsi="宋体" w:cs="宋体"/>
          <w:sz w:val="24"/>
          <w:highlight w:val="none"/>
        </w:rPr>
      </w:pPr>
      <w:r>
        <w:rPr>
          <w:rFonts w:hint="eastAsia" w:ascii="宋体" w:hAnsi="宋体" w:cs="宋体"/>
          <w:sz w:val="24"/>
          <w:highlight w:val="none"/>
        </w:rPr>
        <w:t>3.因电梯设备属于特种设备，甲方同意将保养（包括另行维修、改造中）更换下的专用印板，交由乙方回收销毁，以保证废、旧专用印板不流入市场。</w:t>
      </w:r>
    </w:p>
    <w:p w14:paraId="38D94C63">
      <w:pPr>
        <w:tabs>
          <w:tab w:val="left" w:pos="360"/>
          <w:tab w:val="left" w:pos="779"/>
        </w:tabs>
        <w:spacing w:line="440" w:lineRule="exact"/>
        <w:ind w:firstLine="480" w:firstLineChars="200"/>
        <w:rPr>
          <w:rFonts w:ascii="宋体" w:hAnsi="宋体" w:cs="宋体"/>
          <w:sz w:val="24"/>
          <w:highlight w:val="none"/>
        </w:rPr>
      </w:pPr>
      <w:r>
        <w:rPr>
          <w:rFonts w:hint="eastAsia" w:ascii="宋体" w:hAnsi="宋体" w:cs="宋体"/>
          <w:sz w:val="24"/>
          <w:highlight w:val="none"/>
        </w:rPr>
        <w:t>4.合同签订时，需要对合同条款增加和更改的，或者要求提供本合同约定以外的服务时，双方应在“另行约定事项”中约定，经双方签字、盖章后生效。</w:t>
      </w:r>
    </w:p>
    <w:p w14:paraId="1E09C3CA">
      <w:pPr>
        <w:tabs>
          <w:tab w:val="left" w:pos="839"/>
        </w:tabs>
        <w:spacing w:line="440" w:lineRule="exact"/>
        <w:ind w:firstLine="480" w:firstLineChars="200"/>
        <w:rPr>
          <w:rFonts w:ascii="宋体" w:hAnsi="宋体" w:cs="宋体"/>
          <w:sz w:val="24"/>
          <w:highlight w:val="none"/>
        </w:rPr>
      </w:pPr>
      <w:r>
        <w:rPr>
          <w:rFonts w:hint="eastAsia" w:ascii="宋体" w:hAnsi="宋体" w:cs="宋体"/>
          <w:sz w:val="24"/>
          <w:highlight w:val="none"/>
        </w:rPr>
        <w:t>5.合同生效后，需要对原条款进行变更的，双方应另签“合同修改书”，经双方签字、盖章后生效。</w:t>
      </w:r>
    </w:p>
    <w:p w14:paraId="6261F8EF">
      <w:pPr>
        <w:tabs>
          <w:tab w:val="left" w:pos="839"/>
        </w:tabs>
        <w:spacing w:line="440" w:lineRule="exact"/>
        <w:ind w:firstLine="480" w:firstLineChars="200"/>
        <w:rPr>
          <w:rFonts w:ascii="宋体" w:hAnsi="宋体" w:cs="宋体"/>
          <w:sz w:val="24"/>
          <w:highlight w:val="none"/>
        </w:rPr>
      </w:pPr>
      <w:r>
        <w:rPr>
          <w:rFonts w:hint="eastAsia" w:ascii="宋体" w:hAnsi="宋体" w:cs="宋体"/>
          <w:sz w:val="24"/>
          <w:highlight w:val="none"/>
        </w:rPr>
        <w:t>6.“产品保养方式”“产品保养年度作业计划表”、“易损部品清单”、“另行约定事项”和“合同修改书”等其他与本合同有关协议、文件为本合同之附件，属本合同不可分割部分，具有同等效力。本合同及上述的协议、文件一经签署和确定，均取代之前的口头或其他书面的约定。</w:t>
      </w:r>
    </w:p>
    <w:p w14:paraId="4201CA4C">
      <w:pPr>
        <w:tabs>
          <w:tab w:val="left" w:pos="839"/>
        </w:tabs>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7.本合同届满前三个月，双方就合同是否续签进行协商。若本合同服务期满后，双方暂未及时续签《产品保养服务合同》，并且甲方需要乙方继续提供保养服务的，甲方需书面函告乙方暂按原合同条款执行保养服务一个月，并以此作为本合同的延续执行期，直至新的《产品保养服务合同》生效。若延续执行期届满时双方仍未续签，则本合同终止，且甲方应在七日内按服务期内保养价格付清保养费。 合同执行过程中，若因甲方换梯等原因，需提前终止的，甲方需提前1个月告知乙方。 </w:t>
      </w:r>
    </w:p>
    <w:p w14:paraId="660CD0F9">
      <w:pPr>
        <w:tabs>
          <w:tab w:val="left" w:pos="360"/>
          <w:tab w:val="left" w:pos="779"/>
        </w:tabs>
        <w:spacing w:line="440" w:lineRule="exact"/>
        <w:ind w:firstLine="480" w:firstLineChars="200"/>
        <w:rPr>
          <w:rFonts w:ascii="宋体" w:hAnsi="宋体" w:cs="宋体"/>
          <w:sz w:val="24"/>
          <w:highlight w:val="none"/>
        </w:rPr>
      </w:pPr>
      <w:r>
        <w:rPr>
          <w:rFonts w:hint="eastAsia" w:ascii="宋体" w:hAnsi="宋体" w:cs="宋体"/>
          <w:sz w:val="24"/>
          <w:highlight w:val="none"/>
        </w:rPr>
        <w:t>8.若在保养过程中发生安全事故，停运而给甲方带来损失并书面提出赔偿要求的，应由政府主管部门介入并作出事故鉴定结论，或在政府主管部门不介入之时由双方共同委托有能力的第三方权威监测机构作鉴定。双方的安全责任及法律责任根据鉴定结论进行划分。</w:t>
      </w:r>
    </w:p>
    <w:p w14:paraId="5BF4D899">
      <w:pPr>
        <w:tabs>
          <w:tab w:val="left" w:pos="360"/>
          <w:tab w:val="left" w:pos="779"/>
        </w:tabs>
        <w:spacing w:line="440" w:lineRule="exact"/>
        <w:ind w:firstLine="480" w:firstLineChars="200"/>
        <w:rPr>
          <w:rFonts w:ascii="宋体" w:hAnsi="宋体" w:cs="宋体"/>
          <w:sz w:val="24"/>
          <w:highlight w:val="none"/>
        </w:rPr>
      </w:pPr>
      <w:r>
        <w:rPr>
          <w:rFonts w:hint="eastAsia" w:ascii="宋体" w:hAnsi="宋体" w:cs="宋体"/>
          <w:sz w:val="24"/>
          <w:highlight w:val="none"/>
        </w:rPr>
        <w:t>9.双方发生争议时，应先协商解决，协商不成，任何一方可依法向原告住所地人民法院起诉。</w:t>
      </w:r>
    </w:p>
    <w:p w14:paraId="6A8E91C5">
      <w:pPr>
        <w:tabs>
          <w:tab w:val="left" w:pos="360"/>
          <w:tab w:val="left" w:pos="779"/>
        </w:tabs>
        <w:spacing w:line="440" w:lineRule="exact"/>
        <w:ind w:left="627" w:leftChars="190" w:hanging="228" w:hangingChars="95"/>
        <w:rPr>
          <w:rFonts w:ascii="宋体" w:hAnsi="宋体" w:cs="宋体"/>
          <w:sz w:val="24"/>
          <w:highlight w:val="none"/>
        </w:rPr>
      </w:pPr>
      <w:r>
        <w:rPr>
          <w:rFonts w:hint="eastAsia" w:ascii="宋体" w:hAnsi="宋体" w:cs="宋体"/>
          <w:sz w:val="24"/>
          <w:highlight w:val="none"/>
        </w:rPr>
        <w:t>10.若乙方维保工作得到甲方肯定，甲方有权视情况继续与乙方续签维保合同。</w:t>
      </w:r>
    </w:p>
    <w:p w14:paraId="46AC8E6C">
      <w:pPr>
        <w:tabs>
          <w:tab w:val="left" w:pos="360"/>
          <w:tab w:val="left" w:pos="779"/>
        </w:tabs>
        <w:spacing w:line="440" w:lineRule="exact"/>
        <w:ind w:left="627" w:leftChars="190" w:hanging="228" w:hangingChars="95"/>
        <w:rPr>
          <w:rFonts w:ascii="宋体" w:hAnsi="宋体" w:cs="宋体"/>
          <w:sz w:val="24"/>
          <w:highlight w:val="none"/>
        </w:rPr>
      </w:pPr>
      <w:r>
        <w:rPr>
          <w:rFonts w:hint="eastAsia" w:ascii="宋体" w:hAnsi="宋体" w:cs="宋体"/>
          <w:sz w:val="24"/>
          <w:highlight w:val="none"/>
        </w:rPr>
        <w:t>11.本合同正本一式伍份，甲方执叁份，乙方贰份。</w:t>
      </w:r>
    </w:p>
    <w:p w14:paraId="1ACEF41B">
      <w:pPr>
        <w:tabs>
          <w:tab w:val="left" w:pos="360"/>
          <w:tab w:val="left" w:pos="779"/>
        </w:tabs>
        <w:spacing w:line="400" w:lineRule="exact"/>
        <w:ind w:left="627" w:leftChars="190" w:hanging="228" w:hangingChars="95"/>
        <w:rPr>
          <w:rFonts w:ascii="宋体" w:hAnsi="宋体" w:cs="宋体"/>
          <w:sz w:val="24"/>
          <w:highlight w:val="none"/>
        </w:rPr>
      </w:pPr>
    </w:p>
    <w:tbl>
      <w:tblPr>
        <w:tblStyle w:val="54"/>
        <w:tblW w:w="9072" w:type="dxa"/>
        <w:jc w:val="center"/>
        <w:tblLayout w:type="fixed"/>
        <w:tblCellMar>
          <w:top w:w="0" w:type="dxa"/>
          <w:left w:w="0" w:type="dxa"/>
          <w:bottom w:w="0" w:type="dxa"/>
          <w:right w:w="0" w:type="dxa"/>
        </w:tblCellMar>
      </w:tblPr>
      <w:tblGrid>
        <w:gridCol w:w="4819"/>
        <w:gridCol w:w="4253"/>
      </w:tblGrid>
      <w:tr w14:paraId="1D77513F">
        <w:tblPrEx>
          <w:tblCellMar>
            <w:top w:w="0" w:type="dxa"/>
            <w:left w:w="0" w:type="dxa"/>
            <w:bottom w:w="0" w:type="dxa"/>
            <w:right w:w="0" w:type="dxa"/>
          </w:tblCellMar>
        </w:tblPrEx>
        <w:trPr>
          <w:trHeight w:val="603" w:hRule="atLeast"/>
          <w:jc w:val="center"/>
        </w:trPr>
        <w:tc>
          <w:tcPr>
            <w:tcW w:w="4819" w:type="dxa"/>
          </w:tcPr>
          <w:p w14:paraId="2068618C">
            <w:pPr>
              <w:widowControl/>
              <w:tabs>
                <w:tab w:val="left" w:pos="4516"/>
              </w:tabs>
              <w:kinsoku w:val="0"/>
              <w:autoSpaceDE w:val="0"/>
              <w:autoSpaceDN w:val="0"/>
              <w:adjustRightInd w:val="0"/>
              <w:snapToGrid w:val="0"/>
              <w:spacing w:line="480" w:lineRule="auto"/>
              <w:ind w:firstLine="1680" w:firstLineChars="700"/>
              <w:textAlignment w:val="baseline"/>
              <w:rPr>
                <w:rFonts w:ascii="宋体" w:hAnsi="宋体" w:cs="宋体"/>
                <w:sz w:val="24"/>
                <w:highlight w:val="none"/>
              </w:rPr>
            </w:pPr>
            <w:r>
              <w:rPr>
                <w:rFonts w:hint="eastAsia" w:ascii="宋体" w:hAnsi="宋体" w:cs="宋体"/>
                <w:sz w:val="24"/>
                <w:highlight w:val="none"/>
              </w:rPr>
              <w:t>甲  方</w:t>
            </w:r>
          </w:p>
          <w:p w14:paraId="3B81DE17">
            <w:pPr>
              <w:widowControl/>
              <w:tabs>
                <w:tab w:val="left" w:pos="4516"/>
              </w:tabs>
              <w:kinsoku w:val="0"/>
              <w:autoSpaceDE w:val="0"/>
              <w:autoSpaceDN w:val="0"/>
              <w:adjustRightInd w:val="0"/>
              <w:snapToGrid w:val="0"/>
              <w:spacing w:line="480" w:lineRule="auto"/>
              <w:textAlignment w:val="baseline"/>
              <w:rPr>
                <w:rFonts w:ascii="宋体" w:hAnsi="宋体" w:cs="宋体"/>
                <w:sz w:val="24"/>
                <w:highlight w:val="none"/>
              </w:rPr>
            </w:pPr>
            <w:r>
              <w:rPr>
                <w:rFonts w:hint="eastAsia" w:ascii="宋体" w:hAnsi="宋体" w:cs="宋体"/>
                <w:sz w:val="24"/>
                <w:highlight w:val="none"/>
              </w:rPr>
              <w:t>单位名称（章）：</w:t>
            </w:r>
          </w:p>
          <w:p w14:paraId="19B1FB02">
            <w:pPr>
              <w:widowControl/>
              <w:tabs>
                <w:tab w:val="left" w:pos="4516"/>
              </w:tabs>
              <w:kinsoku w:val="0"/>
              <w:autoSpaceDE w:val="0"/>
              <w:autoSpaceDN w:val="0"/>
              <w:adjustRightInd w:val="0"/>
              <w:snapToGrid w:val="0"/>
              <w:spacing w:line="480" w:lineRule="auto"/>
              <w:textAlignment w:val="baseline"/>
              <w:rPr>
                <w:rFonts w:ascii="宋体" w:hAnsi="宋体" w:cs="宋体"/>
                <w:sz w:val="24"/>
                <w:highlight w:val="none"/>
              </w:rPr>
            </w:pPr>
            <w:r>
              <w:rPr>
                <w:rFonts w:hint="eastAsia" w:ascii="宋体" w:hAnsi="宋体" w:cs="宋体"/>
                <w:sz w:val="24"/>
                <w:highlight w:val="none"/>
              </w:rPr>
              <w:t>法定代表人或</w:t>
            </w:r>
          </w:p>
          <w:p w14:paraId="6ED4A58E">
            <w:pPr>
              <w:widowControl/>
              <w:tabs>
                <w:tab w:val="left" w:pos="4516"/>
              </w:tabs>
              <w:kinsoku w:val="0"/>
              <w:autoSpaceDE w:val="0"/>
              <w:autoSpaceDN w:val="0"/>
              <w:adjustRightInd w:val="0"/>
              <w:snapToGrid w:val="0"/>
              <w:spacing w:line="480" w:lineRule="auto"/>
              <w:textAlignment w:val="baseline"/>
              <w:rPr>
                <w:rFonts w:ascii="宋体" w:hAnsi="宋体" w:cs="宋体"/>
                <w:sz w:val="24"/>
                <w:highlight w:val="none"/>
              </w:rPr>
            </w:pPr>
            <w:r>
              <w:rPr>
                <w:rFonts w:hint="eastAsia" w:ascii="宋体" w:hAnsi="宋体" w:cs="宋体"/>
                <w:sz w:val="24"/>
                <w:highlight w:val="none"/>
              </w:rPr>
              <w:t xml:space="preserve">委托代理人： </w:t>
            </w:r>
          </w:p>
          <w:p w14:paraId="59825300">
            <w:pPr>
              <w:widowControl/>
              <w:tabs>
                <w:tab w:val="left" w:pos="4516"/>
              </w:tabs>
              <w:kinsoku w:val="0"/>
              <w:autoSpaceDE w:val="0"/>
              <w:autoSpaceDN w:val="0"/>
              <w:adjustRightInd w:val="0"/>
              <w:snapToGrid w:val="0"/>
              <w:spacing w:line="480" w:lineRule="auto"/>
              <w:textAlignment w:val="baseline"/>
              <w:rPr>
                <w:rFonts w:ascii="宋体" w:hAnsi="宋体" w:cs="宋体"/>
                <w:sz w:val="24"/>
                <w:highlight w:val="none"/>
              </w:rPr>
            </w:pPr>
            <w:r>
              <w:rPr>
                <w:rFonts w:hint="eastAsia" w:ascii="宋体" w:hAnsi="宋体" w:cs="宋体"/>
                <w:sz w:val="24"/>
                <w:highlight w:val="none"/>
              </w:rPr>
              <w:t>电     话：</w:t>
            </w:r>
          </w:p>
          <w:p w14:paraId="5FE33A96">
            <w:pPr>
              <w:widowControl/>
              <w:tabs>
                <w:tab w:val="left" w:pos="4516"/>
              </w:tabs>
              <w:kinsoku w:val="0"/>
              <w:autoSpaceDE w:val="0"/>
              <w:autoSpaceDN w:val="0"/>
              <w:adjustRightInd w:val="0"/>
              <w:snapToGrid w:val="0"/>
              <w:spacing w:line="480" w:lineRule="auto"/>
              <w:textAlignment w:val="baseline"/>
              <w:rPr>
                <w:rFonts w:ascii="宋体" w:hAnsi="宋体" w:cs="宋体"/>
                <w:sz w:val="24"/>
                <w:highlight w:val="none"/>
              </w:rPr>
            </w:pPr>
            <w:r>
              <w:rPr>
                <w:rFonts w:hint="eastAsia" w:ascii="宋体" w:hAnsi="宋体" w:cs="宋体"/>
                <w:sz w:val="24"/>
                <w:highlight w:val="none"/>
              </w:rPr>
              <w:t>日     期： 2025 年  月  日</w:t>
            </w:r>
          </w:p>
        </w:tc>
        <w:tc>
          <w:tcPr>
            <w:tcW w:w="4253" w:type="dxa"/>
          </w:tcPr>
          <w:p w14:paraId="61B83843">
            <w:pPr>
              <w:widowControl/>
              <w:tabs>
                <w:tab w:val="left" w:pos="4516"/>
              </w:tabs>
              <w:kinsoku w:val="0"/>
              <w:autoSpaceDE w:val="0"/>
              <w:autoSpaceDN w:val="0"/>
              <w:adjustRightInd w:val="0"/>
              <w:snapToGrid w:val="0"/>
              <w:spacing w:line="480" w:lineRule="auto"/>
              <w:ind w:firstLine="1440" w:firstLineChars="600"/>
              <w:textAlignment w:val="baseline"/>
              <w:rPr>
                <w:rFonts w:ascii="宋体" w:hAnsi="宋体" w:cs="宋体"/>
                <w:sz w:val="24"/>
                <w:highlight w:val="none"/>
              </w:rPr>
            </w:pPr>
            <w:r>
              <w:rPr>
                <w:rFonts w:hint="eastAsia" w:ascii="宋体" w:hAnsi="宋体" w:cs="宋体"/>
                <w:sz w:val="24"/>
                <w:highlight w:val="none"/>
              </w:rPr>
              <w:t>乙  方</w:t>
            </w:r>
          </w:p>
          <w:p w14:paraId="7D314159">
            <w:pPr>
              <w:widowControl/>
              <w:tabs>
                <w:tab w:val="left" w:pos="4516"/>
              </w:tabs>
              <w:kinsoku w:val="0"/>
              <w:autoSpaceDE w:val="0"/>
              <w:autoSpaceDN w:val="0"/>
              <w:adjustRightInd w:val="0"/>
              <w:snapToGrid w:val="0"/>
              <w:spacing w:line="480" w:lineRule="auto"/>
              <w:textAlignment w:val="baseline"/>
              <w:rPr>
                <w:rFonts w:ascii="宋体" w:hAnsi="宋体" w:cs="宋体"/>
                <w:sz w:val="24"/>
                <w:highlight w:val="none"/>
              </w:rPr>
            </w:pPr>
            <w:r>
              <w:rPr>
                <w:rFonts w:hint="eastAsia" w:ascii="宋体" w:hAnsi="宋体" w:cs="宋体"/>
                <w:sz w:val="24"/>
                <w:highlight w:val="none"/>
              </w:rPr>
              <w:t>单位名称（章）：</w:t>
            </w:r>
          </w:p>
          <w:p w14:paraId="46E30408">
            <w:pPr>
              <w:widowControl/>
              <w:tabs>
                <w:tab w:val="left" w:pos="4516"/>
              </w:tabs>
              <w:kinsoku w:val="0"/>
              <w:autoSpaceDE w:val="0"/>
              <w:autoSpaceDN w:val="0"/>
              <w:adjustRightInd w:val="0"/>
              <w:snapToGrid w:val="0"/>
              <w:spacing w:line="480" w:lineRule="auto"/>
              <w:textAlignment w:val="baseline"/>
              <w:rPr>
                <w:rFonts w:ascii="宋体" w:hAnsi="宋体" w:cs="宋体"/>
                <w:sz w:val="24"/>
                <w:highlight w:val="none"/>
              </w:rPr>
            </w:pPr>
            <w:r>
              <w:rPr>
                <w:rFonts w:hint="eastAsia" w:ascii="宋体" w:hAnsi="宋体" w:cs="宋体"/>
                <w:sz w:val="24"/>
                <w:highlight w:val="none"/>
              </w:rPr>
              <w:t>法定代表人或</w:t>
            </w:r>
          </w:p>
          <w:p w14:paraId="16F998B7">
            <w:pPr>
              <w:widowControl/>
              <w:tabs>
                <w:tab w:val="left" w:pos="4516"/>
              </w:tabs>
              <w:kinsoku w:val="0"/>
              <w:autoSpaceDE w:val="0"/>
              <w:autoSpaceDN w:val="0"/>
              <w:adjustRightInd w:val="0"/>
              <w:snapToGrid w:val="0"/>
              <w:spacing w:line="480" w:lineRule="auto"/>
              <w:textAlignment w:val="baseline"/>
              <w:rPr>
                <w:rFonts w:ascii="宋体" w:hAnsi="宋体" w:cs="宋体"/>
                <w:sz w:val="24"/>
                <w:highlight w:val="none"/>
              </w:rPr>
            </w:pPr>
            <w:r>
              <w:rPr>
                <w:rFonts w:hint="eastAsia" w:ascii="宋体" w:hAnsi="宋体" w:cs="宋体"/>
                <w:sz w:val="24"/>
                <w:highlight w:val="none"/>
              </w:rPr>
              <w:t>委托代理人：</w:t>
            </w:r>
          </w:p>
          <w:p w14:paraId="38092930">
            <w:pPr>
              <w:widowControl/>
              <w:tabs>
                <w:tab w:val="left" w:pos="4516"/>
              </w:tabs>
              <w:kinsoku w:val="0"/>
              <w:autoSpaceDE w:val="0"/>
              <w:autoSpaceDN w:val="0"/>
              <w:adjustRightInd w:val="0"/>
              <w:snapToGrid w:val="0"/>
              <w:spacing w:line="480" w:lineRule="auto"/>
              <w:textAlignment w:val="baseline"/>
              <w:rPr>
                <w:rFonts w:ascii="宋体" w:hAnsi="宋体" w:cs="宋体"/>
                <w:sz w:val="24"/>
                <w:highlight w:val="none"/>
              </w:rPr>
            </w:pPr>
            <w:r>
              <w:rPr>
                <w:rFonts w:hint="eastAsia" w:ascii="宋体" w:hAnsi="宋体" w:cs="宋体"/>
                <w:sz w:val="24"/>
                <w:highlight w:val="none"/>
              </w:rPr>
              <w:t>电      话：</w:t>
            </w:r>
          </w:p>
          <w:p w14:paraId="1276B0CC">
            <w:pPr>
              <w:widowControl/>
              <w:tabs>
                <w:tab w:val="left" w:pos="4516"/>
              </w:tabs>
              <w:kinsoku w:val="0"/>
              <w:autoSpaceDE w:val="0"/>
              <w:autoSpaceDN w:val="0"/>
              <w:adjustRightInd w:val="0"/>
              <w:snapToGrid w:val="0"/>
              <w:spacing w:line="440" w:lineRule="exact"/>
              <w:textAlignment w:val="baseline"/>
              <w:rPr>
                <w:rFonts w:ascii="宋体" w:hAnsi="宋体" w:cs="宋体"/>
                <w:sz w:val="24"/>
                <w:highlight w:val="none"/>
              </w:rPr>
            </w:pPr>
            <w:r>
              <w:rPr>
                <w:rFonts w:hint="eastAsia" w:ascii="宋体" w:hAnsi="宋体" w:cs="宋体"/>
                <w:sz w:val="24"/>
                <w:highlight w:val="none"/>
              </w:rPr>
              <w:t>日      期：  2025 年  月  日</w:t>
            </w:r>
          </w:p>
        </w:tc>
      </w:tr>
    </w:tbl>
    <w:p w14:paraId="2574B695">
      <w:pPr>
        <w:rPr>
          <w:rFonts w:ascii="宋体" w:hAnsi="宋体" w:cs="宋体"/>
          <w:b/>
          <w:bCs/>
          <w:sz w:val="24"/>
          <w:highlight w:val="none"/>
        </w:rPr>
      </w:pPr>
    </w:p>
    <w:p w14:paraId="7F092CDD">
      <w:pPr>
        <w:rPr>
          <w:rFonts w:ascii="宋体" w:hAnsi="宋体" w:cs="宋体"/>
          <w:b/>
          <w:bCs/>
          <w:sz w:val="24"/>
          <w:highlight w:val="none"/>
        </w:rPr>
      </w:pPr>
    </w:p>
    <w:p w14:paraId="19DBF89F">
      <w:pPr>
        <w:widowControl/>
        <w:snapToGrid w:val="0"/>
        <w:spacing w:line="360" w:lineRule="auto"/>
        <w:ind w:firstLine="482" w:firstLineChars="200"/>
        <w:rPr>
          <w:rFonts w:ascii="宋体" w:hAnsi="宋体" w:cs="仿宋"/>
          <w:b/>
          <w:sz w:val="24"/>
          <w:szCs w:val="24"/>
          <w:highlight w:val="none"/>
        </w:rPr>
      </w:pPr>
      <w:r>
        <w:rPr>
          <w:rFonts w:hint="eastAsia" w:ascii="宋体" w:hAnsi="宋体" w:cs="仿宋"/>
          <w:b/>
          <w:sz w:val="24"/>
          <w:szCs w:val="24"/>
          <w:highlight w:val="none"/>
        </w:rPr>
        <w:t>采购人保留对合同修改和完善的权利。</w:t>
      </w:r>
    </w:p>
    <w:p w14:paraId="2F1495D3">
      <w:pPr>
        <w:rPr>
          <w:rFonts w:ascii="宋体" w:hAnsi="宋体" w:cs="宋体"/>
          <w:b/>
          <w:bCs/>
          <w:sz w:val="24"/>
          <w:highlight w:val="none"/>
        </w:rPr>
      </w:pPr>
      <w:r>
        <w:rPr>
          <w:rFonts w:hint="eastAsia" w:ascii="宋体" w:hAnsi="宋体" w:cs="宋体"/>
          <w:b/>
          <w:bCs/>
          <w:sz w:val="24"/>
          <w:highlight w:val="none"/>
        </w:rPr>
        <w:br w:type="page"/>
      </w:r>
    </w:p>
    <w:p w14:paraId="6104713C">
      <w:pPr>
        <w:spacing w:line="440" w:lineRule="exact"/>
        <w:rPr>
          <w:rFonts w:ascii="宋体" w:hAnsi="宋体" w:cs="宋体"/>
          <w:b/>
          <w:bCs/>
          <w:sz w:val="24"/>
          <w:highlight w:val="none"/>
        </w:rPr>
      </w:pPr>
      <w:r>
        <w:rPr>
          <w:rFonts w:hint="eastAsia" w:ascii="宋体" w:hAnsi="宋体" w:cs="宋体"/>
          <w:b/>
          <w:bCs/>
          <w:sz w:val="24"/>
          <w:highlight w:val="none"/>
        </w:rPr>
        <w:t>附件一</w:t>
      </w:r>
    </w:p>
    <w:p w14:paraId="389B7F5A">
      <w:pPr>
        <w:spacing w:line="440" w:lineRule="exact"/>
        <w:jc w:val="center"/>
        <w:rPr>
          <w:rFonts w:ascii="宋体" w:hAnsi="宋体" w:cs="宋体"/>
          <w:sz w:val="40"/>
          <w:szCs w:val="28"/>
          <w:highlight w:val="none"/>
        </w:rPr>
      </w:pPr>
      <w:r>
        <w:rPr>
          <w:rFonts w:hint="eastAsia" w:ascii="宋体" w:hAnsi="宋体" w:cs="宋体"/>
          <w:b/>
          <w:bCs/>
          <w:sz w:val="40"/>
          <w:szCs w:val="28"/>
          <w:highlight w:val="none"/>
        </w:rPr>
        <w:t>超过500元常见的备品配件清单</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363"/>
        <w:gridCol w:w="1334"/>
        <w:gridCol w:w="2415"/>
        <w:gridCol w:w="1650"/>
        <w:gridCol w:w="844"/>
      </w:tblGrid>
      <w:tr w14:paraId="29AF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6CB065B6">
            <w:pPr>
              <w:jc w:val="center"/>
              <w:rPr>
                <w:rFonts w:ascii="宋体" w:hAnsi="宋体" w:cs="宋体"/>
                <w:b/>
                <w:kern w:val="44"/>
                <w:sz w:val="28"/>
                <w:szCs w:val="28"/>
                <w:highlight w:val="none"/>
              </w:rPr>
            </w:pPr>
            <w:r>
              <w:rPr>
                <w:rFonts w:hint="eastAsia" w:ascii="宋体" w:hAnsi="宋体" w:cs="宋体"/>
                <w:b/>
                <w:kern w:val="44"/>
                <w:sz w:val="28"/>
                <w:szCs w:val="28"/>
                <w:highlight w:val="none"/>
              </w:rPr>
              <w:t>序号</w:t>
            </w:r>
          </w:p>
        </w:tc>
        <w:tc>
          <w:tcPr>
            <w:tcW w:w="2363" w:type="dxa"/>
            <w:vAlign w:val="center"/>
          </w:tcPr>
          <w:p w14:paraId="0DA7DC93">
            <w:pPr>
              <w:jc w:val="center"/>
              <w:rPr>
                <w:rFonts w:ascii="宋体" w:hAnsi="宋体" w:cs="宋体"/>
                <w:b/>
                <w:kern w:val="44"/>
                <w:sz w:val="28"/>
                <w:szCs w:val="28"/>
                <w:highlight w:val="none"/>
              </w:rPr>
            </w:pPr>
            <w:r>
              <w:rPr>
                <w:rFonts w:hint="eastAsia" w:ascii="宋体" w:hAnsi="宋体" w:cs="宋体"/>
                <w:b/>
                <w:kern w:val="44"/>
                <w:sz w:val="28"/>
                <w:szCs w:val="28"/>
                <w:highlight w:val="none"/>
              </w:rPr>
              <w:t>备品配件名称</w:t>
            </w:r>
          </w:p>
        </w:tc>
        <w:tc>
          <w:tcPr>
            <w:tcW w:w="1334" w:type="dxa"/>
            <w:vAlign w:val="center"/>
          </w:tcPr>
          <w:p w14:paraId="484F3B2C">
            <w:pPr>
              <w:jc w:val="center"/>
              <w:rPr>
                <w:rFonts w:ascii="宋体" w:hAnsi="宋体" w:cs="宋体"/>
                <w:b/>
                <w:kern w:val="44"/>
                <w:sz w:val="28"/>
                <w:szCs w:val="28"/>
                <w:highlight w:val="none"/>
              </w:rPr>
            </w:pPr>
            <w:r>
              <w:rPr>
                <w:rFonts w:hint="eastAsia" w:ascii="宋体" w:hAnsi="宋体" w:cs="宋体"/>
                <w:b/>
                <w:kern w:val="44"/>
                <w:sz w:val="28"/>
                <w:szCs w:val="28"/>
                <w:highlight w:val="none"/>
              </w:rPr>
              <w:t>规格型号</w:t>
            </w:r>
          </w:p>
        </w:tc>
        <w:tc>
          <w:tcPr>
            <w:tcW w:w="2415" w:type="dxa"/>
            <w:vAlign w:val="center"/>
          </w:tcPr>
          <w:p w14:paraId="726A6C3F">
            <w:pPr>
              <w:jc w:val="center"/>
              <w:rPr>
                <w:rFonts w:ascii="宋体" w:hAnsi="宋体" w:cs="宋体"/>
                <w:b/>
                <w:kern w:val="44"/>
                <w:sz w:val="28"/>
                <w:szCs w:val="28"/>
                <w:highlight w:val="none"/>
              </w:rPr>
            </w:pPr>
            <w:r>
              <w:rPr>
                <w:rFonts w:hint="eastAsia" w:ascii="宋体" w:hAnsi="宋体" w:cs="宋体"/>
                <w:b/>
                <w:kern w:val="44"/>
                <w:sz w:val="28"/>
                <w:szCs w:val="28"/>
                <w:highlight w:val="none"/>
              </w:rPr>
              <w:t>单价（官方渠道）</w:t>
            </w:r>
          </w:p>
        </w:tc>
        <w:tc>
          <w:tcPr>
            <w:tcW w:w="1650" w:type="dxa"/>
            <w:vAlign w:val="center"/>
          </w:tcPr>
          <w:p w14:paraId="15DA8F3B">
            <w:pPr>
              <w:jc w:val="center"/>
              <w:rPr>
                <w:rFonts w:ascii="宋体" w:hAnsi="宋体" w:cs="宋体"/>
                <w:b/>
                <w:kern w:val="44"/>
                <w:sz w:val="28"/>
                <w:szCs w:val="28"/>
                <w:highlight w:val="none"/>
              </w:rPr>
            </w:pPr>
            <w:r>
              <w:rPr>
                <w:rFonts w:hint="eastAsia" w:ascii="宋体" w:hAnsi="宋体" w:cs="宋体"/>
                <w:b/>
                <w:kern w:val="44"/>
                <w:sz w:val="28"/>
                <w:szCs w:val="28"/>
                <w:highlight w:val="none"/>
              </w:rPr>
              <w:t>单价（八折价格）</w:t>
            </w:r>
          </w:p>
        </w:tc>
        <w:tc>
          <w:tcPr>
            <w:tcW w:w="844" w:type="dxa"/>
            <w:vAlign w:val="center"/>
          </w:tcPr>
          <w:p w14:paraId="318ED9A8">
            <w:pPr>
              <w:jc w:val="center"/>
              <w:rPr>
                <w:rFonts w:ascii="宋体" w:hAnsi="宋体" w:cs="宋体"/>
                <w:b/>
                <w:kern w:val="44"/>
                <w:sz w:val="28"/>
                <w:szCs w:val="28"/>
                <w:highlight w:val="none"/>
              </w:rPr>
            </w:pPr>
            <w:r>
              <w:rPr>
                <w:rFonts w:hint="eastAsia" w:ascii="宋体" w:hAnsi="宋体" w:cs="宋体"/>
                <w:b/>
                <w:kern w:val="44"/>
                <w:sz w:val="28"/>
                <w:szCs w:val="28"/>
                <w:highlight w:val="none"/>
              </w:rPr>
              <w:t>备注</w:t>
            </w:r>
          </w:p>
        </w:tc>
      </w:tr>
      <w:tr w14:paraId="22F2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0C7081A5">
            <w:pPr>
              <w:jc w:val="center"/>
              <w:rPr>
                <w:rFonts w:ascii="宋体" w:hAnsi="宋体" w:cs="宋体"/>
                <w:b/>
                <w:kern w:val="44"/>
                <w:sz w:val="28"/>
                <w:szCs w:val="28"/>
                <w:highlight w:val="none"/>
              </w:rPr>
            </w:pPr>
          </w:p>
        </w:tc>
        <w:tc>
          <w:tcPr>
            <w:tcW w:w="2363" w:type="dxa"/>
            <w:vAlign w:val="center"/>
          </w:tcPr>
          <w:p w14:paraId="5A04D8D3">
            <w:pPr>
              <w:jc w:val="center"/>
              <w:rPr>
                <w:rFonts w:ascii="宋体" w:hAnsi="宋体" w:cs="宋体"/>
                <w:b/>
                <w:kern w:val="44"/>
                <w:sz w:val="28"/>
                <w:szCs w:val="28"/>
                <w:highlight w:val="none"/>
              </w:rPr>
            </w:pPr>
          </w:p>
        </w:tc>
        <w:tc>
          <w:tcPr>
            <w:tcW w:w="1334" w:type="dxa"/>
            <w:vAlign w:val="center"/>
          </w:tcPr>
          <w:p w14:paraId="1256159B">
            <w:pPr>
              <w:jc w:val="center"/>
              <w:rPr>
                <w:rFonts w:ascii="宋体" w:hAnsi="宋体" w:cs="宋体"/>
                <w:b/>
                <w:kern w:val="44"/>
                <w:sz w:val="28"/>
                <w:szCs w:val="28"/>
                <w:highlight w:val="none"/>
              </w:rPr>
            </w:pPr>
          </w:p>
        </w:tc>
        <w:tc>
          <w:tcPr>
            <w:tcW w:w="2415" w:type="dxa"/>
            <w:vAlign w:val="center"/>
          </w:tcPr>
          <w:p w14:paraId="0A793068">
            <w:pPr>
              <w:jc w:val="center"/>
              <w:rPr>
                <w:rFonts w:ascii="宋体" w:hAnsi="宋体" w:cs="宋体"/>
                <w:b/>
                <w:kern w:val="44"/>
                <w:sz w:val="28"/>
                <w:szCs w:val="28"/>
                <w:highlight w:val="none"/>
              </w:rPr>
            </w:pPr>
          </w:p>
        </w:tc>
        <w:tc>
          <w:tcPr>
            <w:tcW w:w="1650" w:type="dxa"/>
            <w:vAlign w:val="center"/>
          </w:tcPr>
          <w:p w14:paraId="09F8A049">
            <w:pPr>
              <w:jc w:val="center"/>
              <w:rPr>
                <w:rFonts w:ascii="宋体" w:hAnsi="宋体" w:cs="宋体"/>
                <w:b/>
                <w:kern w:val="44"/>
                <w:sz w:val="28"/>
                <w:szCs w:val="28"/>
                <w:highlight w:val="none"/>
              </w:rPr>
            </w:pPr>
          </w:p>
        </w:tc>
        <w:tc>
          <w:tcPr>
            <w:tcW w:w="844" w:type="dxa"/>
            <w:vAlign w:val="center"/>
          </w:tcPr>
          <w:p w14:paraId="6B00FE69">
            <w:pPr>
              <w:jc w:val="center"/>
              <w:rPr>
                <w:rFonts w:ascii="宋体" w:hAnsi="宋体" w:cs="宋体"/>
                <w:b/>
                <w:kern w:val="44"/>
                <w:sz w:val="28"/>
                <w:szCs w:val="28"/>
                <w:highlight w:val="none"/>
              </w:rPr>
            </w:pPr>
          </w:p>
        </w:tc>
      </w:tr>
      <w:tr w14:paraId="6E1A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11720307">
            <w:pPr>
              <w:jc w:val="center"/>
              <w:rPr>
                <w:rFonts w:ascii="宋体" w:hAnsi="宋体" w:cs="宋体"/>
                <w:b/>
                <w:kern w:val="44"/>
                <w:sz w:val="28"/>
                <w:szCs w:val="28"/>
                <w:highlight w:val="none"/>
              </w:rPr>
            </w:pPr>
          </w:p>
        </w:tc>
        <w:tc>
          <w:tcPr>
            <w:tcW w:w="2363" w:type="dxa"/>
            <w:vAlign w:val="center"/>
          </w:tcPr>
          <w:p w14:paraId="2DBD3441">
            <w:pPr>
              <w:jc w:val="center"/>
              <w:rPr>
                <w:rFonts w:ascii="宋体" w:hAnsi="宋体" w:cs="宋体"/>
                <w:b/>
                <w:kern w:val="44"/>
                <w:sz w:val="28"/>
                <w:szCs w:val="28"/>
                <w:highlight w:val="none"/>
              </w:rPr>
            </w:pPr>
          </w:p>
        </w:tc>
        <w:tc>
          <w:tcPr>
            <w:tcW w:w="1334" w:type="dxa"/>
            <w:vAlign w:val="center"/>
          </w:tcPr>
          <w:p w14:paraId="1DA62188">
            <w:pPr>
              <w:jc w:val="center"/>
              <w:rPr>
                <w:rFonts w:ascii="宋体" w:hAnsi="宋体" w:cs="宋体"/>
                <w:b/>
                <w:kern w:val="44"/>
                <w:sz w:val="28"/>
                <w:szCs w:val="28"/>
                <w:highlight w:val="none"/>
              </w:rPr>
            </w:pPr>
          </w:p>
        </w:tc>
        <w:tc>
          <w:tcPr>
            <w:tcW w:w="2415" w:type="dxa"/>
            <w:vAlign w:val="center"/>
          </w:tcPr>
          <w:p w14:paraId="6F304DD6">
            <w:pPr>
              <w:jc w:val="center"/>
              <w:rPr>
                <w:rFonts w:ascii="宋体" w:hAnsi="宋体" w:cs="宋体"/>
                <w:b/>
                <w:kern w:val="44"/>
                <w:sz w:val="28"/>
                <w:szCs w:val="28"/>
                <w:highlight w:val="none"/>
              </w:rPr>
            </w:pPr>
          </w:p>
        </w:tc>
        <w:tc>
          <w:tcPr>
            <w:tcW w:w="1650" w:type="dxa"/>
            <w:vAlign w:val="center"/>
          </w:tcPr>
          <w:p w14:paraId="71DA4DC4">
            <w:pPr>
              <w:jc w:val="center"/>
              <w:rPr>
                <w:rFonts w:ascii="宋体" w:hAnsi="宋体" w:cs="宋体"/>
                <w:b/>
                <w:kern w:val="44"/>
                <w:sz w:val="28"/>
                <w:szCs w:val="28"/>
                <w:highlight w:val="none"/>
              </w:rPr>
            </w:pPr>
          </w:p>
        </w:tc>
        <w:tc>
          <w:tcPr>
            <w:tcW w:w="844" w:type="dxa"/>
            <w:vAlign w:val="center"/>
          </w:tcPr>
          <w:p w14:paraId="57260047">
            <w:pPr>
              <w:jc w:val="center"/>
              <w:rPr>
                <w:rFonts w:ascii="宋体" w:hAnsi="宋体" w:cs="宋体"/>
                <w:b/>
                <w:kern w:val="44"/>
                <w:sz w:val="28"/>
                <w:szCs w:val="28"/>
                <w:highlight w:val="none"/>
              </w:rPr>
            </w:pPr>
          </w:p>
        </w:tc>
      </w:tr>
      <w:tr w14:paraId="3D89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00AA8A40">
            <w:pPr>
              <w:jc w:val="center"/>
              <w:rPr>
                <w:rFonts w:ascii="宋体" w:hAnsi="宋体" w:cs="宋体"/>
                <w:b/>
                <w:kern w:val="44"/>
                <w:sz w:val="28"/>
                <w:szCs w:val="28"/>
                <w:highlight w:val="none"/>
              </w:rPr>
            </w:pPr>
          </w:p>
        </w:tc>
        <w:tc>
          <w:tcPr>
            <w:tcW w:w="2363" w:type="dxa"/>
            <w:vAlign w:val="center"/>
          </w:tcPr>
          <w:p w14:paraId="5F7B7DF2">
            <w:pPr>
              <w:jc w:val="center"/>
              <w:rPr>
                <w:rFonts w:ascii="宋体" w:hAnsi="宋体" w:cs="宋体"/>
                <w:b/>
                <w:kern w:val="44"/>
                <w:sz w:val="28"/>
                <w:szCs w:val="28"/>
                <w:highlight w:val="none"/>
              </w:rPr>
            </w:pPr>
          </w:p>
        </w:tc>
        <w:tc>
          <w:tcPr>
            <w:tcW w:w="1334" w:type="dxa"/>
            <w:vAlign w:val="center"/>
          </w:tcPr>
          <w:p w14:paraId="39769A63">
            <w:pPr>
              <w:jc w:val="center"/>
              <w:rPr>
                <w:rFonts w:ascii="宋体" w:hAnsi="宋体" w:cs="宋体"/>
                <w:b/>
                <w:kern w:val="44"/>
                <w:sz w:val="28"/>
                <w:szCs w:val="28"/>
                <w:highlight w:val="none"/>
              </w:rPr>
            </w:pPr>
          </w:p>
        </w:tc>
        <w:tc>
          <w:tcPr>
            <w:tcW w:w="2415" w:type="dxa"/>
            <w:vAlign w:val="center"/>
          </w:tcPr>
          <w:p w14:paraId="39C86231">
            <w:pPr>
              <w:jc w:val="center"/>
              <w:rPr>
                <w:rFonts w:ascii="宋体" w:hAnsi="宋体" w:cs="宋体"/>
                <w:b/>
                <w:kern w:val="44"/>
                <w:sz w:val="28"/>
                <w:szCs w:val="28"/>
                <w:highlight w:val="none"/>
              </w:rPr>
            </w:pPr>
          </w:p>
        </w:tc>
        <w:tc>
          <w:tcPr>
            <w:tcW w:w="1650" w:type="dxa"/>
            <w:vAlign w:val="center"/>
          </w:tcPr>
          <w:p w14:paraId="06EF4CD4">
            <w:pPr>
              <w:jc w:val="center"/>
              <w:rPr>
                <w:rFonts w:ascii="宋体" w:hAnsi="宋体" w:cs="宋体"/>
                <w:b/>
                <w:kern w:val="44"/>
                <w:sz w:val="28"/>
                <w:szCs w:val="28"/>
                <w:highlight w:val="none"/>
              </w:rPr>
            </w:pPr>
          </w:p>
        </w:tc>
        <w:tc>
          <w:tcPr>
            <w:tcW w:w="844" w:type="dxa"/>
            <w:vAlign w:val="center"/>
          </w:tcPr>
          <w:p w14:paraId="6B8B797C">
            <w:pPr>
              <w:jc w:val="center"/>
              <w:rPr>
                <w:rFonts w:ascii="宋体" w:hAnsi="宋体" w:cs="宋体"/>
                <w:b/>
                <w:kern w:val="44"/>
                <w:sz w:val="28"/>
                <w:szCs w:val="28"/>
                <w:highlight w:val="none"/>
              </w:rPr>
            </w:pPr>
          </w:p>
        </w:tc>
      </w:tr>
      <w:tr w14:paraId="323D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50A4092D">
            <w:pPr>
              <w:jc w:val="center"/>
              <w:rPr>
                <w:rFonts w:ascii="宋体" w:hAnsi="宋体" w:cs="宋体"/>
                <w:b/>
                <w:kern w:val="44"/>
                <w:sz w:val="28"/>
                <w:szCs w:val="28"/>
                <w:highlight w:val="none"/>
              </w:rPr>
            </w:pPr>
          </w:p>
        </w:tc>
        <w:tc>
          <w:tcPr>
            <w:tcW w:w="2363" w:type="dxa"/>
            <w:vAlign w:val="center"/>
          </w:tcPr>
          <w:p w14:paraId="19D1C2A4">
            <w:pPr>
              <w:jc w:val="center"/>
              <w:rPr>
                <w:rFonts w:ascii="宋体" w:hAnsi="宋体" w:cs="宋体"/>
                <w:b/>
                <w:kern w:val="44"/>
                <w:sz w:val="28"/>
                <w:szCs w:val="28"/>
                <w:highlight w:val="none"/>
              </w:rPr>
            </w:pPr>
          </w:p>
        </w:tc>
        <w:tc>
          <w:tcPr>
            <w:tcW w:w="1334" w:type="dxa"/>
            <w:vAlign w:val="center"/>
          </w:tcPr>
          <w:p w14:paraId="42A6B953">
            <w:pPr>
              <w:jc w:val="center"/>
              <w:rPr>
                <w:rFonts w:ascii="宋体" w:hAnsi="宋体" w:cs="宋体"/>
                <w:b/>
                <w:kern w:val="44"/>
                <w:sz w:val="28"/>
                <w:szCs w:val="28"/>
                <w:highlight w:val="none"/>
              </w:rPr>
            </w:pPr>
          </w:p>
        </w:tc>
        <w:tc>
          <w:tcPr>
            <w:tcW w:w="2415" w:type="dxa"/>
            <w:vAlign w:val="center"/>
          </w:tcPr>
          <w:p w14:paraId="00081493">
            <w:pPr>
              <w:jc w:val="center"/>
              <w:rPr>
                <w:rFonts w:ascii="宋体" w:hAnsi="宋体" w:cs="宋体"/>
                <w:b/>
                <w:kern w:val="44"/>
                <w:sz w:val="28"/>
                <w:szCs w:val="28"/>
                <w:highlight w:val="none"/>
              </w:rPr>
            </w:pPr>
          </w:p>
        </w:tc>
        <w:tc>
          <w:tcPr>
            <w:tcW w:w="1650" w:type="dxa"/>
            <w:vAlign w:val="center"/>
          </w:tcPr>
          <w:p w14:paraId="30977332">
            <w:pPr>
              <w:jc w:val="center"/>
              <w:rPr>
                <w:rFonts w:ascii="宋体" w:hAnsi="宋体" w:cs="宋体"/>
                <w:b/>
                <w:kern w:val="44"/>
                <w:sz w:val="28"/>
                <w:szCs w:val="28"/>
                <w:highlight w:val="none"/>
              </w:rPr>
            </w:pPr>
          </w:p>
        </w:tc>
        <w:tc>
          <w:tcPr>
            <w:tcW w:w="844" w:type="dxa"/>
            <w:vAlign w:val="center"/>
          </w:tcPr>
          <w:p w14:paraId="0057CAEB">
            <w:pPr>
              <w:jc w:val="center"/>
              <w:rPr>
                <w:rFonts w:ascii="宋体" w:hAnsi="宋体" w:cs="宋体"/>
                <w:b/>
                <w:kern w:val="44"/>
                <w:sz w:val="28"/>
                <w:szCs w:val="28"/>
                <w:highlight w:val="none"/>
              </w:rPr>
            </w:pPr>
          </w:p>
        </w:tc>
      </w:tr>
      <w:tr w14:paraId="78AA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0C16D180">
            <w:pPr>
              <w:jc w:val="center"/>
              <w:rPr>
                <w:rFonts w:ascii="宋体" w:hAnsi="宋体" w:cs="宋体"/>
                <w:b/>
                <w:kern w:val="44"/>
                <w:sz w:val="28"/>
                <w:szCs w:val="28"/>
                <w:highlight w:val="none"/>
              </w:rPr>
            </w:pPr>
          </w:p>
        </w:tc>
        <w:tc>
          <w:tcPr>
            <w:tcW w:w="2363" w:type="dxa"/>
            <w:vAlign w:val="center"/>
          </w:tcPr>
          <w:p w14:paraId="563746D3">
            <w:pPr>
              <w:jc w:val="center"/>
              <w:rPr>
                <w:rFonts w:ascii="宋体" w:hAnsi="宋体" w:cs="宋体"/>
                <w:b/>
                <w:kern w:val="44"/>
                <w:sz w:val="28"/>
                <w:szCs w:val="28"/>
                <w:highlight w:val="none"/>
              </w:rPr>
            </w:pPr>
          </w:p>
        </w:tc>
        <w:tc>
          <w:tcPr>
            <w:tcW w:w="1334" w:type="dxa"/>
            <w:vAlign w:val="center"/>
          </w:tcPr>
          <w:p w14:paraId="26AF934F">
            <w:pPr>
              <w:jc w:val="center"/>
              <w:rPr>
                <w:rFonts w:ascii="宋体" w:hAnsi="宋体" w:cs="宋体"/>
                <w:b/>
                <w:kern w:val="44"/>
                <w:sz w:val="28"/>
                <w:szCs w:val="28"/>
                <w:highlight w:val="none"/>
              </w:rPr>
            </w:pPr>
          </w:p>
        </w:tc>
        <w:tc>
          <w:tcPr>
            <w:tcW w:w="2415" w:type="dxa"/>
            <w:vAlign w:val="center"/>
          </w:tcPr>
          <w:p w14:paraId="17B71C17">
            <w:pPr>
              <w:jc w:val="center"/>
              <w:rPr>
                <w:rFonts w:ascii="宋体" w:hAnsi="宋体" w:cs="宋体"/>
                <w:b/>
                <w:kern w:val="44"/>
                <w:sz w:val="28"/>
                <w:szCs w:val="28"/>
                <w:highlight w:val="none"/>
              </w:rPr>
            </w:pPr>
          </w:p>
        </w:tc>
        <w:tc>
          <w:tcPr>
            <w:tcW w:w="1650" w:type="dxa"/>
            <w:vAlign w:val="center"/>
          </w:tcPr>
          <w:p w14:paraId="6F23BDEA">
            <w:pPr>
              <w:jc w:val="center"/>
              <w:rPr>
                <w:rFonts w:ascii="宋体" w:hAnsi="宋体" w:cs="宋体"/>
                <w:b/>
                <w:kern w:val="44"/>
                <w:sz w:val="28"/>
                <w:szCs w:val="28"/>
                <w:highlight w:val="none"/>
              </w:rPr>
            </w:pPr>
          </w:p>
        </w:tc>
        <w:tc>
          <w:tcPr>
            <w:tcW w:w="844" w:type="dxa"/>
            <w:vAlign w:val="center"/>
          </w:tcPr>
          <w:p w14:paraId="42AD8A78">
            <w:pPr>
              <w:jc w:val="center"/>
              <w:rPr>
                <w:rFonts w:ascii="宋体" w:hAnsi="宋体" w:cs="宋体"/>
                <w:b/>
                <w:kern w:val="44"/>
                <w:sz w:val="28"/>
                <w:szCs w:val="28"/>
                <w:highlight w:val="none"/>
              </w:rPr>
            </w:pPr>
          </w:p>
        </w:tc>
      </w:tr>
      <w:tr w14:paraId="32BE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7BA9022C">
            <w:pPr>
              <w:jc w:val="center"/>
              <w:rPr>
                <w:rFonts w:ascii="宋体" w:hAnsi="宋体" w:cs="宋体"/>
                <w:b/>
                <w:kern w:val="44"/>
                <w:sz w:val="28"/>
                <w:szCs w:val="28"/>
                <w:highlight w:val="none"/>
              </w:rPr>
            </w:pPr>
          </w:p>
        </w:tc>
        <w:tc>
          <w:tcPr>
            <w:tcW w:w="2363" w:type="dxa"/>
            <w:vAlign w:val="center"/>
          </w:tcPr>
          <w:p w14:paraId="7FFBD90D">
            <w:pPr>
              <w:jc w:val="center"/>
              <w:rPr>
                <w:rFonts w:ascii="宋体" w:hAnsi="宋体" w:cs="宋体"/>
                <w:b/>
                <w:kern w:val="44"/>
                <w:sz w:val="28"/>
                <w:szCs w:val="28"/>
                <w:highlight w:val="none"/>
              </w:rPr>
            </w:pPr>
          </w:p>
        </w:tc>
        <w:tc>
          <w:tcPr>
            <w:tcW w:w="1334" w:type="dxa"/>
            <w:vAlign w:val="center"/>
          </w:tcPr>
          <w:p w14:paraId="52528D5C">
            <w:pPr>
              <w:jc w:val="center"/>
              <w:rPr>
                <w:rFonts w:ascii="宋体" w:hAnsi="宋体" w:cs="宋体"/>
                <w:b/>
                <w:kern w:val="44"/>
                <w:sz w:val="28"/>
                <w:szCs w:val="28"/>
                <w:highlight w:val="none"/>
              </w:rPr>
            </w:pPr>
          </w:p>
        </w:tc>
        <w:tc>
          <w:tcPr>
            <w:tcW w:w="2415" w:type="dxa"/>
            <w:vAlign w:val="center"/>
          </w:tcPr>
          <w:p w14:paraId="232E55B0">
            <w:pPr>
              <w:jc w:val="center"/>
              <w:rPr>
                <w:rFonts w:ascii="宋体" w:hAnsi="宋体" w:cs="宋体"/>
                <w:b/>
                <w:kern w:val="44"/>
                <w:sz w:val="28"/>
                <w:szCs w:val="28"/>
                <w:highlight w:val="none"/>
              </w:rPr>
            </w:pPr>
          </w:p>
        </w:tc>
        <w:tc>
          <w:tcPr>
            <w:tcW w:w="1650" w:type="dxa"/>
            <w:vAlign w:val="center"/>
          </w:tcPr>
          <w:p w14:paraId="53529738">
            <w:pPr>
              <w:jc w:val="center"/>
              <w:rPr>
                <w:rFonts w:ascii="宋体" w:hAnsi="宋体" w:cs="宋体"/>
                <w:b/>
                <w:kern w:val="44"/>
                <w:sz w:val="28"/>
                <w:szCs w:val="28"/>
                <w:highlight w:val="none"/>
              </w:rPr>
            </w:pPr>
          </w:p>
        </w:tc>
        <w:tc>
          <w:tcPr>
            <w:tcW w:w="844" w:type="dxa"/>
            <w:vAlign w:val="center"/>
          </w:tcPr>
          <w:p w14:paraId="055C0ED7">
            <w:pPr>
              <w:jc w:val="center"/>
              <w:rPr>
                <w:rFonts w:ascii="宋体" w:hAnsi="宋体" w:cs="宋体"/>
                <w:b/>
                <w:kern w:val="44"/>
                <w:sz w:val="28"/>
                <w:szCs w:val="28"/>
                <w:highlight w:val="none"/>
              </w:rPr>
            </w:pPr>
          </w:p>
        </w:tc>
      </w:tr>
      <w:tr w14:paraId="4D70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72BE8729">
            <w:pPr>
              <w:jc w:val="center"/>
              <w:rPr>
                <w:rFonts w:ascii="宋体" w:hAnsi="宋体" w:cs="宋体"/>
                <w:b/>
                <w:kern w:val="44"/>
                <w:sz w:val="28"/>
                <w:szCs w:val="28"/>
                <w:highlight w:val="none"/>
              </w:rPr>
            </w:pPr>
          </w:p>
        </w:tc>
        <w:tc>
          <w:tcPr>
            <w:tcW w:w="2363" w:type="dxa"/>
            <w:vAlign w:val="center"/>
          </w:tcPr>
          <w:p w14:paraId="3ABEE006">
            <w:pPr>
              <w:jc w:val="center"/>
              <w:rPr>
                <w:rFonts w:ascii="宋体" w:hAnsi="宋体" w:cs="宋体"/>
                <w:b/>
                <w:kern w:val="44"/>
                <w:sz w:val="28"/>
                <w:szCs w:val="28"/>
                <w:highlight w:val="none"/>
              </w:rPr>
            </w:pPr>
          </w:p>
        </w:tc>
        <w:tc>
          <w:tcPr>
            <w:tcW w:w="1334" w:type="dxa"/>
            <w:vAlign w:val="center"/>
          </w:tcPr>
          <w:p w14:paraId="7B0BB3B8">
            <w:pPr>
              <w:jc w:val="center"/>
              <w:rPr>
                <w:rFonts w:ascii="宋体" w:hAnsi="宋体" w:cs="宋体"/>
                <w:b/>
                <w:kern w:val="44"/>
                <w:sz w:val="28"/>
                <w:szCs w:val="28"/>
                <w:highlight w:val="none"/>
              </w:rPr>
            </w:pPr>
          </w:p>
        </w:tc>
        <w:tc>
          <w:tcPr>
            <w:tcW w:w="2415" w:type="dxa"/>
            <w:vAlign w:val="center"/>
          </w:tcPr>
          <w:p w14:paraId="045437BA">
            <w:pPr>
              <w:jc w:val="center"/>
              <w:rPr>
                <w:rFonts w:ascii="宋体" w:hAnsi="宋体" w:cs="宋体"/>
                <w:b/>
                <w:kern w:val="44"/>
                <w:sz w:val="28"/>
                <w:szCs w:val="28"/>
                <w:highlight w:val="none"/>
              </w:rPr>
            </w:pPr>
          </w:p>
        </w:tc>
        <w:tc>
          <w:tcPr>
            <w:tcW w:w="1650" w:type="dxa"/>
            <w:vAlign w:val="center"/>
          </w:tcPr>
          <w:p w14:paraId="1A65CD78">
            <w:pPr>
              <w:jc w:val="center"/>
              <w:rPr>
                <w:rFonts w:ascii="宋体" w:hAnsi="宋体" w:cs="宋体"/>
                <w:b/>
                <w:kern w:val="44"/>
                <w:sz w:val="28"/>
                <w:szCs w:val="28"/>
                <w:highlight w:val="none"/>
              </w:rPr>
            </w:pPr>
          </w:p>
        </w:tc>
        <w:tc>
          <w:tcPr>
            <w:tcW w:w="844" w:type="dxa"/>
            <w:vAlign w:val="center"/>
          </w:tcPr>
          <w:p w14:paraId="4EEF07B0">
            <w:pPr>
              <w:jc w:val="center"/>
              <w:rPr>
                <w:rFonts w:ascii="宋体" w:hAnsi="宋体" w:cs="宋体"/>
                <w:b/>
                <w:kern w:val="44"/>
                <w:sz w:val="28"/>
                <w:szCs w:val="28"/>
                <w:highlight w:val="none"/>
              </w:rPr>
            </w:pPr>
          </w:p>
        </w:tc>
      </w:tr>
    </w:tbl>
    <w:p w14:paraId="21CD8395">
      <w:pPr>
        <w:rPr>
          <w:rFonts w:ascii="宋体" w:hAnsi="宋体" w:cs="宋体"/>
          <w:b/>
          <w:kern w:val="44"/>
          <w:sz w:val="44"/>
          <w:szCs w:val="44"/>
          <w:highlight w:val="none"/>
        </w:rPr>
      </w:pPr>
      <w:r>
        <w:rPr>
          <w:rFonts w:hint="eastAsia" w:ascii="宋体" w:hAnsi="宋体" w:cs="宋体"/>
          <w:b/>
          <w:kern w:val="44"/>
          <w:sz w:val="44"/>
          <w:szCs w:val="44"/>
          <w:highlight w:val="none"/>
        </w:rPr>
        <w:br w:type="page"/>
      </w:r>
    </w:p>
    <w:p w14:paraId="0F4B526B">
      <w:pPr>
        <w:rPr>
          <w:rFonts w:ascii="宋体" w:hAnsi="宋体" w:cs="宋体"/>
          <w:b/>
          <w:kern w:val="44"/>
          <w:sz w:val="44"/>
          <w:szCs w:val="44"/>
          <w:highlight w:val="none"/>
        </w:rPr>
      </w:pPr>
    </w:p>
    <w:p w14:paraId="3E535B94">
      <w:pPr>
        <w:rPr>
          <w:rFonts w:ascii="宋体" w:hAnsi="宋体" w:cs="宋体"/>
          <w:b/>
          <w:kern w:val="44"/>
          <w:sz w:val="44"/>
          <w:szCs w:val="44"/>
          <w:highlight w:val="none"/>
        </w:rPr>
      </w:pPr>
    </w:p>
    <w:p w14:paraId="324A2172">
      <w:pPr>
        <w:snapToGrid w:val="0"/>
        <w:spacing w:line="480" w:lineRule="exact"/>
        <w:jc w:val="center"/>
        <w:rPr>
          <w:rFonts w:ascii="宋体" w:hAnsi="宋体" w:cs="宋体"/>
          <w:b/>
          <w:kern w:val="44"/>
          <w:sz w:val="44"/>
          <w:szCs w:val="44"/>
          <w:highlight w:val="none"/>
        </w:rPr>
      </w:pPr>
      <w:r>
        <w:rPr>
          <w:rFonts w:hint="eastAsia" w:ascii="宋体" w:hAnsi="宋体" w:cs="宋体"/>
          <w:b/>
          <w:kern w:val="44"/>
          <w:sz w:val="44"/>
          <w:szCs w:val="44"/>
          <w:highlight w:val="none"/>
        </w:rPr>
        <w:t>第六章 质疑提出和处理</w:t>
      </w:r>
    </w:p>
    <w:p w14:paraId="4DF189F2">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格式请在南通政府采购网“下载中心--有关质疑资料”下载</w:t>
      </w:r>
    </w:p>
    <w:p w14:paraId="6C95D780">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一、质疑的提出</w:t>
      </w:r>
    </w:p>
    <w:p w14:paraId="0BF209C4">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1、质疑人必须是直接参加本次磋商活动的当事人。</w:t>
      </w:r>
    </w:p>
    <w:p w14:paraId="1ACC6CC5">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下载磋商文件的供应商应根据第二章“投标供应商须知”中第一条第4款的约定提出；响应文件接收截止后，供应商未进行磋商登记的，不能就响应文件接收截止后的招投标过程、成交结果提出质疑；在磋商过程中，凡主持人或评审小组明确提出须由供应商确认的事项，供应商当场无异议的，事后不得提出质疑。</w:t>
      </w:r>
    </w:p>
    <w:p w14:paraId="601307F2">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提出质疑时，必须坚持“谁主张，谁举证”、“实事求是”的原则，不能臆测。属于须由法定部门调查、侦查或先行作出相关认定的事项，质疑人应当依法申请具有法定职权的部门查清、认定，并将相关结果提供给采购单位或采购单位。采购单位或采购单位不具有法定调查、认定权限。</w:t>
      </w:r>
    </w:p>
    <w:p w14:paraId="65CB1487">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6E6927A5">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5、</w:t>
      </w:r>
      <w:r>
        <w:rPr>
          <w:rFonts w:ascii="宋体" w:hAnsi="宋体" w:cs="宋体"/>
          <w:sz w:val="24"/>
          <w:szCs w:val="24"/>
          <w:highlight w:val="none"/>
        </w:rPr>
        <w:t>对不能提供相关佐证材料的、涉及商业秘密的、非书面形式的、非送达的、匿名的《质疑函》将不予受理。</w:t>
      </w:r>
    </w:p>
    <w:p w14:paraId="468CCB37">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6、相关佐证材料要具备客观性、关联性、合法性，无法查实的（如宣传册、媒体报道、猜测、推理等）不能作为佐证材料。</w:t>
      </w:r>
    </w:p>
    <w:p w14:paraId="37A25BB8">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7、采购单位或采购单位不负责搜集相关佐证材料等工作。</w:t>
      </w:r>
    </w:p>
    <w:p w14:paraId="6CCB0F2F">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二、《质疑函》的受理和回复</w:t>
      </w:r>
    </w:p>
    <w:p w14:paraId="37456E3D">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1、《质疑函》须由质疑人的法定代表人或参加本次磋商被授权人送达采购单位和采购单位。</w:t>
      </w:r>
    </w:p>
    <w:p w14:paraId="15E91AC8">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对符合提出质疑要求的，采购单位、采购单位签收并出具《质疑受理通知书》。在处理过程中，发现需要质疑人进一步补充相关佐证材料的，请质疑人在规定的时间内提供，质疑回复时间相应顺延。质疑人不能按时提供相关佐证材料的，视同放弃质疑。</w:t>
      </w:r>
    </w:p>
    <w:p w14:paraId="7BFBE687">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3、对不符合提出质疑要求的，出具《质疑退回通知书》并提出相关补充材料要求，质疑人未在规定的时间内提供补充佐证材料的，视同放弃质疑。</w:t>
      </w:r>
    </w:p>
    <w:p w14:paraId="0DB19099">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4、采购单位、采购单位负责将质疑人提出的质疑相关材料提供给相关专家或评审小组审核，并将审核意见回复质疑人。</w:t>
      </w:r>
    </w:p>
    <w:p w14:paraId="3252162F">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秘密的、非书面形式的、非送达的、匿名的《质疑函》将不予受理。</w:t>
      </w:r>
    </w:p>
    <w:p w14:paraId="211DE388">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4338FC1B">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5、因质疑情况复杂，组织论证或审查时间较长的，采购单位、采购单位以书面形式通知质疑人，可适当延长质疑回复处理时间。</w:t>
      </w:r>
    </w:p>
    <w:p w14:paraId="326B37D4">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三、质疑处理</w:t>
      </w:r>
    </w:p>
    <w:p w14:paraId="5F1BD401">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1、质疑成立的处理。采购单位或采购单位终止采购，并建议有关部门给相关当事人予以处理。</w:t>
      </w:r>
    </w:p>
    <w:p w14:paraId="00AF3603">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2、质疑不成立的处理。</w:t>
      </w:r>
    </w:p>
    <w:p w14:paraId="3BB362F8">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1）质疑人书面《申请撤回质疑函》的，不作违约处理。</w:t>
      </w:r>
    </w:p>
    <w:p w14:paraId="052E5940">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2）质疑人在规定的时间内不配合进行质疑调查处理的，按自动撤回《质疑函》处理。</w:t>
      </w:r>
    </w:p>
    <w:p w14:paraId="448CEEDF">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3）质疑人不按《质疑函》格式就提出质疑的，作违约处理。同时，视情列入不良供应商名单。</w:t>
      </w:r>
    </w:p>
    <w:p w14:paraId="4810C151">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4）质疑人虽提供了相关佐证材料，但不能证明其质疑成立的，采购单位或采购单位请质疑人补充相关佐证材料，仍不能证明其质疑成立的，作违约处理。并将其列入不良供应商名单。</w:t>
      </w:r>
    </w:p>
    <w:p w14:paraId="42F3512B">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5）质疑人不能提供相关佐证材料的，采购单位、采购单位已指出，质疑人仍然坚持提出质疑的，作违约处理。同时，列入不良供应商名单。</w:t>
      </w:r>
    </w:p>
    <w:p w14:paraId="5E5FB8D7">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6）对明显有违事实的、经相关专家或评审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14:paraId="1FB81146">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7）质疑人承担使用虚假材料或恶意方式质疑的法律责任。</w:t>
      </w:r>
    </w:p>
    <w:p w14:paraId="52B57C35">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14:paraId="1D16D3C8">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14:paraId="69D15942">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六、《质疑函》、《质疑回复函》，质疑、举报、投诉不成立的等相关情况，视情在南通政府采购网、省、国家级等相关媒体予以披露。并建议相关政府采购机构对该供应商同步实施1至3年内禁入。</w:t>
      </w:r>
    </w:p>
    <w:p w14:paraId="48FE2B1D">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七、质疑供应商对采购单位或单位的答复不满意或者采购单位或单位未在规定的时间内作出答复的，可以在答复期满后15个工作日内向政府采购监督管理部门投诉。</w:t>
      </w:r>
    </w:p>
    <w:bookmarkEnd w:id="63"/>
    <w:bookmarkEnd w:id="64"/>
    <w:p w14:paraId="3DCA1AFF">
      <w:pPr>
        <w:pStyle w:val="3"/>
        <w:keepNext w:val="0"/>
        <w:keepLines w:val="0"/>
        <w:numPr>
          <w:ilvl w:val="0"/>
          <w:numId w:val="0"/>
        </w:numPr>
        <w:snapToGrid w:val="0"/>
        <w:spacing w:before="0" w:after="120" w:afterLines="50" w:line="520" w:lineRule="exact"/>
        <w:ind w:left="420"/>
        <w:jc w:val="center"/>
        <w:rPr>
          <w:rFonts w:ascii="仿宋_GB2312" w:hAnsi="宋体" w:eastAsia="仿宋_GB2312" w:cs="宋体"/>
          <w:b w:val="0"/>
          <w:szCs w:val="44"/>
          <w:highlight w:val="none"/>
        </w:rPr>
      </w:pPr>
      <w:bookmarkStart w:id="65" w:name="_Toc363573860"/>
      <w:r>
        <w:rPr>
          <w:rFonts w:ascii="宋体" w:hAnsi="宋体" w:cs="宋体"/>
          <w:w w:val="80"/>
          <w:sz w:val="24"/>
          <w:szCs w:val="24"/>
          <w:highlight w:val="none"/>
        </w:rPr>
        <w:br w:type="page"/>
      </w:r>
      <w:bookmarkEnd w:id="65"/>
      <w:r>
        <w:rPr>
          <w:rFonts w:hint="eastAsia" w:ascii="宋体" w:hAnsi="宋体" w:cs="宋体"/>
          <w:szCs w:val="44"/>
          <w:highlight w:val="none"/>
        </w:rPr>
        <w:t>第七章  响应文件组成及格式</w:t>
      </w:r>
    </w:p>
    <w:p w14:paraId="68D2DDBD">
      <w:pPr>
        <w:adjustRightInd w:val="0"/>
        <w:snapToGrid w:val="0"/>
        <w:spacing w:line="480" w:lineRule="exact"/>
        <w:ind w:firstLine="487" w:firstLineChars="202"/>
        <w:jc w:val="left"/>
        <w:rPr>
          <w:rFonts w:ascii="宋体" w:hAnsi="宋体" w:cs="宋体"/>
          <w:b/>
          <w:bCs/>
          <w:sz w:val="24"/>
          <w:szCs w:val="24"/>
          <w:highlight w:val="none"/>
        </w:rPr>
      </w:pPr>
      <w:r>
        <w:rPr>
          <w:rFonts w:hint="eastAsia" w:ascii="宋体" w:hAnsi="宋体" w:cs="宋体"/>
          <w:b/>
          <w:bCs/>
          <w:sz w:val="24"/>
          <w:szCs w:val="24"/>
          <w:highlight w:val="none"/>
        </w:rPr>
        <w:t xml:space="preserve">响应文件由①资格审查文件、②技术响应文件、③商务报价响应文件共四部分组成。本次竞争性磋商采用资格后审方式，供应商须将资格审查文件作为响应文件组成部分，按磋商文件要求装订密封后一起递交。 </w:t>
      </w:r>
    </w:p>
    <w:p w14:paraId="34E178D7">
      <w:pPr>
        <w:adjustRightInd w:val="0"/>
        <w:snapToGrid w:val="0"/>
        <w:spacing w:line="480" w:lineRule="exact"/>
        <w:ind w:firstLine="487" w:firstLineChars="202"/>
        <w:jc w:val="left"/>
        <w:outlineLvl w:val="1"/>
        <w:rPr>
          <w:rFonts w:ascii="宋体" w:hAnsi="宋体" w:cs="宋体"/>
          <w:b/>
          <w:bCs/>
          <w:sz w:val="24"/>
          <w:szCs w:val="24"/>
          <w:highlight w:val="none"/>
        </w:rPr>
      </w:pPr>
      <w:r>
        <w:rPr>
          <w:rFonts w:hint="eastAsia" w:ascii="宋体" w:hAnsi="宋体" w:cs="宋体"/>
          <w:b/>
          <w:bCs/>
          <w:sz w:val="24"/>
          <w:szCs w:val="24"/>
          <w:highlight w:val="none"/>
        </w:rPr>
        <w:t>一、资格审查文件（单独密封）：</w:t>
      </w:r>
    </w:p>
    <w:p w14:paraId="591F99C4">
      <w:pPr>
        <w:adjustRightInd w:val="0"/>
        <w:snapToGrid w:val="0"/>
        <w:spacing w:line="48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sz w:val="24"/>
          <w:szCs w:val="24"/>
          <w:highlight w:val="none"/>
        </w:rPr>
        <w:t>法定代表人参加投标的，必须提供法定代表人身份证明及法定代表人本人身份证复印件；非法定代表人参加投标的，必须提供法定代表人签名或盖章的授权委托书及法定代</w:t>
      </w:r>
      <w:r>
        <w:rPr>
          <w:rFonts w:hint="eastAsia" w:ascii="宋体" w:hAnsi="宋体" w:cs="宋体"/>
          <w:kern w:val="0"/>
          <w:sz w:val="24"/>
          <w:szCs w:val="24"/>
          <w:highlight w:val="none"/>
        </w:rPr>
        <w:t>表人和被授权人两个人的身份证复印件（格式参见附件）；</w:t>
      </w:r>
    </w:p>
    <w:p w14:paraId="6EF269E1">
      <w:pPr>
        <w:adjustRightInd w:val="0"/>
        <w:snapToGrid w:val="0"/>
        <w:spacing w:line="48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2、提供投标供应商企业营业执照（副本）的复印件（需加盖公章）；</w:t>
      </w:r>
    </w:p>
    <w:p w14:paraId="12FE1EC7">
      <w:pPr>
        <w:pStyle w:val="18"/>
        <w:spacing w:line="480" w:lineRule="exact"/>
        <w:ind w:firstLine="480" w:firstLineChars="200"/>
        <w:rPr>
          <w:rFonts w:ascii="宋体" w:hAnsi="宋体" w:cs="宋体"/>
          <w:kern w:val="0"/>
          <w:szCs w:val="24"/>
          <w:highlight w:val="none"/>
        </w:rPr>
      </w:pPr>
      <w:r>
        <w:rPr>
          <w:rFonts w:hint="eastAsia" w:ascii="宋体" w:hAnsi="宋体" w:cs="宋体"/>
          <w:kern w:val="0"/>
          <w:szCs w:val="24"/>
          <w:highlight w:val="none"/>
        </w:rPr>
        <w:t>3、投标人符合《政府采购法》第二十二条规定条件的承诺函；</w:t>
      </w:r>
    </w:p>
    <w:p w14:paraId="75A11D34">
      <w:pPr>
        <w:spacing w:line="480" w:lineRule="exact"/>
        <w:ind w:firstLine="480" w:firstLineChars="200"/>
        <w:rPr>
          <w:rFonts w:ascii="宋体" w:hAnsi="宋体" w:cs="宋体"/>
          <w:kern w:val="0"/>
          <w:sz w:val="24"/>
          <w:szCs w:val="24"/>
          <w:highlight w:val="none"/>
        </w:rPr>
      </w:pPr>
      <w:r>
        <w:rPr>
          <w:rFonts w:hint="eastAsia" w:ascii="宋体" w:hAnsi="宋体" w:cs="宋体"/>
          <w:sz w:val="24"/>
          <w:szCs w:val="24"/>
          <w:highlight w:val="none"/>
        </w:rPr>
        <w:t>4</w:t>
      </w:r>
      <w:r>
        <w:rPr>
          <w:rFonts w:hint="eastAsia" w:ascii="宋体" w:hAnsi="宋体" w:cs="宋体"/>
          <w:kern w:val="0"/>
          <w:sz w:val="24"/>
          <w:szCs w:val="24"/>
          <w:highlight w:val="none"/>
        </w:rPr>
        <w:t>、投标人须提供参与本次项目政府采购活动前三年内在经营活动中没有重大违法记录的书面《无重大违法记录声明函》原件。</w:t>
      </w:r>
    </w:p>
    <w:p w14:paraId="0EF1F25F">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7、供应商近一年内内任意一个月依法缴纳税收和社会保障资金的记录（依法享受缓缴、免缴税收、社会保障资金的提供证明材料）；</w:t>
      </w:r>
    </w:p>
    <w:p w14:paraId="4EE657C3">
      <w:pPr>
        <w:pStyle w:val="18"/>
        <w:spacing w:line="480" w:lineRule="exact"/>
        <w:ind w:firstLine="480" w:firstLineChars="200"/>
        <w:rPr>
          <w:rFonts w:ascii="宋体" w:hAnsi="宋体" w:cs="宋体"/>
          <w:szCs w:val="24"/>
          <w:highlight w:val="none"/>
        </w:rPr>
      </w:pPr>
      <w:r>
        <w:rPr>
          <w:rFonts w:hint="eastAsia" w:ascii="宋体" w:hAnsi="宋体" w:cs="宋体"/>
          <w:szCs w:val="24"/>
          <w:highlight w:val="none"/>
        </w:rPr>
        <w:t>8、磋商响应供应商必须供应商必须具备有效的《中华人民共和国特种设备安装改造维修许可证（曳引与强制驱动电梯，施工类别：安装改造修理资质）》B级及以上资质或《中华人民共和国特种设备生产许可证（许可项目：电梯安装（含修理）, 许可子项目：曳引驱动乘客电梯（含消防员电梯）》B及以上资质；</w:t>
      </w:r>
    </w:p>
    <w:p w14:paraId="27EA8666">
      <w:pPr>
        <w:pStyle w:val="18"/>
        <w:spacing w:line="480" w:lineRule="exact"/>
        <w:ind w:firstLine="480" w:firstLineChars="200"/>
        <w:rPr>
          <w:rFonts w:ascii="宋体" w:hAnsi="宋体" w:cs="宋体"/>
          <w:szCs w:val="24"/>
          <w:highlight w:val="none"/>
        </w:rPr>
      </w:pPr>
      <w:r>
        <w:rPr>
          <w:rFonts w:hint="eastAsia" w:ascii="宋体" w:hAnsi="宋体" w:cs="宋体"/>
          <w:szCs w:val="24"/>
          <w:highlight w:val="none"/>
        </w:rPr>
        <w:t>9、现场勘查证明（格式参见附件）</w:t>
      </w:r>
    </w:p>
    <w:p w14:paraId="5C40880F">
      <w:pPr>
        <w:pStyle w:val="18"/>
        <w:spacing w:line="480" w:lineRule="exact"/>
        <w:ind w:firstLine="480" w:firstLineChars="200"/>
        <w:rPr>
          <w:rFonts w:ascii="宋体" w:hAnsi="宋体" w:cs="宋体"/>
          <w:szCs w:val="24"/>
          <w:highlight w:val="none"/>
        </w:rPr>
      </w:pPr>
      <w:r>
        <w:rPr>
          <w:rFonts w:hint="eastAsia" w:ascii="宋体" w:hAnsi="宋体" w:cs="宋体"/>
          <w:szCs w:val="24"/>
          <w:highlight w:val="none"/>
        </w:rPr>
        <w:t>10、资格审查要求提供的其他材料。</w:t>
      </w:r>
    </w:p>
    <w:p w14:paraId="4D7F7822">
      <w:pPr>
        <w:spacing w:line="480" w:lineRule="exact"/>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注：以上材料如为复印件均需加盖供应商单位公章。</w:t>
      </w:r>
    </w:p>
    <w:p w14:paraId="4EF5CCCF">
      <w:pPr>
        <w:spacing w:line="48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（二）技术响应文件（单独密封）：</w:t>
      </w:r>
    </w:p>
    <w:p w14:paraId="16776738">
      <w:pPr>
        <w:spacing w:line="48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1、商务部分正负偏离表（</w:t>
      </w:r>
      <w:r>
        <w:rPr>
          <w:rFonts w:hint="eastAsia" w:ascii="宋体" w:hAnsi="宋体" w:cs="宋体"/>
          <w:sz w:val="24"/>
          <w:szCs w:val="24"/>
          <w:highlight w:val="none"/>
        </w:rPr>
        <w:t>格式参见附件</w:t>
      </w:r>
      <w:r>
        <w:rPr>
          <w:rFonts w:hint="eastAsia" w:ascii="宋体" w:hAnsi="宋体" w:cs="宋体"/>
          <w:bCs/>
          <w:sz w:val="24"/>
          <w:szCs w:val="24"/>
          <w:highlight w:val="none"/>
        </w:rPr>
        <w:t>）；</w:t>
      </w:r>
    </w:p>
    <w:p w14:paraId="2AFE226D">
      <w:pPr>
        <w:spacing w:line="48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2、技术部分正负偏离表（</w:t>
      </w:r>
      <w:r>
        <w:rPr>
          <w:rFonts w:hint="eastAsia" w:ascii="宋体" w:hAnsi="宋体" w:cs="宋体"/>
          <w:sz w:val="24"/>
          <w:szCs w:val="24"/>
          <w:highlight w:val="none"/>
        </w:rPr>
        <w:t>格式参见附件</w:t>
      </w:r>
      <w:r>
        <w:rPr>
          <w:rFonts w:hint="eastAsia" w:ascii="宋体" w:hAnsi="宋体" w:cs="宋体"/>
          <w:bCs/>
          <w:sz w:val="24"/>
          <w:szCs w:val="24"/>
          <w:highlight w:val="none"/>
        </w:rPr>
        <w:t>）；</w:t>
      </w:r>
    </w:p>
    <w:p w14:paraId="2E6AF097">
      <w:pPr>
        <w:spacing w:line="48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3、技术标评标办法中所涉及的事项需提供的所有资料；</w:t>
      </w:r>
    </w:p>
    <w:p w14:paraId="3B914304">
      <w:pPr>
        <w:adjustRightInd w:val="0"/>
        <w:snapToGrid w:val="0"/>
        <w:spacing w:line="480" w:lineRule="exact"/>
        <w:ind w:firstLine="484" w:firstLineChars="202"/>
        <w:jc w:val="left"/>
        <w:rPr>
          <w:rFonts w:ascii="宋体" w:hAnsi="宋体" w:cs="宋体"/>
          <w:bCs/>
          <w:sz w:val="24"/>
          <w:szCs w:val="24"/>
          <w:highlight w:val="none"/>
        </w:rPr>
      </w:pPr>
      <w:r>
        <w:rPr>
          <w:rFonts w:hint="eastAsia" w:ascii="宋体" w:hAnsi="宋体" w:cs="宋体"/>
          <w:bCs/>
          <w:sz w:val="24"/>
          <w:szCs w:val="24"/>
          <w:highlight w:val="none"/>
        </w:rPr>
        <w:t>4、磋商文件中所涉及的事项需提供的所有资料；</w:t>
      </w:r>
    </w:p>
    <w:p w14:paraId="069A031C">
      <w:pPr>
        <w:adjustRightInd w:val="0"/>
        <w:snapToGrid w:val="0"/>
        <w:spacing w:line="480" w:lineRule="exact"/>
        <w:ind w:firstLine="484" w:firstLineChars="202"/>
        <w:jc w:val="left"/>
        <w:rPr>
          <w:rFonts w:ascii="宋体" w:hAnsi="宋体" w:cs="宋体"/>
          <w:bCs/>
          <w:sz w:val="24"/>
          <w:szCs w:val="24"/>
          <w:highlight w:val="none"/>
        </w:rPr>
      </w:pPr>
      <w:r>
        <w:rPr>
          <w:rFonts w:hint="eastAsia" w:ascii="宋体" w:hAnsi="宋体" w:cs="宋体"/>
          <w:bCs/>
          <w:sz w:val="24"/>
          <w:szCs w:val="24"/>
          <w:highlight w:val="none"/>
        </w:rPr>
        <w:t>5、磋商文件中未涉及的事项，投标供应商认为需要提交的其他资料。</w:t>
      </w:r>
    </w:p>
    <w:p w14:paraId="1671F852">
      <w:pPr>
        <w:adjustRightInd w:val="0"/>
        <w:snapToGrid w:val="0"/>
        <w:spacing w:line="480" w:lineRule="exact"/>
        <w:ind w:firstLine="487" w:firstLineChars="202"/>
        <w:jc w:val="left"/>
        <w:rPr>
          <w:rFonts w:ascii="宋体" w:hAnsi="宋体" w:cs="宋体"/>
          <w:b/>
          <w:bCs/>
          <w:sz w:val="24"/>
          <w:szCs w:val="24"/>
          <w:highlight w:val="none"/>
        </w:rPr>
      </w:pPr>
      <w:r>
        <w:rPr>
          <w:rFonts w:hint="eastAsia" w:ascii="宋体" w:hAnsi="宋体" w:cs="宋体"/>
          <w:b/>
          <w:bCs/>
          <w:sz w:val="24"/>
          <w:szCs w:val="24"/>
          <w:highlight w:val="none"/>
        </w:rPr>
        <w:t xml:space="preserve">特别提醒：“资格审查文件”、“技术响应文件”所须提供的材料按磋商文件要求装订，密封，递交。“资格审查文件”、“技术响应文件”涉及的相关原件请带至开标现场备查。未携带原件或因携带原件不全所引起的后果由投标人自行承担。 </w:t>
      </w:r>
    </w:p>
    <w:p w14:paraId="50CAB8DB">
      <w:pPr>
        <w:adjustRightInd w:val="0"/>
        <w:snapToGrid w:val="0"/>
        <w:spacing w:line="480" w:lineRule="exact"/>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（三）商务报价响应文件（单独密封）</w:t>
      </w:r>
    </w:p>
    <w:p w14:paraId="5F5D6FEB">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1.竞争性磋商响应函（格式参见附件）；</w:t>
      </w:r>
    </w:p>
    <w:p w14:paraId="3AFED122">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2.磋商响应报价总表（格式参见附件）；</w:t>
      </w:r>
    </w:p>
    <w:p w14:paraId="4B3BF0F2">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3.磋商响应报价清单明细表</w:t>
      </w:r>
    </w:p>
    <w:p w14:paraId="7381085E">
      <w:pPr>
        <w:pStyle w:val="18"/>
        <w:rPr>
          <w:highlight w:val="none"/>
        </w:rPr>
      </w:pPr>
    </w:p>
    <w:p w14:paraId="61B613FF">
      <w:pPr>
        <w:spacing w:line="480" w:lineRule="exact"/>
        <w:rPr>
          <w:rFonts w:ascii="仿宋_GB2312" w:hAnsi="宋体" w:eastAsia="仿宋_GB2312" w:cs="宋体"/>
          <w:b/>
          <w:bCs/>
          <w:sz w:val="28"/>
          <w:szCs w:val="28"/>
          <w:highlight w:val="none"/>
        </w:rPr>
      </w:pPr>
      <w:r>
        <w:rPr>
          <w:rFonts w:hint="eastAsia" w:ascii="仿宋_GB2312" w:hAnsi="宋体" w:eastAsia="仿宋_GB2312" w:cs="宋体"/>
          <w:b/>
          <w:sz w:val="28"/>
          <w:szCs w:val="28"/>
          <w:highlight w:val="none"/>
        </w:rPr>
        <w:br w:type="page"/>
      </w:r>
      <w:r>
        <w:rPr>
          <w:rFonts w:hint="eastAsia" w:ascii="仿宋_GB2312" w:hAnsi="宋体" w:eastAsia="仿宋_GB2312" w:cs="宋体"/>
          <w:b/>
          <w:sz w:val="28"/>
          <w:szCs w:val="28"/>
          <w:highlight w:val="none"/>
        </w:rPr>
        <w:t>附件：</w:t>
      </w:r>
    </w:p>
    <w:p w14:paraId="6C9E6AA4">
      <w:pPr>
        <w:snapToGrid w:val="0"/>
        <w:spacing w:line="520" w:lineRule="exact"/>
        <w:jc w:val="center"/>
        <w:outlineLvl w:val="3"/>
        <w:rPr>
          <w:rFonts w:ascii="仿宋_GB2312" w:hAnsi="宋体" w:eastAsia="仿宋_GB2312" w:cs="宋体"/>
          <w:b/>
          <w:sz w:val="28"/>
          <w:szCs w:val="28"/>
          <w:highlight w:val="none"/>
        </w:rPr>
      </w:pPr>
      <w:r>
        <w:rPr>
          <w:rFonts w:hint="eastAsia" w:ascii="仿宋_GB2312" w:hAnsi="宋体" w:eastAsia="仿宋_GB2312" w:cs="宋体"/>
          <w:b/>
          <w:sz w:val="28"/>
          <w:szCs w:val="28"/>
          <w:highlight w:val="none"/>
        </w:rPr>
        <w:t>1、法定代表人身份证明</w:t>
      </w:r>
    </w:p>
    <w:p w14:paraId="035B6C76">
      <w:pPr>
        <w:snapToGrid w:val="0"/>
        <w:spacing w:line="520" w:lineRule="exact"/>
        <w:jc w:val="center"/>
        <w:rPr>
          <w:rFonts w:ascii="仿宋_GB2312" w:hAnsi="宋体" w:eastAsia="仿宋_GB2312" w:cs="宋体"/>
          <w:sz w:val="28"/>
          <w:szCs w:val="28"/>
          <w:highlight w:val="none"/>
        </w:rPr>
      </w:pPr>
    </w:p>
    <w:p w14:paraId="07A1D03F">
      <w:pPr>
        <w:snapToGrid w:val="0"/>
        <w:spacing w:line="520" w:lineRule="exact"/>
        <w:jc w:val="left"/>
        <w:rPr>
          <w:rFonts w:ascii="仿宋_GB2312" w:hAnsi="宋体" w:eastAsia="等线" w:cs="宋体"/>
          <w:b/>
          <w:sz w:val="28"/>
          <w:szCs w:val="28"/>
          <w:highlight w:val="none"/>
          <w:u w:val="single"/>
        </w:rPr>
      </w:pPr>
      <w:r>
        <w:rPr>
          <w:rFonts w:hint="eastAsia" w:ascii="仿宋_GB2312" w:hAnsi="宋体" w:eastAsia="等线" w:cs="宋体"/>
          <w:b/>
          <w:sz w:val="28"/>
          <w:szCs w:val="28"/>
          <w:highlight w:val="none"/>
          <w:u w:val="single"/>
        </w:rPr>
        <w:t xml:space="preserve">                           </w:t>
      </w:r>
      <w:r>
        <w:rPr>
          <w:rFonts w:hint="eastAsia" w:ascii="仿宋_GB2312" w:hAnsi="宋体" w:eastAsia="仿宋_GB2312" w:cs="宋体"/>
          <w:b/>
          <w:sz w:val="28"/>
          <w:szCs w:val="28"/>
          <w:highlight w:val="none"/>
          <w:u w:val="single"/>
        </w:rPr>
        <w:t>:</w:t>
      </w:r>
    </w:p>
    <w:p w14:paraId="05D047C3">
      <w:pPr>
        <w:snapToGrid w:val="0"/>
        <w:spacing w:line="52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我公司法定代表人</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参加贵单位组织的</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（竞争性磋商项目名称)项目的磋商活动，全权代表我公司处理竞争性磋商的有关事宜。</w:t>
      </w:r>
    </w:p>
    <w:p w14:paraId="6AC21486">
      <w:pPr>
        <w:snapToGrid w:val="0"/>
        <w:spacing w:line="52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附：法定代表人情况：</w:t>
      </w:r>
    </w:p>
    <w:p w14:paraId="2FF27B4E">
      <w:pPr>
        <w:snapToGrid w:val="0"/>
        <w:spacing w:line="520" w:lineRule="exact"/>
        <w:rPr>
          <w:rFonts w:ascii="仿宋_GB2312" w:hAnsi="宋体" w:eastAsia="仿宋_GB2312" w:cs="宋体"/>
          <w:sz w:val="28"/>
          <w:szCs w:val="28"/>
          <w:highlight w:val="none"/>
          <w:u w:val="single"/>
        </w:rPr>
      </w:pPr>
      <w:r>
        <w:rPr>
          <w:rFonts w:hint="eastAsia" w:ascii="仿宋_GB2312" w:hAnsi="宋体" w:eastAsia="仿宋_GB2312" w:cs="宋体"/>
          <w:sz w:val="28"/>
          <w:szCs w:val="28"/>
          <w:highlight w:val="none"/>
        </w:rPr>
        <w:t>姓名：</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性别：</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年龄：</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职务：</w:t>
      </w:r>
      <w:r>
        <w:rPr>
          <w:rFonts w:hint="eastAsia" w:ascii="仿宋_GB2312" w:hAnsi="宋体" w:eastAsia="仿宋_GB2312" w:cs="宋体"/>
          <w:sz w:val="28"/>
          <w:szCs w:val="28"/>
          <w:highlight w:val="none"/>
          <w:u w:val="single"/>
        </w:rPr>
        <w:t xml:space="preserve">          </w:t>
      </w:r>
    </w:p>
    <w:p w14:paraId="0D29AFC5">
      <w:pPr>
        <w:snapToGrid w:val="0"/>
        <w:spacing w:line="52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身份证号码：</w:t>
      </w:r>
      <w:r>
        <w:rPr>
          <w:rFonts w:hint="eastAsia" w:ascii="仿宋_GB2312" w:hAnsi="宋体" w:eastAsia="仿宋_GB2312" w:cs="宋体"/>
          <w:sz w:val="28"/>
          <w:szCs w:val="28"/>
          <w:highlight w:val="none"/>
          <w:u w:val="single"/>
        </w:rPr>
        <w:t xml:space="preserve">                                         </w:t>
      </w:r>
    </w:p>
    <w:p w14:paraId="69BF0DF5">
      <w:pPr>
        <w:snapToGrid w:val="0"/>
        <w:spacing w:line="52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手机：</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传真：</w:t>
      </w:r>
      <w:r>
        <w:rPr>
          <w:rFonts w:hint="eastAsia" w:ascii="仿宋_GB2312" w:hAnsi="宋体" w:eastAsia="仿宋_GB2312" w:cs="宋体"/>
          <w:sz w:val="28"/>
          <w:szCs w:val="28"/>
          <w:highlight w:val="none"/>
          <w:u w:val="single"/>
        </w:rPr>
        <w:t xml:space="preserve">                       </w:t>
      </w:r>
    </w:p>
    <w:p w14:paraId="5D82D714">
      <w:pPr>
        <w:snapToGrid w:val="0"/>
        <w:spacing w:line="520" w:lineRule="exact"/>
        <w:rPr>
          <w:rFonts w:ascii="仿宋_GB2312" w:hAnsi="宋体" w:eastAsia="仿宋_GB2312" w:cs="宋体"/>
          <w:sz w:val="28"/>
          <w:szCs w:val="28"/>
          <w:highlight w:val="none"/>
        </w:rPr>
      </w:pPr>
      <w:r>
        <w:rPr>
          <w:rFonts w:hint="eastAsia" w:ascii="宋体" w:hAnsi="宋体" w:eastAsia="仿宋_GB2312" w:cs="宋体"/>
          <w:sz w:val="28"/>
          <w:szCs w:val="28"/>
          <w:highlight w:val="none"/>
        </w:rPr>
        <w:t> </w:t>
      </w:r>
    </w:p>
    <w:p w14:paraId="73C053D2">
      <w:pPr>
        <w:snapToGrid w:val="0"/>
        <w:spacing w:line="520" w:lineRule="exact"/>
        <w:rPr>
          <w:rFonts w:ascii="仿宋_GB2312" w:hAnsi="宋体" w:eastAsia="仿宋_GB2312" w:cs="宋体"/>
          <w:sz w:val="28"/>
          <w:szCs w:val="28"/>
          <w:highlight w:val="none"/>
        </w:rPr>
      </w:pPr>
    </w:p>
    <w:p w14:paraId="604E2B08">
      <w:pPr>
        <w:snapToGrid w:val="0"/>
        <w:spacing w:line="52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单位名称（公章）             法定代表人（签字或盖章）</w:t>
      </w:r>
    </w:p>
    <w:p w14:paraId="0E79AE45">
      <w:pPr>
        <w:snapToGrid w:val="0"/>
        <w:spacing w:line="520" w:lineRule="exact"/>
        <w:ind w:firstLine="1400" w:firstLineChars="5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 xml:space="preserve">年   月   日                 年   月    日  </w:t>
      </w:r>
    </w:p>
    <w:p w14:paraId="52B9E187">
      <w:pPr>
        <w:snapToGrid w:val="0"/>
        <w:spacing w:line="520" w:lineRule="exact"/>
        <w:rPr>
          <w:rFonts w:ascii="仿宋_GB2312" w:hAnsi="宋体" w:eastAsia="仿宋_GB2312" w:cs="宋体"/>
          <w:sz w:val="28"/>
          <w:szCs w:val="28"/>
          <w:highlight w:val="none"/>
        </w:rPr>
      </w:pPr>
    </w:p>
    <w:p w14:paraId="107E48FB">
      <w:pPr>
        <w:snapToGrid w:val="0"/>
        <w:spacing w:line="52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法定代表人身份证复印件</w:t>
      </w:r>
    </w:p>
    <w:p w14:paraId="26BF60CD">
      <w:pPr>
        <w:snapToGrid w:val="0"/>
        <w:spacing w:line="520" w:lineRule="exact"/>
        <w:rPr>
          <w:rFonts w:ascii="仿宋_GB2312" w:hAnsi="宋体" w:eastAsia="仿宋_GB2312" w:cs="宋体"/>
          <w:sz w:val="28"/>
          <w:szCs w:val="28"/>
          <w:highlight w:val="none"/>
        </w:rPr>
      </w:pPr>
    </w:p>
    <w:p w14:paraId="0D1F0A56">
      <w:pPr>
        <w:snapToGrid w:val="0"/>
        <w:spacing w:line="520" w:lineRule="exact"/>
        <w:ind w:firstLine="2660" w:firstLineChars="95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（粘贴此处）</w:t>
      </w:r>
    </w:p>
    <w:p w14:paraId="0DF77901">
      <w:pPr>
        <w:snapToGrid w:val="0"/>
        <w:spacing w:line="520" w:lineRule="exact"/>
        <w:ind w:firstLine="562" w:firstLineChars="200"/>
        <w:rPr>
          <w:rFonts w:ascii="仿宋_GB2312" w:hAnsi="宋体" w:eastAsia="仿宋_GB2312" w:cs="宋体"/>
          <w:b/>
          <w:bCs/>
          <w:sz w:val="28"/>
          <w:szCs w:val="28"/>
          <w:highlight w:val="none"/>
        </w:rPr>
      </w:pPr>
      <w:r>
        <w:rPr>
          <w:rFonts w:hint="eastAsia" w:ascii="仿宋_GB2312" w:hAnsi="宋体" w:eastAsia="仿宋_GB2312" w:cs="宋体"/>
          <w:b/>
          <w:bCs/>
          <w:sz w:val="28"/>
          <w:szCs w:val="28"/>
          <w:highlight w:val="none"/>
        </w:rPr>
        <w:t>注:参加磋商时法定代表人将身份证原件带至磋商现场备查。</w:t>
      </w:r>
    </w:p>
    <w:p w14:paraId="4CB4C608">
      <w:pPr>
        <w:snapToGrid w:val="0"/>
        <w:spacing w:line="520" w:lineRule="exact"/>
        <w:jc w:val="center"/>
        <w:outlineLvl w:val="3"/>
        <w:rPr>
          <w:rFonts w:ascii="仿宋_GB2312" w:hAnsi="宋体" w:eastAsia="仿宋_GB2312" w:cs="宋体"/>
          <w:b/>
          <w:sz w:val="28"/>
          <w:szCs w:val="28"/>
          <w:highlight w:val="none"/>
        </w:rPr>
      </w:pPr>
      <w:r>
        <w:rPr>
          <w:rFonts w:hint="eastAsia" w:ascii="仿宋_GB2312" w:hAnsi="宋体" w:eastAsia="仿宋_GB2312" w:cs="宋体"/>
          <w:b/>
          <w:sz w:val="28"/>
          <w:szCs w:val="28"/>
          <w:highlight w:val="none"/>
        </w:rPr>
        <w:br w:type="page"/>
      </w:r>
      <w:r>
        <w:rPr>
          <w:rFonts w:hint="eastAsia" w:ascii="仿宋_GB2312" w:hAnsi="宋体" w:eastAsia="仿宋_GB2312" w:cs="宋体"/>
          <w:b/>
          <w:sz w:val="28"/>
          <w:szCs w:val="28"/>
          <w:highlight w:val="none"/>
        </w:rPr>
        <w:t>2、授权委托书</w:t>
      </w:r>
    </w:p>
    <w:p w14:paraId="00652E46">
      <w:pPr>
        <w:snapToGrid w:val="0"/>
        <w:spacing w:line="520" w:lineRule="exact"/>
        <w:jc w:val="center"/>
        <w:rPr>
          <w:rFonts w:ascii="仿宋_GB2312" w:hAnsi="宋体" w:eastAsia="仿宋_GB2312" w:cs="宋体"/>
          <w:bCs/>
          <w:sz w:val="28"/>
          <w:szCs w:val="28"/>
          <w:highlight w:val="none"/>
        </w:rPr>
      </w:pPr>
    </w:p>
    <w:p w14:paraId="47AB0B50">
      <w:pPr>
        <w:snapToGrid w:val="0"/>
        <w:spacing w:line="520" w:lineRule="exact"/>
        <w:jc w:val="left"/>
        <w:rPr>
          <w:rFonts w:ascii="仿宋_GB2312" w:hAnsi="宋体" w:eastAsia="仿宋_GB2312" w:cs="宋体"/>
          <w:sz w:val="28"/>
          <w:szCs w:val="28"/>
          <w:highlight w:val="none"/>
          <w:u w:val="single"/>
        </w:rPr>
      </w:pPr>
      <w:r>
        <w:rPr>
          <w:rFonts w:hint="eastAsia" w:ascii="仿宋_GB2312" w:hAnsi="宋体" w:eastAsia="等线" w:cs="宋体"/>
          <w:b/>
          <w:sz w:val="28"/>
          <w:szCs w:val="28"/>
          <w:highlight w:val="none"/>
          <w:u w:val="single"/>
        </w:rPr>
        <w:t xml:space="preserve">                        </w:t>
      </w:r>
      <w:r>
        <w:rPr>
          <w:rFonts w:hint="eastAsia" w:ascii="仿宋_GB2312" w:hAnsi="宋体" w:eastAsia="仿宋_GB2312" w:cs="宋体"/>
          <w:sz w:val="28"/>
          <w:szCs w:val="28"/>
          <w:highlight w:val="none"/>
          <w:u w:val="single"/>
        </w:rPr>
        <w:t>:</w:t>
      </w:r>
    </w:p>
    <w:p w14:paraId="1B7D4D54">
      <w:pPr>
        <w:snapToGrid w:val="0"/>
        <w:spacing w:line="48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兹授权</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被授权人的姓名）代表我公司参加</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 xml:space="preserve">（竞争性磋商项目名称)项目的政府采购活动，全权处理一切与该项目招标有关的事务。其在办理上述事宜过程中所签署的所有文件我公司均予以承认。  </w:t>
      </w:r>
    </w:p>
    <w:p w14:paraId="2A1BB612">
      <w:pPr>
        <w:adjustRightInd w:val="0"/>
        <w:snapToGrid w:val="0"/>
        <w:spacing w:line="500" w:lineRule="exact"/>
        <w:ind w:firstLine="560" w:firstLineChars="200"/>
        <w:jc w:val="left"/>
        <w:rPr>
          <w:rFonts w:ascii="仿宋_GB2312" w:hAnsi="宋体" w:eastAsia="仿宋_GB2312" w:cs="宋体"/>
          <w:kern w:val="0"/>
          <w:sz w:val="28"/>
          <w:szCs w:val="28"/>
          <w:highlight w:val="none"/>
        </w:rPr>
      </w:pPr>
    </w:p>
    <w:p w14:paraId="4930FA1C">
      <w:pPr>
        <w:adjustRightInd w:val="0"/>
        <w:snapToGrid w:val="0"/>
        <w:spacing w:line="500" w:lineRule="exact"/>
        <w:ind w:firstLine="560" w:firstLineChars="200"/>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被授权人无转委托权，特此委托。</w:t>
      </w:r>
    </w:p>
    <w:p w14:paraId="157BE2A0">
      <w:pPr>
        <w:adjustRightInd w:val="0"/>
        <w:snapToGrid w:val="0"/>
        <w:spacing w:line="500" w:lineRule="exact"/>
        <w:ind w:firstLine="560" w:firstLineChars="200"/>
        <w:jc w:val="left"/>
        <w:rPr>
          <w:rFonts w:ascii="仿宋_GB2312" w:hAnsi="宋体" w:eastAsia="仿宋_GB2312" w:cs="宋体"/>
          <w:kern w:val="0"/>
          <w:sz w:val="28"/>
          <w:szCs w:val="28"/>
          <w:highlight w:val="none"/>
        </w:rPr>
      </w:pPr>
    </w:p>
    <w:p w14:paraId="1A7DAB45">
      <w:pPr>
        <w:spacing w:line="48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附：被授权人情况：</w:t>
      </w:r>
    </w:p>
    <w:p w14:paraId="0BA4EEDE">
      <w:pPr>
        <w:spacing w:line="480" w:lineRule="exact"/>
        <w:rPr>
          <w:rFonts w:ascii="仿宋_GB2312" w:hAnsi="宋体" w:eastAsia="仿宋_GB2312" w:cs="宋体"/>
          <w:sz w:val="28"/>
          <w:szCs w:val="28"/>
          <w:highlight w:val="none"/>
          <w:u w:val="single"/>
        </w:rPr>
      </w:pPr>
      <w:r>
        <w:rPr>
          <w:rFonts w:hint="eastAsia" w:ascii="仿宋_GB2312" w:hAnsi="宋体" w:eastAsia="仿宋_GB2312" w:cs="宋体"/>
          <w:sz w:val="28"/>
          <w:szCs w:val="28"/>
          <w:highlight w:val="none"/>
        </w:rPr>
        <w:t>姓名：</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 xml:space="preserve"> 性别：</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年龄：</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职务：</w:t>
      </w:r>
      <w:r>
        <w:rPr>
          <w:rFonts w:hint="eastAsia" w:ascii="仿宋_GB2312" w:hAnsi="宋体" w:eastAsia="仿宋_GB2312" w:cs="宋体"/>
          <w:sz w:val="28"/>
          <w:szCs w:val="28"/>
          <w:highlight w:val="none"/>
          <w:u w:val="single"/>
        </w:rPr>
        <w:t xml:space="preserve">          </w:t>
      </w:r>
    </w:p>
    <w:p w14:paraId="23A15F4F">
      <w:pPr>
        <w:spacing w:line="48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身份证号码：</w:t>
      </w:r>
      <w:r>
        <w:rPr>
          <w:rFonts w:hint="eastAsia" w:ascii="仿宋_GB2312" w:hAnsi="宋体" w:eastAsia="仿宋_GB2312" w:cs="宋体"/>
          <w:sz w:val="28"/>
          <w:szCs w:val="28"/>
          <w:highlight w:val="none"/>
          <w:u w:val="single"/>
        </w:rPr>
        <w:t xml:space="preserve">                                          </w:t>
      </w:r>
    </w:p>
    <w:p w14:paraId="02F31CF4">
      <w:pPr>
        <w:spacing w:line="48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手机：</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传真：</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 xml:space="preserve"> </w:t>
      </w:r>
    </w:p>
    <w:p w14:paraId="000464F5">
      <w:pPr>
        <w:spacing w:line="48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单位名称（公章）             法定代表人（签字或盖章）</w:t>
      </w:r>
    </w:p>
    <w:p w14:paraId="6C9A6A29">
      <w:pPr>
        <w:spacing w:line="480" w:lineRule="exact"/>
        <w:ind w:firstLine="1400" w:firstLineChars="5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 xml:space="preserve">年   月   日                 年   月    日  </w:t>
      </w:r>
    </w:p>
    <w:p w14:paraId="098DDE83">
      <w:pPr>
        <w:spacing w:line="480" w:lineRule="exact"/>
        <w:rPr>
          <w:rFonts w:ascii="仿宋_GB2312" w:hAnsi="宋体" w:eastAsia="仿宋_GB2312" w:cs="宋体"/>
          <w:sz w:val="28"/>
          <w:szCs w:val="28"/>
          <w:highlight w:val="none"/>
        </w:rPr>
      </w:pPr>
    </w:p>
    <w:p w14:paraId="7C91DCB1">
      <w:pPr>
        <w:spacing w:line="48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法定代表人身份证复印件</w:t>
      </w:r>
    </w:p>
    <w:p w14:paraId="6D273044">
      <w:pPr>
        <w:spacing w:line="480" w:lineRule="exact"/>
        <w:rPr>
          <w:rFonts w:ascii="仿宋_GB2312" w:hAnsi="宋体" w:eastAsia="仿宋_GB2312" w:cs="宋体"/>
          <w:sz w:val="28"/>
          <w:szCs w:val="28"/>
          <w:highlight w:val="none"/>
        </w:rPr>
      </w:pPr>
    </w:p>
    <w:p w14:paraId="79DC2F11">
      <w:pPr>
        <w:spacing w:line="480" w:lineRule="exact"/>
        <w:ind w:firstLine="2660" w:firstLineChars="95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（粘贴此处）</w:t>
      </w:r>
    </w:p>
    <w:p w14:paraId="60FDC09D">
      <w:pPr>
        <w:spacing w:line="480" w:lineRule="exact"/>
        <w:rPr>
          <w:rFonts w:ascii="仿宋_GB2312" w:hAnsi="宋体" w:eastAsia="仿宋_GB2312" w:cs="宋体"/>
          <w:sz w:val="28"/>
          <w:szCs w:val="28"/>
          <w:highlight w:val="none"/>
        </w:rPr>
      </w:pPr>
    </w:p>
    <w:p w14:paraId="34C7B130">
      <w:pPr>
        <w:spacing w:line="480" w:lineRule="exact"/>
        <w:rPr>
          <w:rFonts w:ascii="仿宋_GB2312" w:hAnsi="宋体" w:eastAsia="仿宋_GB2312" w:cs="宋体"/>
          <w:sz w:val="28"/>
          <w:szCs w:val="28"/>
          <w:highlight w:val="none"/>
        </w:rPr>
      </w:pPr>
    </w:p>
    <w:p w14:paraId="58BCE351">
      <w:pPr>
        <w:spacing w:line="48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被授权人身份证复印件</w:t>
      </w:r>
    </w:p>
    <w:p w14:paraId="6E93FCA5">
      <w:pPr>
        <w:spacing w:line="480" w:lineRule="exact"/>
        <w:rPr>
          <w:rFonts w:ascii="仿宋_GB2312" w:hAnsi="宋体" w:eastAsia="仿宋_GB2312" w:cs="宋体"/>
          <w:sz w:val="28"/>
          <w:szCs w:val="28"/>
          <w:highlight w:val="none"/>
        </w:rPr>
      </w:pPr>
    </w:p>
    <w:p w14:paraId="5A44F4AD">
      <w:pPr>
        <w:spacing w:line="480" w:lineRule="exact"/>
        <w:ind w:firstLine="2660" w:firstLineChars="950"/>
        <w:rPr>
          <w:rFonts w:ascii="仿宋_GB2312" w:hAnsi="宋体" w:eastAsia="仿宋_GB2312" w:cs="宋体"/>
          <w:b/>
          <w:bCs/>
          <w:sz w:val="28"/>
          <w:szCs w:val="28"/>
          <w:highlight w:val="none"/>
        </w:rPr>
      </w:pPr>
      <w:r>
        <w:rPr>
          <w:rFonts w:hint="eastAsia" w:ascii="仿宋_GB2312" w:hAnsi="宋体" w:eastAsia="仿宋_GB2312" w:cs="宋体"/>
          <w:sz w:val="28"/>
          <w:szCs w:val="28"/>
          <w:highlight w:val="none"/>
        </w:rPr>
        <w:t>（粘贴此处）</w:t>
      </w:r>
    </w:p>
    <w:p w14:paraId="0E1DB114">
      <w:pPr>
        <w:spacing w:line="480" w:lineRule="exact"/>
        <w:ind w:firstLine="562" w:firstLineChars="200"/>
        <w:rPr>
          <w:rFonts w:ascii="仿宋_GB2312" w:hAnsi="宋体" w:eastAsia="仿宋_GB2312" w:cs="宋体"/>
          <w:b/>
          <w:bCs/>
          <w:sz w:val="28"/>
          <w:szCs w:val="28"/>
          <w:highlight w:val="none"/>
        </w:rPr>
      </w:pPr>
      <w:r>
        <w:rPr>
          <w:rFonts w:hint="eastAsia" w:ascii="仿宋_GB2312" w:hAnsi="宋体" w:eastAsia="仿宋_GB2312" w:cs="宋体"/>
          <w:b/>
          <w:bCs/>
          <w:sz w:val="28"/>
          <w:szCs w:val="28"/>
          <w:highlight w:val="none"/>
        </w:rPr>
        <w:t>注:参加磋商时被授权人将身份证原件带至现场备查。</w:t>
      </w:r>
    </w:p>
    <w:p w14:paraId="1E0CF890">
      <w:pPr>
        <w:spacing w:line="360" w:lineRule="auto"/>
        <w:jc w:val="center"/>
        <w:rPr>
          <w:rFonts w:ascii="宋体" w:hAnsi="宋体" w:cs="仿宋_GB2312"/>
          <w:b/>
          <w:bCs/>
          <w:sz w:val="30"/>
          <w:szCs w:val="30"/>
          <w:highlight w:val="none"/>
        </w:rPr>
      </w:pPr>
      <w:r>
        <w:rPr>
          <w:rFonts w:hint="eastAsia" w:ascii="仿宋_GB2312" w:hAnsi="宋体" w:eastAsia="仿宋_GB2312" w:cs="宋体"/>
          <w:b/>
          <w:sz w:val="28"/>
          <w:szCs w:val="28"/>
          <w:highlight w:val="none"/>
        </w:rPr>
        <w:br w:type="page"/>
      </w:r>
      <w:r>
        <w:rPr>
          <w:rFonts w:hint="eastAsia" w:ascii="仿宋_GB2312" w:hAnsi="宋体" w:eastAsia="仿宋_GB2312" w:cs="宋体"/>
          <w:b/>
          <w:bCs/>
          <w:sz w:val="28"/>
          <w:szCs w:val="28"/>
          <w:highlight w:val="none"/>
        </w:rPr>
        <w:t>3、投标人符合《政府采购法》第二十二条规定条件的声明函</w:t>
      </w:r>
    </w:p>
    <w:p w14:paraId="0DE2C147">
      <w:pPr>
        <w:snapToGrid w:val="0"/>
        <w:spacing w:line="360" w:lineRule="auto"/>
        <w:jc w:val="left"/>
        <w:rPr>
          <w:rFonts w:ascii="宋体" w:hAnsi="宋体" w:cs="仿宋_GB2312"/>
          <w:bCs/>
          <w:sz w:val="32"/>
          <w:szCs w:val="32"/>
          <w:highlight w:val="none"/>
        </w:rPr>
      </w:pPr>
      <w:r>
        <w:rPr>
          <w:rFonts w:ascii="宋体" w:hAnsi="宋体" w:cs="仿宋_GB2312"/>
          <w:bCs/>
          <w:sz w:val="32"/>
          <w:szCs w:val="32"/>
          <w:highlight w:val="none"/>
        </w:rPr>
        <w:t xml:space="preserve">                          </w:t>
      </w:r>
    </w:p>
    <w:p w14:paraId="61C54967">
      <w:pPr>
        <w:snapToGrid w:val="0"/>
        <w:spacing w:line="360" w:lineRule="auto"/>
        <w:ind w:firstLine="560" w:firstLineChars="20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我单位参加________________ （项目名称），__________（项目编号）投标活动。针对《中华人民共和国政府采购法》第二十二条规定做出如下声明：</w:t>
      </w:r>
    </w:p>
    <w:p w14:paraId="34C32A32">
      <w:pPr>
        <w:snapToGrid w:val="0"/>
        <w:spacing w:line="360" w:lineRule="auto"/>
        <w:ind w:firstLine="560" w:firstLineChars="20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1.我单位具有独立承担民事责任的能力；</w:t>
      </w:r>
    </w:p>
    <w:p w14:paraId="5B5DD084">
      <w:pPr>
        <w:snapToGrid w:val="0"/>
        <w:spacing w:line="360" w:lineRule="auto"/>
        <w:ind w:firstLine="560" w:firstLineChars="20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2.我单位具有良好的商业信誉和健全的财务会计制度；</w:t>
      </w:r>
    </w:p>
    <w:p w14:paraId="16419D5D">
      <w:pPr>
        <w:snapToGrid w:val="0"/>
        <w:spacing w:line="360" w:lineRule="auto"/>
        <w:ind w:firstLine="560" w:firstLineChars="20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3.我单位具有履行合同所必需的设备和专业技术能力；</w:t>
      </w:r>
    </w:p>
    <w:p w14:paraId="36907EAF">
      <w:pPr>
        <w:snapToGrid w:val="0"/>
        <w:spacing w:line="360" w:lineRule="auto"/>
        <w:ind w:firstLine="560" w:firstLineChars="20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4.我单位有依法缴纳税收和社会保障资金的良好记录；</w:t>
      </w:r>
    </w:p>
    <w:p w14:paraId="773AFE41">
      <w:pPr>
        <w:snapToGrid w:val="0"/>
        <w:spacing w:line="360" w:lineRule="auto"/>
        <w:ind w:firstLine="560" w:firstLineChars="20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98D4587">
      <w:pPr>
        <w:snapToGrid w:val="0"/>
        <w:spacing w:line="360" w:lineRule="auto"/>
        <w:ind w:firstLine="560" w:firstLineChars="20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6.我单位满足法律、行政法规规定的其他条件。</w:t>
      </w:r>
    </w:p>
    <w:p w14:paraId="03885730">
      <w:pPr>
        <w:snapToGrid w:val="0"/>
        <w:spacing w:line="360" w:lineRule="auto"/>
        <w:jc w:val="center"/>
        <w:rPr>
          <w:rFonts w:ascii="仿宋_GB2312" w:hAnsi="仿宋" w:eastAsia="仿宋_GB2312" w:cs="仿宋_GB2312"/>
          <w:bCs/>
          <w:sz w:val="28"/>
          <w:szCs w:val="28"/>
          <w:highlight w:val="none"/>
        </w:rPr>
      </w:pPr>
    </w:p>
    <w:p w14:paraId="512E2CDB">
      <w:pPr>
        <w:snapToGrid w:val="0"/>
        <w:spacing w:line="360" w:lineRule="auto"/>
        <w:jc w:val="center"/>
        <w:rPr>
          <w:rFonts w:ascii="仿宋" w:hAnsi="仿宋" w:eastAsia="仿宋" w:cs="仿宋_GB2312"/>
          <w:bCs/>
          <w:sz w:val="24"/>
          <w:szCs w:val="24"/>
          <w:highlight w:val="none"/>
        </w:rPr>
      </w:pPr>
    </w:p>
    <w:p w14:paraId="0CD8C5C1">
      <w:pPr>
        <w:snapToGrid w:val="0"/>
        <w:spacing w:line="360" w:lineRule="auto"/>
        <w:jc w:val="center"/>
        <w:rPr>
          <w:rFonts w:ascii="仿宋" w:hAnsi="仿宋" w:eastAsia="仿宋" w:cs="仿宋_GB2312"/>
          <w:bCs/>
          <w:sz w:val="24"/>
          <w:szCs w:val="24"/>
          <w:highlight w:val="none"/>
        </w:rPr>
      </w:pPr>
    </w:p>
    <w:p w14:paraId="4968A1F4">
      <w:pPr>
        <w:snapToGrid w:val="0"/>
        <w:spacing w:line="360" w:lineRule="auto"/>
        <w:jc w:val="center"/>
        <w:rPr>
          <w:rFonts w:ascii="仿宋" w:hAnsi="仿宋" w:eastAsia="仿宋" w:cs="仿宋_GB2312"/>
          <w:bCs/>
          <w:sz w:val="24"/>
          <w:szCs w:val="24"/>
          <w:highlight w:val="none"/>
        </w:rPr>
      </w:pPr>
    </w:p>
    <w:p w14:paraId="01A6E96D">
      <w:pPr>
        <w:snapToGrid w:val="0"/>
        <w:spacing w:line="360" w:lineRule="auto"/>
        <w:jc w:val="center"/>
        <w:rPr>
          <w:rFonts w:ascii="仿宋" w:hAnsi="仿宋" w:eastAsia="仿宋" w:cs="仿宋_GB2312"/>
          <w:bCs/>
          <w:sz w:val="24"/>
          <w:szCs w:val="24"/>
          <w:highlight w:val="none"/>
        </w:rPr>
      </w:pPr>
    </w:p>
    <w:p w14:paraId="0E7398AE">
      <w:pPr>
        <w:snapToGrid w:val="0"/>
        <w:spacing w:line="360" w:lineRule="auto"/>
        <w:jc w:val="center"/>
        <w:rPr>
          <w:rFonts w:ascii="仿宋_GB2312" w:hAnsi="仿宋" w:eastAsia="仿宋_GB2312" w:cs="仿宋_GB2312"/>
          <w:bCs/>
          <w:sz w:val="28"/>
          <w:szCs w:val="28"/>
          <w:highlight w:val="none"/>
        </w:rPr>
      </w:pPr>
      <w:r>
        <w:rPr>
          <w:rFonts w:hint="eastAsia" w:ascii="仿宋" w:hAnsi="仿宋" w:eastAsia="仿宋" w:cs="仿宋_GB2312"/>
          <w:bCs/>
          <w:sz w:val="24"/>
          <w:szCs w:val="24"/>
          <w:highlight w:val="none"/>
        </w:rPr>
        <w:t xml:space="preserve">              </w:t>
      </w:r>
      <w:r>
        <w:rPr>
          <w:rFonts w:hint="eastAsia" w:ascii="仿宋_GB2312" w:hAnsi="仿宋" w:eastAsia="仿宋_GB2312" w:cs="仿宋_GB2312"/>
          <w:bCs/>
          <w:sz w:val="28"/>
          <w:szCs w:val="28"/>
          <w:highlight w:val="none"/>
        </w:rPr>
        <w:t xml:space="preserve">    承诺人名称（公章）：</w:t>
      </w:r>
    </w:p>
    <w:p w14:paraId="770BA218">
      <w:pPr>
        <w:snapToGrid w:val="0"/>
        <w:spacing w:line="360" w:lineRule="auto"/>
        <w:jc w:val="center"/>
        <w:rPr>
          <w:rFonts w:ascii="仿宋_GB2312" w:hAnsi="仿宋" w:eastAsia="仿宋_GB2312" w:cs="仿宋_GB2312"/>
          <w:bCs/>
          <w:sz w:val="28"/>
          <w:szCs w:val="28"/>
          <w:highlight w:val="none"/>
        </w:rPr>
      </w:pPr>
      <w:r>
        <w:rPr>
          <w:rFonts w:ascii="仿宋_GB2312" w:hAnsi="仿宋" w:eastAsia="仿宋_GB2312" w:cs="仿宋_GB2312"/>
          <w:bCs/>
          <w:sz w:val="28"/>
          <w:szCs w:val="28"/>
          <w:highlight w:val="none"/>
        </w:rPr>
        <w:t xml:space="preserve">    </w:t>
      </w:r>
    </w:p>
    <w:p w14:paraId="3CBC934D">
      <w:pPr>
        <w:snapToGrid w:val="0"/>
        <w:spacing w:line="360" w:lineRule="auto"/>
        <w:jc w:val="center"/>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 xml:space="preserve">                          日期：______年    月    日</w:t>
      </w:r>
    </w:p>
    <w:p w14:paraId="348E567F">
      <w:pPr>
        <w:snapToGrid w:val="0"/>
        <w:spacing w:line="360" w:lineRule="auto"/>
        <w:jc w:val="center"/>
        <w:rPr>
          <w:rFonts w:ascii="仿宋" w:hAnsi="仿宋" w:eastAsia="仿宋" w:cs="仿宋_GB2312"/>
          <w:bCs/>
          <w:sz w:val="32"/>
          <w:szCs w:val="32"/>
          <w:highlight w:val="none"/>
        </w:rPr>
      </w:pPr>
    </w:p>
    <w:p w14:paraId="4BFE2C64">
      <w:pPr>
        <w:snapToGrid w:val="0"/>
        <w:spacing w:line="360" w:lineRule="auto"/>
        <w:jc w:val="center"/>
        <w:rPr>
          <w:rFonts w:ascii="宋体" w:hAnsi="宋体" w:cs="仿宋_GB2312"/>
          <w:bCs/>
          <w:sz w:val="32"/>
          <w:szCs w:val="32"/>
          <w:highlight w:val="none"/>
        </w:rPr>
      </w:pPr>
    </w:p>
    <w:p w14:paraId="3E1BD11B">
      <w:pPr>
        <w:spacing w:line="360" w:lineRule="auto"/>
        <w:ind w:firstLine="2670" w:firstLineChars="950"/>
        <w:jc w:val="left"/>
        <w:rPr>
          <w:rFonts w:ascii="仿宋_GB2312" w:hAnsi="宋体" w:eastAsia="仿宋_GB2312" w:cs="宋体"/>
          <w:b/>
          <w:bCs/>
          <w:sz w:val="28"/>
          <w:szCs w:val="28"/>
          <w:highlight w:val="none"/>
        </w:rPr>
      </w:pPr>
      <w:r>
        <w:rPr>
          <w:rFonts w:ascii="仿宋_GB2312" w:hAnsi="宋体" w:eastAsia="仿宋_GB2312" w:cs="宋体"/>
          <w:b/>
          <w:sz w:val="28"/>
          <w:szCs w:val="28"/>
          <w:highlight w:val="none"/>
        </w:rPr>
        <w:br w:type="page"/>
      </w:r>
      <w:r>
        <w:rPr>
          <w:rFonts w:hint="eastAsia" w:ascii="仿宋_GB2312" w:hAnsi="宋体" w:eastAsia="仿宋_GB2312" w:cs="宋体"/>
          <w:b/>
          <w:bCs/>
          <w:sz w:val="28"/>
          <w:szCs w:val="28"/>
          <w:highlight w:val="none"/>
        </w:rPr>
        <w:t>4、无重大违法记录声明</w:t>
      </w:r>
    </w:p>
    <w:p w14:paraId="71215AF9">
      <w:pPr>
        <w:spacing w:line="360" w:lineRule="auto"/>
        <w:jc w:val="left"/>
        <w:rPr>
          <w:rFonts w:ascii="仿宋_GB2312" w:hAnsi="宋体" w:eastAsia="仿宋_GB2312" w:cs="宋体"/>
          <w:b/>
          <w:bCs/>
          <w:sz w:val="28"/>
          <w:szCs w:val="28"/>
          <w:highlight w:val="none"/>
        </w:rPr>
      </w:pPr>
      <w:r>
        <w:rPr>
          <w:rFonts w:hint="eastAsia" w:ascii="仿宋_GB2312" w:hAnsi="宋体" w:eastAsia="等线" w:cs="宋体"/>
          <w:b/>
          <w:sz w:val="28"/>
          <w:szCs w:val="28"/>
          <w:highlight w:val="none"/>
          <w:u w:val="single"/>
        </w:rPr>
        <w:t xml:space="preserve">                        </w:t>
      </w:r>
      <w:r>
        <w:rPr>
          <w:rFonts w:hint="eastAsia" w:ascii="仿宋_GB2312" w:hAnsi="宋体" w:eastAsia="仿宋_GB2312" w:cs="宋体"/>
          <w:sz w:val="28"/>
          <w:szCs w:val="28"/>
          <w:highlight w:val="none"/>
          <w:u w:val="single"/>
        </w:rPr>
        <w:t>:</w:t>
      </w:r>
    </w:p>
    <w:p w14:paraId="00E704D0">
      <w:pPr>
        <w:spacing w:line="360" w:lineRule="auto"/>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我单位</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（供应商名称）郑重声明：</w:t>
      </w:r>
    </w:p>
    <w:p w14:paraId="1743E395">
      <w:pPr>
        <w:spacing w:line="360" w:lineRule="auto"/>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参加政府采购活动前3年内在经营活动中</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（在下划线上如实填写：有或没有）重大违法记录。</w:t>
      </w:r>
    </w:p>
    <w:p w14:paraId="5E7D4D36">
      <w:pPr>
        <w:spacing w:line="360" w:lineRule="auto"/>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 xml:space="preserve"> （说明：政府采购法第二十二条第一款第五项所称重大违法记录，是指供应商因违法经营受到刑事处罚或者责令停产停业、吊销许可证或者执照、较大数额罚款等行政处罚。）</w:t>
      </w:r>
    </w:p>
    <w:p w14:paraId="49D2193B">
      <w:pPr>
        <w:spacing w:line="360" w:lineRule="auto"/>
        <w:ind w:firstLine="2670" w:firstLineChars="950"/>
        <w:jc w:val="right"/>
        <w:rPr>
          <w:rFonts w:ascii="仿宋_GB2312" w:hAnsi="宋体" w:eastAsia="仿宋_GB2312" w:cs="宋体"/>
          <w:b/>
          <w:sz w:val="28"/>
          <w:szCs w:val="28"/>
          <w:highlight w:val="none"/>
        </w:rPr>
      </w:pPr>
      <w:r>
        <w:rPr>
          <w:rFonts w:hint="eastAsia" w:ascii="仿宋_GB2312" w:hAnsi="宋体" w:eastAsia="仿宋_GB2312" w:cs="宋体"/>
          <w:b/>
          <w:sz w:val="28"/>
          <w:szCs w:val="28"/>
          <w:highlight w:val="none"/>
        </w:rPr>
        <w:t xml:space="preserve">                                                        声明人：（公章）</w:t>
      </w:r>
    </w:p>
    <w:p w14:paraId="7B8371C4">
      <w:pPr>
        <w:spacing w:line="360" w:lineRule="auto"/>
        <w:ind w:firstLine="2670" w:firstLineChars="950"/>
        <w:jc w:val="right"/>
        <w:rPr>
          <w:rFonts w:ascii="仿宋_GB2312" w:hAnsi="宋体" w:eastAsia="仿宋_GB2312" w:cs="宋体"/>
          <w:b/>
          <w:sz w:val="28"/>
          <w:szCs w:val="28"/>
          <w:highlight w:val="none"/>
        </w:rPr>
      </w:pPr>
      <w:r>
        <w:rPr>
          <w:rFonts w:hint="eastAsia" w:ascii="仿宋_GB2312" w:hAnsi="宋体" w:eastAsia="仿宋_GB2312" w:cs="宋体"/>
          <w:b/>
          <w:sz w:val="28"/>
          <w:szCs w:val="28"/>
          <w:highlight w:val="none"/>
        </w:rPr>
        <w:t xml:space="preserve">                                                   年     月    日</w:t>
      </w:r>
    </w:p>
    <w:p w14:paraId="750D49B6">
      <w:pPr>
        <w:spacing w:line="360" w:lineRule="auto"/>
        <w:ind w:firstLine="2670" w:firstLineChars="950"/>
        <w:jc w:val="left"/>
        <w:rPr>
          <w:rFonts w:ascii="仿宋_GB2312" w:hAnsi="宋体" w:eastAsia="仿宋_GB2312" w:cs="宋体"/>
          <w:b/>
          <w:sz w:val="28"/>
          <w:szCs w:val="28"/>
          <w:highlight w:val="none"/>
        </w:rPr>
      </w:pPr>
    </w:p>
    <w:p w14:paraId="50A0FE71">
      <w:pPr>
        <w:spacing w:line="360" w:lineRule="auto"/>
        <w:ind w:firstLine="2670" w:firstLineChars="950"/>
        <w:jc w:val="left"/>
        <w:rPr>
          <w:rFonts w:ascii="仿宋_GB2312" w:hAnsi="宋体" w:eastAsia="仿宋_GB2312" w:cs="宋体"/>
          <w:b/>
          <w:sz w:val="28"/>
          <w:szCs w:val="28"/>
          <w:highlight w:val="none"/>
        </w:rPr>
      </w:pPr>
    </w:p>
    <w:p w14:paraId="248FC6AC">
      <w:pPr>
        <w:spacing w:line="360" w:lineRule="auto"/>
        <w:ind w:firstLine="2670" w:firstLineChars="950"/>
        <w:jc w:val="left"/>
        <w:rPr>
          <w:rFonts w:ascii="仿宋_GB2312" w:hAnsi="宋体" w:eastAsia="仿宋_GB2312" w:cs="宋体"/>
          <w:b/>
          <w:sz w:val="28"/>
          <w:szCs w:val="28"/>
          <w:highlight w:val="none"/>
        </w:rPr>
      </w:pPr>
    </w:p>
    <w:p w14:paraId="2EB696C3">
      <w:pPr>
        <w:spacing w:line="360" w:lineRule="auto"/>
        <w:ind w:firstLine="2670" w:firstLineChars="950"/>
        <w:jc w:val="left"/>
        <w:rPr>
          <w:rFonts w:ascii="仿宋_GB2312" w:hAnsi="宋体" w:eastAsia="仿宋_GB2312" w:cs="宋体"/>
          <w:b/>
          <w:sz w:val="28"/>
          <w:szCs w:val="28"/>
          <w:highlight w:val="none"/>
        </w:rPr>
      </w:pPr>
    </w:p>
    <w:p w14:paraId="53494A8F">
      <w:pPr>
        <w:spacing w:line="360" w:lineRule="auto"/>
        <w:ind w:firstLine="2670" w:firstLineChars="950"/>
        <w:jc w:val="left"/>
        <w:rPr>
          <w:rFonts w:ascii="仿宋_GB2312" w:hAnsi="宋体" w:eastAsia="仿宋_GB2312" w:cs="宋体"/>
          <w:b/>
          <w:sz w:val="28"/>
          <w:szCs w:val="28"/>
          <w:highlight w:val="none"/>
        </w:rPr>
      </w:pPr>
    </w:p>
    <w:p w14:paraId="581658DA">
      <w:pPr>
        <w:spacing w:line="360" w:lineRule="auto"/>
        <w:jc w:val="left"/>
        <w:rPr>
          <w:rFonts w:ascii="仿宋_GB2312" w:hAnsi="宋体" w:eastAsia="仿宋_GB2312" w:cs="宋体"/>
          <w:b/>
          <w:sz w:val="28"/>
          <w:szCs w:val="28"/>
          <w:highlight w:val="none"/>
        </w:rPr>
      </w:pPr>
    </w:p>
    <w:p w14:paraId="24CA7011">
      <w:pPr>
        <w:jc w:val="center"/>
        <w:rPr>
          <w:rFonts w:ascii="方正仿宋_GB2312" w:hAnsi="方正仿宋_GB2312" w:eastAsia="方正仿宋_GB2312" w:cs="方正仿宋_GB2312"/>
          <w:b/>
          <w:sz w:val="28"/>
          <w:szCs w:val="28"/>
          <w:highlight w:val="none"/>
        </w:rPr>
      </w:pPr>
      <w:r>
        <w:rPr>
          <w:rFonts w:ascii="仿宋_GB2312" w:hAnsi="宋体" w:eastAsia="仿宋_GB2312" w:cs="宋体"/>
          <w:b/>
          <w:sz w:val="28"/>
          <w:szCs w:val="28"/>
          <w:highlight w:val="none"/>
        </w:rPr>
        <w:br w:type="page"/>
      </w:r>
      <w:r>
        <w:rPr>
          <w:rFonts w:hint="eastAsia" w:ascii="仿宋_GB2312" w:hAnsi="宋体" w:eastAsia="仿宋_GB2312" w:cs="宋体"/>
          <w:b/>
          <w:sz w:val="28"/>
          <w:szCs w:val="28"/>
          <w:highlight w:val="none"/>
        </w:rPr>
        <w:t>5</w:t>
      </w:r>
      <w:r>
        <w:rPr>
          <w:rFonts w:hint="eastAsia" w:ascii="仿宋_GB2312" w:hAnsi="宋体" w:eastAsia="仿宋_GB2312" w:cs="宋体"/>
          <w:b/>
          <w:bCs/>
          <w:sz w:val="28"/>
          <w:szCs w:val="28"/>
          <w:highlight w:val="none"/>
        </w:rPr>
        <w:t>、</w:t>
      </w:r>
      <w:r>
        <w:rPr>
          <w:rFonts w:hint="eastAsia" w:ascii="方正仿宋_GB2312" w:hAnsi="方正仿宋_GB2312" w:eastAsia="方正仿宋_GB2312" w:cs="方正仿宋_GB2312"/>
          <w:b/>
          <w:sz w:val="28"/>
          <w:szCs w:val="28"/>
          <w:highlight w:val="none"/>
        </w:rPr>
        <w:t>商务部分正负偏离表</w:t>
      </w:r>
    </w:p>
    <w:p w14:paraId="4CF613ED">
      <w:pPr>
        <w:jc w:val="center"/>
        <w:rPr>
          <w:rFonts w:ascii="方正仿宋_GB2312" w:hAnsi="方正仿宋_GB2312" w:eastAsia="方正仿宋_GB2312" w:cs="方正仿宋_GB2312"/>
          <w:sz w:val="28"/>
          <w:szCs w:val="28"/>
          <w:highlight w:val="none"/>
        </w:rPr>
      </w:pPr>
    </w:p>
    <w:p w14:paraId="5D93D5A4">
      <w:pPr>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（由供应商据实提交，表格不够自行添加）</w:t>
      </w:r>
    </w:p>
    <w:tbl>
      <w:tblPr>
        <w:tblStyle w:val="54"/>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586"/>
        <w:gridCol w:w="2976"/>
        <w:gridCol w:w="2450"/>
        <w:gridCol w:w="1235"/>
      </w:tblGrid>
      <w:tr w14:paraId="3388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26" w:type="dxa"/>
            <w:tcBorders>
              <w:top w:val="single" w:color="auto" w:sz="4" w:space="0"/>
              <w:left w:val="single" w:color="auto" w:sz="4" w:space="0"/>
              <w:bottom w:val="single" w:color="auto" w:sz="4" w:space="0"/>
              <w:right w:val="single" w:color="auto" w:sz="4" w:space="0"/>
            </w:tcBorders>
            <w:vAlign w:val="center"/>
          </w:tcPr>
          <w:p w14:paraId="537832B3">
            <w:pPr>
              <w:spacing w:line="360" w:lineRule="auto"/>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序号</w:t>
            </w:r>
          </w:p>
        </w:tc>
        <w:tc>
          <w:tcPr>
            <w:tcW w:w="1586" w:type="dxa"/>
            <w:tcBorders>
              <w:top w:val="single" w:color="auto" w:sz="4" w:space="0"/>
              <w:left w:val="single" w:color="auto" w:sz="4" w:space="0"/>
              <w:bottom w:val="single" w:color="auto" w:sz="4" w:space="0"/>
              <w:right w:val="single" w:color="auto" w:sz="4" w:space="0"/>
            </w:tcBorders>
            <w:vAlign w:val="center"/>
          </w:tcPr>
          <w:p w14:paraId="7756A531">
            <w:pPr>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货物或服务名称</w:t>
            </w:r>
          </w:p>
        </w:tc>
        <w:tc>
          <w:tcPr>
            <w:tcW w:w="2976" w:type="dxa"/>
            <w:tcBorders>
              <w:top w:val="single" w:color="auto" w:sz="4" w:space="0"/>
              <w:left w:val="single" w:color="auto" w:sz="4" w:space="0"/>
              <w:bottom w:val="single" w:color="auto" w:sz="4" w:space="0"/>
              <w:right w:val="single" w:color="auto" w:sz="4" w:space="0"/>
            </w:tcBorders>
            <w:vAlign w:val="center"/>
          </w:tcPr>
          <w:p w14:paraId="0DFEAA82">
            <w:pPr>
              <w:spacing w:line="360" w:lineRule="auto"/>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询价文件要求的商务条款</w:t>
            </w:r>
          </w:p>
        </w:tc>
        <w:tc>
          <w:tcPr>
            <w:tcW w:w="2450" w:type="dxa"/>
            <w:tcBorders>
              <w:top w:val="single" w:color="auto" w:sz="4" w:space="0"/>
              <w:left w:val="single" w:color="auto" w:sz="4" w:space="0"/>
              <w:bottom w:val="single" w:color="auto" w:sz="4" w:space="0"/>
              <w:right w:val="single" w:color="auto" w:sz="4" w:space="0"/>
            </w:tcBorders>
            <w:vAlign w:val="center"/>
          </w:tcPr>
          <w:p w14:paraId="0B571591">
            <w:pPr>
              <w:spacing w:line="360" w:lineRule="auto"/>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响应文件响应情况</w:t>
            </w:r>
          </w:p>
        </w:tc>
        <w:tc>
          <w:tcPr>
            <w:tcW w:w="1235" w:type="dxa"/>
            <w:tcBorders>
              <w:top w:val="single" w:color="auto" w:sz="4" w:space="0"/>
              <w:left w:val="single" w:color="auto" w:sz="4" w:space="0"/>
              <w:bottom w:val="single" w:color="auto" w:sz="4" w:space="0"/>
              <w:right w:val="single" w:color="auto" w:sz="4" w:space="0"/>
            </w:tcBorders>
            <w:vAlign w:val="center"/>
          </w:tcPr>
          <w:p w14:paraId="3EE21292">
            <w:pPr>
              <w:spacing w:line="360" w:lineRule="auto"/>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偏离说明</w:t>
            </w:r>
          </w:p>
        </w:tc>
      </w:tr>
      <w:tr w14:paraId="4BE9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26" w:type="dxa"/>
            <w:tcBorders>
              <w:top w:val="single" w:color="auto" w:sz="4" w:space="0"/>
              <w:left w:val="single" w:color="auto" w:sz="4" w:space="0"/>
              <w:bottom w:val="single" w:color="auto" w:sz="4" w:space="0"/>
              <w:right w:val="single" w:color="auto" w:sz="4" w:space="0"/>
            </w:tcBorders>
          </w:tcPr>
          <w:p w14:paraId="5655E01F">
            <w:pPr>
              <w:spacing w:line="360" w:lineRule="auto"/>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w:t>
            </w:r>
          </w:p>
        </w:tc>
        <w:tc>
          <w:tcPr>
            <w:tcW w:w="1586" w:type="dxa"/>
            <w:tcBorders>
              <w:top w:val="single" w:color="auto" w:sz="4" w:space="0"/>
              <w:left w:val="single" w:color="auto" w:sz="4" w:space="0"/>
              <w:bottom w:val="single" w:color="auto" w:sz="4" w:space="0"/>
              <w:right w:val="single" w:color="auto" w:sz="4" w:space="0"/>
            </w:tcBorders>
            <w:vAlign w:val="center"/>
          </w:tcPr>
          <w:p w14:paraId="6718CD9A">
            <w:pPr>
              <w:spacing w:line="360" w:lineRule="auto"/>
              <w:rPr>
                <w:rFonts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09E970F8">
            <w:pPr>
              <w:spacing w:line="360" w:lineRule="auto"/>
              <w:rPr>
                <w:rFonts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74F6000A">
            <w:pPr>
              <w:spacing w:line="360" w:lineRule="auto"/>
              <w:rPr>
                <w:rFonts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58339A9A">
            <w:pPr>
              <w:spacing w:line="360" w:lineRule="auto"/>
              <w:rPr>
                <w:rFonts w:ascii="方正仿宋_GB2312" w:hAnsi="方正仿宋_GB2312" w:eastAsia="方正仿宋_GB2312" w:cs="方正仿宋_GB2312"/>
                <w:sz w:val="28"/>
                <w:szCs w:val="28"/>
                <w:highlight w:val="none"/>
              </w:rPr>
            </w:pPr>
          </w:p>
        </w:tc>
      </w:tr>
      <w:tr w14:paraId="3417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26" w:type="dxa"/>
            <w:tcBorders>
              <w:top w:val="single" w:color="auto" w:sz="4" w:space="0"/>
              <w:left w:val="single" w:color="auto" w:sz="4" w:space="0"/>
              <w:bottom w:val="single" w:color="auto" w:sz="4" w:space="0"/>
              <w:right w:val="single" w:color="auto" w:sz="4" w:space="0"/>
            </w:tcBorders>
          </w:tcPr>
          <w:p w14:paraId="3B15BB02">
            <w:pPr>
              <w:spacing w:line="360" w:lineRule="auto"/>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w:t>
            </w:r>
          </w:p>
        </w:tc>
        <w:tc>
          <w:tcPr>
            <w:tcW w:w="1586" w:type="dxa"/>
            <w:tcBorders>
              <w:top w:val="single" w:color="auto" w:sz="4" w:space="0"/>
              <w:left w:val="single" w:color="auto" w:sz="4" w:space="0"/>
              <w:bottom w:val="single" w:color="auto" w:sz="4" w:space="0"/>
              <w:right w:val="single" w:color="auto" w:sz="4" w:space="0"/>
            </w:tcBorders>
            <w:vAlign w:val="center"/>
          </w:tcPr>
          <w:p w14:paraId="7F541E41">
            <w:pPr>
              <w:spacing w:line="360" w:lineRule="auto"/>
              <w:rPr>
                <w:rFonts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670103B5">
            <w:pPr>
              <w:spacing w:line="360" w:lineRule="auto"/>
              <w:rPr>
                <w:rFonts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5111D4C4">
            <w:pPr>
              <w:spacing w:line="360" w:lineRule="auto"/>
              <w:rPr>
                <w:rFonts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6C70C457">
            <w:pPr>
              <w:spacing w:line="360" w:lineRule="auto"/>
              <w:rPr>
                <w:rFonts w:ascii="方正仿宋_GB2312" w:hAnsi="方正仿宋_GB2312" w:eastAsia="方正仿宋_GB2312" w:cs="方正仿宋_GB2312"/>
                <w:sz w:val="28"/>
                <w:szCs w:val="28"/>
                <w:highlight w:val="none"/>
              </w:rPr>
            </w:pPr>
          </w:p>
        </w:tc>
      </w:tr>
      <w:tr w14:paraId="77CA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6" w:type="dxa"/>
            <w:tcBorders>
              <w:top w:val="single" w:color="auto" w:sz="4" w:space="0"/>
              <w:left w:val="single" w:color="auto" w:sz="4" w:space="0"/>
              <w:bottom w:val="single" w:color="auto" w:sz="4" w:space="0"/>
              <w:right w:val="single" w:color="auto" w:sz="4" w:space="0"/>
            </w:tcBorders>
          </w:tcPr>
          <w:p w14:paraId="2EB50750">
            <w:pPr>
              <w:spacing w:line="360" w:lineRule="auto"/>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w:t>
            </w:r>
          </w:p>
        </w:tc>
        <w:tc>
          <w:tcPr>
            <w:tcW w:w="1586" w:type="dxa"/>
            <w:tcBorders>
              <w:top w:val="single" w:color="auto" w:sz="4" w:space="0"/>
              <w:left w:val="single" w:color="auto" w:sz="4" w:space="0"/>
              <w:bottom w:val="single" w:color="auto" w:sz="4" w:space="0"/>
              <w:right w:val="single" w:color="auto" w:sz="4" w:space="0"/>
            </w:tcBorders>
            <w:vAlign w:val="center"/>
          </w:tcPr>
          <w:p w14:paraId="3CACA588">
            <w:pPr>
              <w:spacing w:line="360" w:lineRule="auto"/>
              <w:rPr>
                <w:rFonts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08608609">
            <w:pPr>
              <w:spacing w:line="360" w:lineRule="auto"/>
              <w:rPr>
                <w:rFonts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6813A29A">
            <w:pPr>
              <w:spacing w:line="360" w:lineRule="auto"/>
              <w:rPr>
                <w:rFonts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16BB9905">
            <w:pPr>
              <w:spacing w:line="360" w:lineRule="auto"/>
              <w:rPr>
                <w:rFonts w:ascii="方正仿宋_GB2312" w:hAnsi="方正仿宋_GB2312" w:eastAsia="方正仿宋_GB2312" w:cs="方正仿宋_GB2312"/>
                <w:sz w:val="28"/>
                <w:szCs w:val="28"/>
                <w:highlight w:val="none"/>
              </w:rPr>
            </w:pPr>
          </w:p>
        </w:tc>
      </w:tr>
      <w:tr w14:paraId="66E6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6" w:type="dxa"/>
            <w:tcBorders>
              <w:top w:val="single" w:color="auto" w:sz="4" w:space="0"/>
              <w:left w:val="single" w:color="auto" w:sz="4" w:space="0"/>
              <w:bottom w:val="single" w:color="auto" w:sz="4" w:space="0"/>
              <w:right w:val="single" w:color="auto" w:sz="4" w:space="0"/>
            </w:tcBorders>
          </w:tcPr>
          <w:p w14:paraId="367EDBE9">
            <w:pPr>
              <w:spacing w:line="360" w:lineRule="auto"/>
              <w:jc w:val="center"/>
              <w:rPr>
                <w:rFonts w:ascii="方正仿宋_GB2312" w:hAnsi="方正仿宋_GB2312" w:eastAsia="方正仿宋_GB2312" w:cs="方正仿宋_GB2312"/>
                <w:sz w:val="28"/>
                <w:szCs w:val="28"/>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15BD95AC">
            <w:pPr>
              <w:spacing w:line="360" w:lineRule="auto"/>
              <w:rPr>
                <w:rFonts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1BC6D7A9">
            <w:pPr>
              <w:spacing w:line="360" w:lineRule="auto"/>
              <w:rPr>
                <w:rFonts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1878359D">
            <w:pPr>
              <w:spacing w:line="360" w:lineRule="auto"/>
              <w:rPr>
                <w:rFonts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770A1902">
            <w:pPr>
              <w:spacing w:line="360" w:lineRule="auto"/>
              <w:rPr>
                <w:rFonts w:ascii="方正仿宋_GB2312" w:hAnsi="方正仿宋_GB2312" w:eastAsia="方正仿宋_GB2312" w:cs="方正仿宋_GB2312"/>
                <w:sz w:val="28"/>
                <w:szCs w:val="28"/>
                <w:highlight w:val="none"/>
              </w:rPr>
            </w:pPr>
          </w:p>
        </w:tc>
      </w:tr>
    </w:tbl>
    <w:p w14:paraId="1156A556">
      <w:pP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注：</w:t>
      </w:r>
    </w:p>
    <w:p w14:paraId="6E29DD7E">
      <w:pPr>
        <w:spacing w:line="400" w:lineRule="exact"/>
        <w:ind w:firstLine="560" w:firstLineChars="200"/>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1.供应商提交的响应文件中与询价文件第三部分“项目需求”中商务部分的要求有不同时，应逐条填列在偏离表中，否则将认为供应商接受询价文件的所有要求。</w:t>
      </w:r>
      <w:r>
        <w:rPr>
          <w:rFonts w:hint="eastAsia" w:ascii="方正仿宋_GB2312" w:hAnsi="方正仿宋_GB2312" w:eastAsia="方正仿宋_GB2312" w:cs="方正仿宋_GB2312"/>
          <w:b/>
          <w:bCs/>
          <w:sz w:val="28"/>
          <w:szCs w:val="28"/>
          <w:highlight w:val="none"/>
        </w:rPr>
        <w:t>完全响应可以空白表列示。</w:t>
      </w:r>
    </w:p>
    <w:p w14:paraId="6F44D517">
      <w:pPr>
        <w:spacing w:line="400" w:lineRule="exact"/>
        <w:ind w:firstLine="560" w:firstLineChars="200"/>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2.“偏离说明”一栏选择“正偏离”、“负偏离”进行填写。正偏离的确认和负偏离是否响应询价文件，经三分之二评委认定。</w:t>
      </w:r>
      <w:r>
        <w:rPr>
          <w:rFonts w:hint="eastAsia" w:ascii="方正仿宋_GB2312" w:hAnsi="方正仿宋_GB2312" w:eastAsia="方正仿宋_GB2312" w:cs="方正仿宋_GB2312"/>
          <w:b/>
          <w:bCs/>
          <w:sz w:val="28"/>
          <w:szCs w:val="28"/>
          <w:highlight w:val="none"/>
        </w:rPr>
        <w:t>本项目需完全响应，只接受正偏离不接受负偏离。</w:t>
      </w:r>
    </w:p>
    <w:p w14:paraId="0D201F77">
      <w:pPr>
        <w:spacing w:line="400" w:lineRule="exact"/>
        <w:ind w:firstLine="560" w:firstLineChars="200"/>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3.供应商如果虚假响应，将承担被暂停参加采购人组织政府采购活动的风险。</w:t>
      </w:r>
    </w:p>
    <w:p w14:paraId="10A96C3C">
      <w:pPr>
        <w:spacing w:line="400" w:lineRule="exact"/>
        <w:ind w:firstLine="560" w:firstLineChars="200"/>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4.供应商若提供其他增值服务，可以在表中自行据实填写。</w:t>
      </w:r>
      <w:bookmarkStart w:id="66" w:name="_Toc105579206"/>
    </w:p>
    <w:bookmarkEnd w:id="66"/>
    <w:p w14:paraId="4A3FC90F">
      <w:pPr>
        <w:ind w:firstLine="420" w:firstLineChars="200"/>
        <w:rPr>
          <w:rFonts w:ascii="宋体" w:hAnsi="宋体"/>
          <w:szCs w:val="24"/>
          <w:highlight w:val="none"/>
        </w:rPr>
      </w:pPr>
    </w:p>
    <w:p w14:paraId="0A298460">
      <w:pPr>
        <w:rPr>
          <w:rFonts w:ascii="宋体" w:hAnsi="宋体"/>
          <w:szCs w:val="24"/>
          <w:highlight w:val="none"/>
        </w:rPr>
      </w:pPr>
    </w:p>
    <w:p w14:paraId="5682C994">
      <w:pPr>
        <w:autoSpaceDE w:val="0"/>
        <w:autoSpaceDN w:val="0"/>
        <w:snapToGrid w:val="0"/>
        <w:ind w:left="105" w:leftChars="50" w:firstLine="420" w:firstLineChars="200"/>
        <w:rPr>
          <w:rFonts w:ascii="宋体" w:hAnsi="宋体"/>
          <w:szCs w:val="24"/>
          <w:highlight w:val="none"/>
        </w:rPr>
      </w:pPr>
    </w:p>
    <w:p w14:paraId="1C161A55">
      <w:pPr>
        <w:keepNext/>
        <w:keepLines/>
        <w:spacing w:before="260" w:after="260" w:line="416" w:lineRule="auto"/>
        <w:rPr>
          <w:rFonts w:ascii="宋体" w:hAnsi="宋体"/>
          <w:b/>
          <w:bCs/>
          <w:kern w:val="0"/>
          <w:sz w:val="32"/>
          <w:szCs w:val="32"/>
          <w:highlight w:val="none"/>
        </w:rPr>
      </w:pPr>
    </w:p>
    <w:p w14:paraId="04527EA7">
      <w:pPr>
        <w:rPr>
          <w:rFonts w:ascii="宋体" w:hAnsi="宋体"/>
          <w:szCs w:val="22"/>
          <w:highlight w:val="none"/>
        </w:rPr>
      </w:pPr>
    </w:p>
    <w:p w14:paraId="7A147FF1">
      <w:pPr>
        <w:widowControl/>
        <w:shd w:val="clear" w:color="auto" w:fill="FFFFFF"/>
        <w:jc w:val="left"/>
        <w:rPr>
          <w:rFonts w:ascii="宋体" w:hAnsi="宋体"/>
          <w:b/>
          <w:szCs w:val="24"/>
          <w:highlight w:val="none"/>
        </w:rPr>
      </w:pPr>
    </w:p>
    <w:p w14:paraId="05A3C23B">
      <w:pPr>
        <w:widowControl/>
        <w:shd w:val="clear" w:color="auto" w:fill="FFFFFF"/>
        <w:jc w:val="left"/>
        <w:rPr>
          <w:rFonts w:ascii="宋体" w:hAnsi="宋体"/>
          <w:b/>
          <w:szCs w:val="24"/>
          <w:highlight w:val="none"/>
        </w:rPr>
      </w:pPr>
    </w:p>
    <w:p w14:paraId="09F925B2">
      <w:pPr>
        <w:widowControl/>
        <w:shd w:val="clear" w:color="auto" w:fill="FFFFFF"/>
        <w:jc w:val="left"/>
        <w:rPr>
          <w:rFonts w:ascii="宋体" w:hAnsi="宋体"/>
          <w:b/>
          <w:szCs w:val="24"/>
          <w:highlight w:val="none"/>
        </w:rPr>
      </w:pPr>
    </w:p>
    <w:p w14:paraId="4C0C48FC">
      <w:pPr>
        <w:widowControl/>
        <w:shd w:val="clear" w:color="auto" w:fill="FFFFFF"/>
        <w:jc w:val="left"/>
        <w:rPr>
          <w:rFonts w:ascii="宋体" w:hAnsi="宋体"/>
          <w:bCs/>
          <w:sz w:val="24"/>
          <w:szCs w:val="24"/>
          <w:highlight w:val="none"/>
        </w:rPr>
      </w:pPr>
      <w:r>
        <w:rPr>
          <w:rFonts w:ascii="宋体" w:hAnsi="宋体"/>
          <w:bCs/>
          <w:sz w:val="30"/>
          <w:szCs w:val="30"/>
          <w:highlight w:val="none"/>
        </w:rPr>
        <w:br w:type="page"/>
      </w:r>
    </w:p>
    <w:p w14:paraId="675A48C7">
      <w:pPr>
        <w:jc w:val="center"/>
        <w:rPr>
          <w:rFonts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6、技术部分正负偏离表</w:t>
      </w:r>
    </w:p>
    <w:p w14:paraId="2E1C5EFE">
      <w:pPr>
        <w:jc w:val="center"/>
        <w:rPr>
          <w:rFonts w:ascii="方正仿宋_GB2312" w:hAnsi="方正仿宋_GB2312" w:eastAsia="方正仿宋_GB2312" w:cs="方正仿宋_GB2312"/>
          <w:sz w:val="28"/>
          <w:szCs w:val="28"/>
          <w:highlight w:val="none"/>
        </w:rPr>
      </w:pPr>
    </w:p>
    <w:p w14:paraId="149398D7">
      <w:pPr>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（由供应商据实提交，表格不够自行添加）</w:t>
      </w:r>
    </w:p>
    <w:tbl>
      <w:tblPr>
        <w:tblStyle w:val="54"/>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586"/>
        <w:gridCol w:w="2976"/>
        <w:gridCol w:w="2450"/>
        <w:gridCol w:w="1235"/>
      </w:tblGrid>
      <w:tr w14:paraId="65E5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26" w:type="dxa"/>
            <w:tcBorders>
              <w:top w:val="single" w:color="auto" w:sz="4" w:space="0"/>
              <w:left w:val="single" w:color="auto" w:sz="4" w:space="0"/>
              <w:bottom w:val="single" w:color="auto" w:sz="4" w:space="0"/>
              <w:right w:val="single" w:color="auto" w:sz="4" w:space="0"/>
            </w:tcBorders>
            <w:vAlign w:val="center"/>
          </w:tcPr>
          <w:p w14:paraId="4DA870D6">
            <w:pPr>
              <w:spacing w:line="360" w:lineRule="auto"/>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序号</w:t>
            </w:r>
          </w:p>
        </w:tc>
        <w:tc>
          <w:tcPr>
            <w:tcW w:w="1586" w:type="dxa"/>
            <w:tcBorders>
              <w:top w:val="single" w:color="auto" w:sz="4" w:space="0"/>
              <w:left w:val="single" w:color="auto" w:sz="4" w:space="0"/>
              <w:bottom w:val="single" w:color="auto" w:sz="4" w:space="0"/>
              <w:right w:val="single" w:color="auto" w:sz="4" w:space="0"/>
            </w:tcBorders>
            <w:vAlign w:val="center"/>
          </w:tcPr>
          <w:p w14:paraId="014B86EA">
            <w:pPr>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货物或服务名称</w:t>
            </w:r>
          </w:p>
        </w:tc>
        <w:tc>
          <w:tcPr>
            <w:tcW w:w="2976" w:type="dxa"/>
            <w:tcBorders>
              <w:top w:val="single" w:color="auto" w:sz="4" w:space="0"/>
              <w:left w:val="single" w:color="auto" w:sz="4" w:space="0"/>
              <w:bottom w:val="single" w:color="auto" w:sz="4" w:space="0"/>
              <w:right w:val="single" w:color="auto" w:sz="4" w:space="0"/>
            </w:tcBorders>
            <w:vAlign w:val="center"/>
          </w:tcPr>
          <w:p w14:paraId="59F88220">
            <w:pPr>
              <w:spacing w:line="360" w:lineRule="auto"/>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询价文件要求的技术条款</w:t>
            </w:r>
          </w:p>
        </w:tc>
        <w:tc>
          <w:tcPr>
            <w:tcW w:w="2450" w:type="dxa"/>
            <w:tcBorders>
              <w:top w:val="single" w:color="auto" w:sz="4" w:space="0"/>
              <w:left w:val="single" w:color="auto" w:sz="4" w:space="0"/>
              <w:bottom w:val="single" w:color="auto" w:sz="4" w:space="0"/>
              <w:right w:val="single" w:color="auto" w:sz="4" w:space="0"/>
            </w:tcBorders>
            <w:vAlign w:val="center"/>
          </w:tcPr>
          <w:p w14:paraId="62E183FF">
            <w:pPr>
              <w:spacing w:line="360" w:lineRule="auto"/>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响应文件响应情况</w:t>
            </w:r>
          </w:p>
        </w:tc>
        <w:tc>
          <w:tcPr>
            <w:tcW w:w="1235" w:type="dxa"/>
            <w:tcBorders>
              <w:top w:val="single" w:color="auto" w:sz="4" w:space="0"/>
              <w:left w:val="single" w:color="auto" w:sz="4" w:space="0"/>
              <w:bottom w:val="single" w:color="auto" w:sz="4" w:space="0"/>
              <w:right w:val="single" w:color="auto" w:sz="4" w:space="0"/>
            </w:tcBorders>
            <w:vAlign w:val="center"/>
          </w:tcPr>
          <w:p w14:paraId="4C24B241">
            <w:pPr>
              <w:spacing w:line="360" w:lineRule="auto"/>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偏离说明</w:t>
            </w:r>
          </w:p>
        </w:tc>
      </w:tr>
      <w:tr w14:paraId="25C4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26" w:type="dxa"/>
            <w:tcBorders>
              <w:top w:val="single" w:color="auto" w:sz="4" w:space="0"/>
              <w:left w:val="single" w:color="auto" w:sz="4" w:space="0"/>
              <w:bottom w:val="single" w:color="auto" w:sz="4" w:space="0"/>
              <w:right w:val="single" w:color="auto" w:sz="4" w:space="0"/>
            </w:tcBorders>
          </w:tcPr>
          <w:p w14:paraId="5C11C6B0">
            <w:pPr>
              <w:spacing w:line="360" w:lineRule="auto"/>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w:t>
            </w:r>
          </w:p>
        </w:tc>
        <w:tc>
          <w:tcPr>
            <w:tcW w:w="1586" w:type="dxa"/>
            <w:tcBorders>
              <w:top w:val="single" w:color="auto" w:sz="4" w:space="0"/>
              <w:left w:val="single" w:color="auto" w:sz="4" w:space="0"/>
              <w:bottom w:val="single" w:color="auto" w:sz="4" w:space="0"/>
              <w:right w:val="single" w:color="auto" w:sz="4" w:space="0"/>
            </w:tcBorders>
            <w:vAlign w:val="center"/>
          </w:tcPr>
          <w:p w14:paraId="71724DB7">
            <w:pPr>
              <w:spacing w:line="360" w:lineRule="auto"/>
              <w:rPr>
                <w:rFonts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4CB6D552">
            <w:pPr>
              <w:spacing w:line="360" w:lineRule="auto"/>
              <w:rPr>
                <w:rFonts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2E779E5B">
            <w:pPr>
              <w:spacing w:line="360" w:lineRule="auto"/>
              <w:rPr>
                <w:rFonts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04CABB9A">
            <w:pPr>
              <w:spacing w:line="360" w:lineRule="auto"/>
              <w:rPr>
                <w:rFonts w:ascii="方正仿宋_GB2312" w:hAnsi="方正仿宋_GB2312" w:eastAsia="方正仿宋_GB2312" w:cs="方正仿宋_GB2312"/>
                <w:sz w:val="28"/>
                <w:szCs w:val="28"/>
                <w:highlight w:val="none"/>
              </w:rPr>
            </w:pPr>
          </w:p>
        </w:tc>
      </w:tr>
      <w:tr w14:paraId="49C3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26" w:type="dxa"/>
            <w:tcBorders>
              <w:top w:val="single" w:color="auto" w:sz="4" w:space="0"/>
              <w:left w:val="single" w:color="auto" w:sz="4" w:space="0"/>
              <w:bottom w:val="single" w:color="auto" w:sz="4" w:space="0"/>
              <w:right w:val="single" w:color="auto" w:sz="4" w:space="0"/>
            </w:tcBorders>
          </w:tcPr>
          <w:p w14:paraId="6E1884D2">
            <w:pPr>
              <w:spacing w:line="360" w:lineRule="auto"/>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w:t>
            </w:r>
          </w:p>
        </w:tc>
        <w:tc>
          <w:tcPr>
            <w:tcW w:w="1586" w:type="dxa"/>
            <w:tcBorders>
              <w:top w:val="single" w:color="auto" w:sz="4" w:space="0"/>
              <w:left w:val="single" w:color="auto" w:sz="4" w:space="0"/>
              <w:bottom w:val="single" w:color="auto" w:sz="4" w:space="0"/>
              <w:right w:val="single" w:color="auto" w:sz="4" w:space="0"/>
            </w:tcBorders>
            <w:vAlign w:val="center"/>
          </w:tcPr>
          <w:p w14:paraId="0838DAD9">
            <w:pPr>
              <w:spacing w:line="360" w:lineRule="auto"/>
              <w:rPr>
                <w:rFonts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0BDBD3A4">
            <w:pPr>
              <w:spacing w:line="360" w:lineRule="auto"/>
              <w:rPr>
                <w:rFonts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727073D6">
            <w:pPr>
              <w:spacing w:line="360" w:lineRule="auto"/>
              <w:rPr>
                <w:rFonts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6F4838BC">
            <w:pPr>
              <w:spacing w:line="360" w:lineRule="auto"/>
              <w:rPr>
                <w:rFonts w:ascii="方正仿宋_GB2312" w:hAnsi="方正仿宋_GB2312" w:eastAsia="方正仿宋_GB2312" w:cs="方正仿宋_GB2312"/>
                <w:sz w:val="28"/>
                <w:szCs w:val="28"/>
                <w:highlight w:val="none"/>
              </w:rPr>
            </w:pPr>
          </w:p>
        </w:tc>
      </w:tr>
      <w:tr w14:paraId="40E0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6" w:type="dxa"/>
            <w:tcBorders>
              <w:top w:val="single" w:color="auto" w:sz="4" w:space="0"/>
              <w:left w:val="single" w:color="auto" w:sz="4" w:space="0"/>
              <w:bottom w:val="single" w:color="auto" w:sz="4" w:space="0"/>
              <w:right w:val="single" w:color="auto" w:sz="4" w:space="0"/>
            </w:tcBorders>
          </w:tcPr>
          <w:p w14:paraId="698566B2">
            <w:pPr>
              <w:spacing w:line="360" w:lineRule="auto"/>
              <w:jc w:val="cente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w:t>
            </w:r>
          </w:p>
        </w:tc>
        <w:tc>
          <w:tcPr>
            <w:tcW w:w="1586" w:type="dxa"/>
            <w:tcBorders>
              <w:top w:val="single" w:color="auto" w:sz="4" w:space="0"/>
              <w:left w:val="single" w:color="auto" w:sz="4" w:space="0"/>
              <w:bottom w:val="single" w:color="auto" w:sz="4" w:space="0"/>
              <w:right w:val="single" w:color="auto" w:sz="4" w:space="0"/>
            </w:tcBorders>
            <w:vAlign w:val="center"/>
          </w:tcPr>
          <w:p w14:paraId="451EC001">
            <w:pPr>
              <w:spacing w:line="360" w:lineRule="auto"/>
              <w:rPr>
                <w:rFonts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7B34A3EC">
            <w:pPr>
              <w:spacing w:line="360" w:lineRule="auto"/>
              <w:rPr>
                <w:rFonts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7CC4C503">
            <w:pPr>
              <w:spacing w:line="360" w:lineRule="auto"/>
              <w:rPr>
                <w:rFonts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3B99A35D">
            <w:pPr>
              <w:spacing w:line="360" w:lineRule="auto"/>
              <w:rPr>
                <w:rFonts w:ascii="方正仿宋_GB2312" w:hAnsi="方正仿宋_GB2312" w:eastAsia="方正仿宋_GB2312" w:cs="方正仿宋_GB2312"/>
                <w:sz w:val="28"/>
                <w:szCs w:val="28"/>
                <w:highlight w:val="none"/>
              </w:rPr>
            </w:pPr>
          </w:p>
        </w:tc>
      </w:tr>
      <w:tr w14:paraId="234B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6" w:type="dxa"/>
            <w:tcBorders>
              <w:top w:val="single" w:color="auto" w:sz="4" w:space="0"/>
              <w:left w:val="single" w:color="auto" w:sz="4" w:space="0"/>
              <w:bottom w:val="single" w:color="auto" w:sz="4" w:space="0"/>
              <w:right w:val="single" w:color="auto" w:sz="4" w:space="0"/>
            </w:tcBorders>
          </w:tcPr>
          <w:p w14:paraId="202E11E2">
            <w:pPr>
              <w:spacing w:line="360" w:lineRule="auto"/>
              <w:jc w:val="center"/>
              <w:rPr>
                <w:rFonts w:ascii="方正仿宋_GB2312" w:hAnsi="方正仿宋_GB2312" w:eastAsia="方正仿宋_GB2312" w:cs="方正仿宋_GB2312"/>
                <w:sz w:val="28"/>
                <w:szCs w:val="28"/>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3548C039">
            <w:pPr>
              <w:spacing w:line="360" w:lineRule="auto"/>
              <w:rPr>
                <w:rFonts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6D44D22A">
            <w:pPr>
              <w:spacing w:line="360" w:lineRule="auto"/>
              <w:rPr>
                <w:rFonts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3CCEEC7E">
            <w:pPr>
              <w:spacing w:line="360" w:lineRule="auto"/>
              <w:rPr>
                <w:rFonts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6AC874F7">
            <w:pPr>
              <w:spacing w:line="360" w:lineRule="auto"/>
              <w:rPr>
                <w:rFonts w:ascii="方正仿宋_GB2312" w:hAnsi="方正仿宋_GB2312" w:eastAsia="方正仿宋_GB2312" w:cs="方正仿宋_GB2312"/>
                <w:sz w:val="28"/>
                <w:szCs w:val="28"/>
                <w:highlight w:val="none"/>
              </w:rPr>
            </w:pPr>
          </w:p>
        </w:tc>
      </w:tr>
    </w:tbl>
    <w:p w14:paraId="620DB72F">
      <w:pPr>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注：</w:t>
      </w:r>
    </w:p>
    <w:p w14:paraId="6E5B8851">
      <w:pPr>
        <w:spacing w:line="400" w:lineRule="exact"/>
        <w:ind w:firstLine="560" w:firstLineChars="200"/>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1.供应商提交的响应文件中与询价文件第二部分“项目需求”中技术部分的要求有不同时，应逐条填列在偏离表中，否则将认为供应商接受询价文件的所有要求。</w:t>
      </w:r>
      <w:r>
        <w:rPr>
          <w:rFonts w:hint="eastAsia" w:ascii="方正仿宋_GB2312" w:hAnsi="方正仿宋_GB2312" w:eastAsia="方正仿宋_GB2312" w:cs="方正仿宋_GB2312"/>
          <w:b/>
          <w:bCs/>
          <w:sz w:val="28"/>
          <w:szCs w:val="28"/>
          <w:highlight w:val="none"/>
        </w:rPr>
        <w:t>完全响应可以空白表列示。</w:t>
      </w:r>
    </w:p>
    <w:p w14:paraId="6F431937">
      <w:pPr>
        <w:spacing w:line="400" w:lineRule="exact"/>
        <w:ind w:firstLine="560" w:firstLineChars="200"/>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2.“偏离说明”一栏选择“正偏离”、“负偏离”进行填写。正偏离的确认和负偏离是否响应询价文件，经三分之二评委认定。</w:t>
      </w:r>
      <w:r>
        <w:rPr>
          <w:rFonts w:hint="eastAsia" w:ascii="方正仿宋_GB2312" w:hAnsi="方正仿宋_GB2312" w:eastAsia="方正仿宋_GB2312" w:cs="方正仿宋_GB2312"/>
          <w:b/>
          <w:bCs/>
          <w:sz w:val="28"/>
          <w:szCs w:val="28"/>
          <w:highlight w:val="none"/>
        </w:rPr>
        <w:t>本项目需完全响应，只接受正偏离不接受负偏离。</w:t>
      </w:r>
    </w:p>
    <w:p w14:paraId="278A68F8">
      <w:pPr>
        <w:spacing w:line="400" w:lineRule="exact"/>
        <w:ind w:firstLine="560" w:firstLineChars="200"/>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3.供应商如果虚假响应，将承担被暂停参加采购人组织政府采购活动的风险。</w:t>
      </w:r>
    </w:p>
    <w:p w14:paraId="521C325C">
      <w:pPr>
        <w:spacing w:line="400" w:lineRule="exact"/>
        <w:ind w:firstLine="560" w:firstLineChars="200"/>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4.供应商若提供其他增值服务，可以在表中自行据实填写。</w:t>
      </w:r>
    </w:p>
    <w:p w14:paraId="6F282AAB">
      <w:pPr>
        <w:snapToGrid w:val="0"/>
        <w:spacing w:line="520" w:lineRule="exact"/>
        <w:jc w:val="center"/>
        <w:outlineLvl w:val="3"/>
        <w:rPr>
          <w:rFonts w:ascii="方正仿宋_GB2312" w:hAnsi="方正仿宋_GB2312" w:eastAsia="方正仿宋_GB2312" w:cs="方正仿宋_GB2312"/>
          <w:b/>
          <w:bCs/>
          <w:sz w:val="28"/>
          <w:szCs w:val="28"/>
          <w:highlight w:val="none"/>
        </w:rPr>
      </w:pPr>
    </w:p>
    <w:p w14:paraId="5E4C9DD9">
      <w:pPr>
        <w:rPr>
          <w:rFonts w:ascii="仿宋_GB2312" w:hAnsi="宋体" w:eastAsia="仿宋_GB2312" w:cs="宋体"/>
          <w:b/>
          <w:bCs/>
          <w:sz w:val="28"/>
          <w:szCs w:val="28"/>
          <w:highlight w:val="none"/>
        </w:rPr>
      </w:pPr>
      <w:r>
        <w:rPr>
          <w:rFonts w:hint="eastAsia" w:ascii="仿宋_GB2312" w:hAnsi="宋体" w:eastAsia="仿宋_GB2312" w:cs="宋体"/>
          <w:b/>
          <w:bCs/>
          <w:sz w:val="28"/>
          <w:szCs w:val="28"/>
          <w:highlight w:val="none"/>
        </w:rPr>
        <w:br w:type="page"/>
      </w:r>
    </w:p>
    <w:p w14:paraId="710492E6">
      <w:pPr>
        <w:snapToGrid w:val="0"/>
        <w:spacing w:line="520" w:lineRule="exact"/>
        <w:jc w:val="center"/>
        <w:outlineLvl w:val="3"/>
        <w:rPr>
          <w:rFonts w:ascii="仿宋_GB2312" w:hAnsi="宋体" w:eastAsia="仿宋_GB2312" w:cs="宋体"/>
          <w:b/>
          <w:bCs/>
          <w:sz w:val="28"/>
          <w:szCs w:val="28"/>
          <w:highlight w:val="none"/>
        </w:rPr>
      </w:pPr>
      <w:r>
        <w:rPr>
          <w:rFonts w:hint="eastAsia" w:ascii="仿宋_GB2312" w:hAnsi="宋体" w:eastAsia="仿宋_GB2312" w:cs="宋体"/>
          <w:b/>
          <w:bCs/>
          <w:sz w:val="28"/>
          <w:szCs w:val="28"/>
          <w:highlight w:val="none"/>
        </w:rPr>
        <w:t>7、竞争性磋商响应函</w:t>
      </w:r>
      <w:r>
        <w:rPr>
          <w:rFonts w:hint="eastAsia" w:ascii="仿宋_GB2312" w:hAnsi="宋体" w:eastAsia="仿宋_GB2312" w:cs="宋体"/>
          <w:bCs/>
          <w:sz w:val="28"/>
          <w:szCs w:val="28"/>
          <w:highlight w:val="none"/>
        </w:rPr>
        <w:t>（</w:t>
      </w:r>
      <w:r>
        <w:rPr>
          <w:rFonts w:hint="eastAsia" w:ascii="仿宋_GB2312" w:hAnsi="宋体" w:eastAsia="仿宋_GB2312" w:cs="宋体"/>
          <w:bCs/>
          <w:sz w:val="28"/>
          <w:szCs w:val="28"/>
          <w:highlight w:val="none"/>
          <w:u w:val="single"/>
        </w:rPr>
        <w:t>格式不得变动</w:t>
      </w:r>
      <w:r>
        <w:rPr>
          <w:rFonts w:hint="eastAsia" w:ascii="仿宋_GB2312" w:hAnsi="宋体" w:eastAsia="仿宋_GB2312" w:cs="宋体"/>
          <w:bCs/>
          <w:sz w:val="28"/>
          <w:szCs w:val="28"/>
          <w:highlight w:val="none"/>
        </w:rPr>
        <w:t>）</w:t>
      </w:r>
    </w:p>
    <w:p w14:paraId="6CCD9134">
      <w:pPr>
        <w:snapToGrid w:val="0"/>
        <w:spacing w:line="460" w:lineRule="exact"/>
        <w:rPr>
          <w:rFonts w:ascii="仿宋" w:hAnsi="仿宋" w:eastAsia="仿宋"/>
          <w:sz w:val="28"/>
          <w:szCs w:val="24"/>
          <w:highlight w:val="none"/>
        </w:rPr>
      </w:pPr>
      <w:r>
        <w:rPr>
          <w:rFonts w:hint="eastAsia" w:ascii="仿宋" w:hAnsi="仿宋" w:eastAsia="仿宋"/>
          <w:sz w:val="28"/>
          <w:szCs w:val="24"/>
          <w:highlight w:val="none"/>
          <w:u w:val="single"/>
        </w:rPr>
        <w:t xml:space="preserve">             （采购人）</w:t>
      </w:r>
      <w:r>
        <w:rPr>
          <w:rFonts w:ascii="仿宋" w:hAnsi="仿宋" w:eastAsia="仿宋"/>
          <w:sz w:val="28"/>
          <w:szCs w:val="24"/>
          <w:highlight w:val="none"/>
        </w:rPr>
        <w:t>：</w:t>
      </w:r>
    </w:p>
    <w:p w14:paraId="046F46A0">
      <w:pPr>
        <w:snapToGrid w:val="0"/>
        <w:spacing w:line="440" w:lineRule="exact"/>
        <w:ind w:firstLine="560" w:firstLineChars="200"/>
        <w:rPr>
          <w:rFonts w:ascii="仿宋" w:hAnsi="仿宋" w:eastAsia="仿宋"/>
          <w:sz w:val="28"/>
          <w:szCs w:val="24"/>
          <w:highlight w:val="none"/>
        </w:rPr>
      </w:pPr>
      <w:r>
        <w:rPr>
          <w:rFonts w:ascii="仿宋" w:hAnsi="仿宋" w:eastAsia="仿宋"/>
          <w:sz w:val="28"/>
          <w:szCs w:val="24"/>
          <w:highlight w:val="none"/>
        </w:rPr>
        <w:t>依据贵单位</w:t>
      </w:r>
      <w:r>
        <w:rPr>
          <w:rFonts w:ascii="仿宋" w:hAnsi="仿宋" w:eastAsia="仿宋"/>
          <w:sz w:val="28"/>
          <w:szCs w:val="24"/>
          <w:highlight w:val="none"/>
          <w:u w:val="single"/>
        </w:rPr>
        <w:t xml:space="preserve">        </w:t>
      </w:r>
      <w:r>
        <w:rPr>
          <w:rFonts w:ascii="仿宋" w:hAnsi="仿宋" w:eastAsia="仿宋"/>
          <w:sz w:val="28"/>
          <w:szCs w:val="24"/>
          <w:highlight w:val="none"/>
        </w:rPr>
        <w:t>（项目名称</w:t>
      </w:r>
      <w:r>
        <w:rPr>
          <w:rFonts w:hint="eastAsia" w:ascii="仿宋" w:hAnsi="仿宋" w:eastAsia="仿宋"/>
          <w:sz w:val="28"/>
          <w:szCs w:val="24"/>
          <w:highlight w:val="none"/>
        </w:rPr>
        <w:t>、项目编号</w:t>
      </w:r>
      <w:r>
        <w:rPr>
          <w:rFonts w:ascii="仿宋" w:hAnsi="仿宋" w:eastAsia="仿宋"/>
          <w:sz w:val="28"/>
          <w:szCs w:val="24"/>
          <w:highlight w:val="none"/>
        </w:rPr>
        <w:t>)项目</w:t>
      </w:r>
      <w:r>
        <w:rPr>
          <w:rFonts w:hint="eastAsia" w:ascii="仿宋" w:hAnsi="仿宋" w:eastAsia="仿宋"/>
          <w:sz w:val="28"/>
          <w:szCs w:val="24"/>
          <w:highlight w:val="none"/>
        </w:rPr>
        <w:t>竞争性磋商</w:t>
      </w:r>
      <w:r>
        <w:rPr>
          <w:rFonts w:ascii="仿宋" w:hAnsi="仿宋" w:eastAsia="仿宋"/>
          <w:sz w:val="28"/>
          <w:szCs w:val="24"/>
          <w:highlight w:val="none"/>
        </w:rPr>
        <w:t>的邀请，我方授权</w:t>
      </w:r>
      <w:r>
        <w:rPr>
          <w:rFonts w:ascii="仿宋" w:hAnsi="仿宋" w:eastAsia="仿宋"/>
          <w:sz w:val="28"/>
          <w:szCs w:val="24"/>
          <w:highlight w:val="none"/>
          <w:u w:val="single"/>
        </w:rPr>
        <w:t xml:space="preserve">    </w:t>
      </w:r>
      <w:r>
        <w:rPr>
          <w:rFonts w:ascii="仿宋" w:hAnsi="仿宋" w:eastAsia="仿宋"/>
          <w:sz w:val="28"/>
          <w:szCs w:val="24"/>
          <w:highlight w:val="none"/>
        </w:rPr>
        <w:t>（姓名）</w:t>
      </w:r>
      <w:r>
        <w:rPr>
          <w:rFonts w:ascii="仿宋" w:hAnsi="仿宋" w:eastAsia="仿宋"/>
          <w:sz w:val="28"/>
          <w:szCs w:val="24"/>
          <w:highlight w:val="none"/>
          <w:u w:val="single"/>
        </w:rPr>
        <w:t xml:space="preserve">    </w:t>
      </w:r>
      <w:r>
        <w:rPr>
          <w:rFonts w:ascii="仿宋" w:hAnsi="仿宋" w:eastAsia="仿宋"/>
          <w:sz w:val="28"/>
          <w:szCs w:val="24"/>
          <w:highlight w:val="none"/>
        </w:rPr>
        <w:t>（职务）为全权代表参加该项目的磋商响应工作，全权处理本次</w:t>
      </w:r>
      <w:r>
        <w:rPr>
          <w:rFonts w:hint="eastAsia" w:ascii="仿宋" w:hAnsi="仿宋" w:eastAsia="仿宋"/>
          <w:sz w:val="28"/>
          <w:szCs w:val="24"/>
          <w:highlight w:val="none"/>
        </w:rPr>
        <w:t>磋商</w:t>
      </w:r>
      <w:r>
        <w:rPr>
          <w:rFonts w:ascii="仿宋" w:hAnsi="仿宋" w:eastAsia="仿宋"/>
          <w:sz w:val="28"/>
          <w:szCs w:val="24"/>
          <w:highlight w:val="none"/>
        </w:rPr>
        <w:t>的有关事宜。同时，我公司声明如下：</w:t>
      </w:r>
    </w:p>
    <w:p w14:paraId="0EB16940">
      <w:pPr>
        <w:snapToGrid w:val="0"/>
        <w:spacing w:line="440" w:lineRule="exact"/>
        <w:ind w:firstLine="560" w:firstLineChars="200"/>
        <w:rPr>
          <w:rFonts w:ascii="仿宋" w:hAnsi="仿宋" w:eastAsia="仿宋" w:cs="宋体"/>
          <w:sz w:val="28"/>
          <w:szCs w:val="22"/>
          <w:highlight w:val="none"/>
        </w:rPr>
      </w:pPr>
      <w:r>
        <w:rPr>
          <w:rFonts w:hint="eastAsia" w:ascii="仿宋" w:hAnsi="仿宋" w:eastAsia="仿宋"/>
          <w:sz w:val="28"/>
          <w:szCs w:val="24"/>
          <w:highlight w:val="none"/>
        </w:rPr>
        <w:t>（1）我方愿意按照磋商文件的一切要求，提供完成该项目的全部内容，我方的磋商响应报价</w:t>
      </w:r>
      <w:r>
        <w:rPr>
          <w:rFonts w:hint="eastAsia" w:ascii="仿宋" w:hAnsi="仿宋" w:eastAsia="仿宋" w:cs="宋体"/>
          <w:sz w:val="28"/>
          <w:szCs w:val="22"/>
          <w:highlight w:val="none"/>
        </w:rPr>
        <w:t>包括不限于设计费、展陈制作费、材料费、人工费、管理费、税金、交通费、食宿、招标代理费等完成本项目产生的一切费用。同时，报价也应包含合同履行过程中可能发生的一切风险。</w:t>
      </w:r>
    </w:p>
    <w:p w14:paraId="08ABD66A">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（2）</w:t>
      </w:r>
      <w:r>
        <w:rPr>
          <w:rFonts w:ascii="仿宋" w:hAnsi="仿宋" w:eastAsia="仿宋"/>
          <w:sz w:val="28"/>
          <w:szCs w:val="24"/>
          <w:highlight w:val="none"/>
        </w:rPr>
        <w:t>我</w:t>
      </w:r>
      <w:r>
        <w:rPr>
          <w:rFonts w:hint="eastAsia" w:ascii="仿宋" w:hAnsi="仿宋" w:eastAsia="仿宋"/>
          <w:sz w:val="28"/>
          <w:szCs w:val="24"/>
          <w:highlight w:val="none"/>
        </w:rPr>
        <w:t>方</w:t>
      </w:r>
      <w:r>
        <w:rPr>
          <w:rFonts w:ascii="仿宋" w:hAnsi="仿宋" w:eastAsia="仿宋"/>
          <w:sz w:val="28"/>
          <w:szCs w:val="24"/>
          <w:highlight w:val="none"/>
        </w:rPr>
        <w:t>已经详细</w:t>
      </w:r>
      <w:r>
        <w:rPr>
          <w:rFonts w:hint="eastAsia" w:ascii="仿宋" w:hAnsi="仿宋" w:eastAsia="仿宋"/>
          <w:sz w:val="28"/>
          <w:szCs w:val="24"/>
          <w:highlight w:val="none"/>
        </w:rPr>
        <w:t>审查</w:t>
      </w:r>
      <w:r>
        <w:rPr>
          <w:rFonts w:ascii="仿宋" w:hAnsi="仿宋" w:eastAsia="仿宋"/>
          <w:sz w:val="28"/>
          <w:szCs w:val="24"/>
          <w:highlight w:val="none"/>
        </w:rPr>
        <w:t>了全部</w:t>
      </w:r>
      <w:r>
        <w:rPr>
          <w:rFonts w:hint="eastAsia" w:ascii="仿宋" w:hAnsi="仿宋" w:eastAsia="仿宋"/>
          <w:sz w:val="28"/>
          <w:szCs w:val="24"/>
          <w:highlight w:val="none"/>
        </w:rPr>
        <w:t>磋商</w:t>
      </w:r>
      <w:r>
        <w:rPr>
          <w:rFonts w:ascii="仿宋" w:hAnsi="仿宋" w:eastAsia="仿宋"/>
          <w:sz w:val="28"/>
          <w:szCs w:val="24"/>
          <w:highlight w:val="none"/>
        </w:rPr>
        <w:t>文件，我方已完全清晰理解</w:t>
      </w:r>
      <w:r>
        <w:rPr>
          <w:rFonts w:hint="eastAsia" w:ascii="仿宋" w:hAnsi="仿宋" w:eastAsia="仿宋"/>
          <w:sz w:val="28"/>
          <w:szCs w:val="24"/>
          <w:highlight w:val="none"/>
        </w:rPr>
        <w:t>磋商</w:t>
      </w:r>
      <w:r>
        <w:rPr>
          <w:rFonts w:ascii="仿宋" w:hAnsi="仿宋" w:eastAsia="仿宋"/>
          <w:sz w:val="28"/>
          <w:szCs w:val="24"/>
          <w:highlight w:val="none"/>
        </w:rPr>
        <w:t>文件的要求，不存在任何含糊不清和误解之处，同意放弃对这些文件所提出的异议和质疑的权利。</w:t>
      </w:r>
    </w:p>
    <w:p w14:paraId="252F4F19">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（3）</w:t>
      </w:r>
      <w:r>
        <w:rPr>
          <w:rFonts w:ascii="仿宋" w:hAnsi="仿宋" w:eastAsia="仿宋"/>
          <w:sz w:val="28"/>
          <w:szCs w:val="24"/>
          <w:highlight w:val="none"/>
        </w:rPr>
        <w:t>我方承诺提供的</w:t>
      </w:r>
      <w:r>
        <w:rPr>
          <w:rFonts w:hint="eastAsia" w:ascii="仿宋" w:hAnsi="仿宋" w:eastAsia="仿宋"/>
          <w:sz w:val="28"/>
          <w:szCs w:val="24"/>
          <w:highlight w:val="none"/>
        </w:rPr>
        <w:t>磋商响应文件的有效期，从磋商响应文件接收截止之日算起，</w:t>
      </w:r>
      <w:r>
        <w:rPr>
          <w:rFonts w:ascii="仿宋" w:hAnsi="仿宋" w:eastAsia="仿宋"/>
          <w:sz w:val="28"/>
          <w:szCs w:val="24"/>
          <w:highlight w:val="none"/>
        </w:rPr>
        <w:t>60个</w:t>
      </w:r>
      <w:r>
        <w:rPr>
          <w:rFonts w:hint="eastAsia" w:ascii="仿宋" w:hAnsi="仿宋" w:eastAsia="仿宋"/>
          <w:sz w:val="28"/>
          <w:szCs w:val="24"/>
          <w:highlight w:val="none"/>
        </w:rPr>
        <w:t>“日历天”内保持有效。</w:t>
      </w:r>
    </w:p>
    <w:p w14:paraId="5A85AD60">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（4）我方愿意提供招标采购单位在磋商文件中要求的所有资料。</w:t>
      </w:r>
    </w:p>
    <w:p w14:paraId="3A294F14">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（5）</w:t>
      </w:r>
      <w:r>
        <w:rPr>
          <w:rFonts w:ascii="仿宋" w:hAnsi="仿宋" w:eastAsia="仿宋"/>
          <w:sz w:val="28"/>
          <w:szCs w:val="24"/>
          <w:highlight w:val="none"/>
        </w:rPr>
        <w:t>我</w:t>
      </w:r>
      <w:r>
        <w:rPr>
          <w:rFonts w:hint="eastAsia" w:ascii="仿宋" w:hAnsi="仿宋" w:eastAsia="仿宋"/>
          <w:sz w:val="28"/>
          <w:szCs w:val="24"/>
          <w:highlight w:val="none"/>
        </w:rPr>
        <w:t>方</w:t>
      </w:r>
      <w:r>
        <w:rPr>
          <w:rFonts w:ascii="仿宋" w:hAnsi="仿宋" w:eastAsia="仿宋"/>
          <w:sz w:val="28"/>
          <w:szCs w:val="24"/>
          <w:highlight w:val="none"/>
        </w:rPr>
        <w:t>承诺在本次</w:t>
      </w:r>
      <w:r>
        <w:rPr>
          <w:rFonts w:hint="eastAsia" w:ascii="仿宋" w:hAnsi="仿宋" w:eastAsia="仿宋"/>
          <w:sz w:val="28"/>
          <w:szCs w:val="24"/>
          <w:highlight w:val="none"/>
        </w:rPr>
        <w:t>磋商</w:t>
      </w:r>
      <w:r>
        <w:rPr>
          <w:rFonts w:ascii="仿宋" w:hAnsi="仿宋" w:eastAsia="仿宋"/>
          <w:sz w:val="28"/>
          <w:szCs w:val="24"/>
          <w:highlight w:val="none"/>
        </w:rPr>
        <w:t>响应中提供的一切文件，无论是原件还是复印件均真实有效，绝无任何虚假、伪造和夸大的成份。否则，愿承担相应的后果和法律责任。</w:t>
      </w:r>
    </w:p>
    <w:p w14:paraId="70875F7C">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（6）</w:t>
      </w:r>
      <w:r>
        <w:rPr>
          <w:rFonts w:ascii="仿宋" w:hAnsi="仿宋" w:eastAsia="仿宋"/>
          <w:sz w:val="28"/>
          <w:szCs w:val="24"/>
          <w:highlight w:val="none"/>
        </w:rPr>
        <w:t>我</w:t>
      </w:r>
      <w:r>
        <w:rPr>
          <w:rFonts w:hint="eastAsia" w:ascii="仿宋" w:hAnsi="仿宋" w:eastAsia="仿宋"/>
          <w:sz w:val="28"/>
          <w:szCs w:val="24"/>
          <w:highlight w:val="none"/>
        </w:rPr>
        <w:t>方</w:t>
      </w:r>
      <w:r>
        <w:rPr>
          <w:rFonts w:ascii="仿宋" w:hAnsi="仿宋" w:eastAsia="仿宋"/>
          <w:sz w:val="28"/>
          <w:szCs w:val="24"/>
          <w:highlight w:val="none"/>
        </w:rPr>
        <w:t>尊重评</w:t>
      </w:r>
      <w:r>
        <w:rPr>
          <w:rFonts w:hint="eastAsia" w:ascii="仿宋" w:hAnsi="仿宋" w:eastAsia="仿宋"/>
          <w:sz w:val="28"/>
          <w:szCs w:val="24"/>
          <w:highlight w:val="none"/>
        </w:rPr>
        <w:t>审</w:t>
      </w:r>
      <w:r>
        <w:rPr>
          <w:rFonts w:ascii="仿宋" w:hAnsi="仿宋" w:eastAsia="仿宋"/>
          <w:sz w:val="28"/>
          <w:szCs w:val="24"/>
          <w:highlight w:val="none"/>
        </w:rPr>
        <w:t>小组所作评定结果</w:t>
      </w:r>
      <w:r>
        <w:rPr>
          <w:rFonts w:hint="eastAsia" w:ascii="仿宋" w:hAnsi="仿宋" w:eastAsia="仿宋"/>
          <w:sz w:val="28"/>
          <w:szCs w:val="24"/>
          <w:highlight w:val="none"/>
        </w:rPr>
        <w:t>，</w:t>
      </w:r>
      <w:r>
        <w:rPr>
          <w:rFonts w:ascii="仿宋" w:hAnsi="仿宋" w:eastAsia="仿宋"/>
          <w:sz w:val="28"/>
          <w:szCs w:val="24"/>
          <w:highlight w:val="none"/>
        </w:rPr>
        <w:t>同时</w:t>
      </w:r>
      <w:r>
        <w:rPr>
          <w:rFonts w:hint="eastAsia" w:ascii="仿宋" w:hAnsi="仿宋" w:eastAsia="仿宋"/>
          <w:sz w:val="28"/>
          <w:szCs w:val="24"/>
          <w:highlight w:val="none"/>
        </w:rPr>
        <w:t>也</w:t>
      </w:r>
      <w:r>
        <w:rPr>
          <w:rFonts w:ascii="仿宋" w:hAnsi="仿宋" w:eastAsia="仿宋"/>
          <w:sz w:val="28"/>
          <w:szCs w:val="24"/>
          <w:highlight w:val="none"/>
        </w:rPr>
        <w:t>清楚理解到</w:t>
      </w:r>
      <w:r>
        <w:rPr>
          <w:rFonts w:hint="eastAsia" w:ascii="仿宋" w:hAnsi="仿宋" w:eastAsia="仿宋"/>
          <w:sz w:val="28"/>
          <w:szCs w:val="24"/>
          <w:highlight w:val="none"/>
        </w:rPr>
        <w:t>磋商报</w:t>
      </w:r>
      <w:r>
        <w:rPr>
          <w:rFonts w:ascii="仿宋" w:hAnsi="仿宋" w:eastAsia="仿宋"/>
          <w:sz w:val="28"/>
          <w:szCs w:val="24"/>
          <w:highlight w:val="none"/>
        </w:rPr>
        <w:t>价最低并非意味着必定获得</w:t>
      </w:r>
      <w:r>
        <w:rPr>
          <w:rFonts w:hint="eastAsia" w:ascii="仿宋" w:hAnsi="仿宋" w:eastAsia="仿宋"/>
          <w:sz w:val="28"/>
          <w:szCs w:val="24"/>
          <w:highlight w:val="none"/>
        </w:rPr>
        <w:t>中标</w:t>
      </w:r>
      <w:r>
        <w:rPr>
          <w:rFonts w:ascii="仿宋" w:hAnsi="仿宋" w:eastAsia="仿宋"/>
          <w:sz w:val="28"/>
          <w:szCs w:val="24"/>
          <w:highlight w:val="none"/>
        </w:rPr>
        <w:t>资格。</w:t>
      </w:r>
    </w:p>
    <w:p w14:paraId="7DCF5F08">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（7）我方愿意按磋商文件的规定交纳磋商保证金，并同意供应商须知中关于没收磋商保证金的规定。</w:t>
      </w:r>
    </w:p>
    <w:p w14:paraId="7A84B2EE">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（8）如果我方中标成交，我方愿意按磋商文件的规定支付招标代理服务费；</w:t>
      </w:r>
    </w:p>
    <w:p w14:paraId="5247D604">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（9）</w:t>
      </w:r>
      <w:r>
        <w:rPr>
          <w:rFonts w:ascii="仿宋" w:hAnsi="仿宋" w:eastAsia="仿宋"/>
          <w:sz w:val="28"/>
          <w:szCs w:val="24"/>
          <w:highlight w:val="none"/>
        </w:rPr>
        <w:t>一旦我方成交</w:t>
      </w:r>
      <w:r>
        <w:rPr>
          <w:rFonts w:hint="eastAsia" w:ascii="仿宋" w:hAnsi="仿宋" w:eastAsia="仿宋"/>
          <w:sz w:val="28"/>
          <w:szCs w:val="24"/>
          <w:highlight w:val="none"/>
        </w:rPr>
        <w:t>，</w:t>
      </w:r>
      <w:r>
        <w:rPr>
          <w:rFonts w:ascii="仿宋" w:hAnsi="仿宋" w:eastAsia="仿宋"/>
          <w:sz w:val="28"/>
          <w:szCs w:val="24"/>
          <w:highlight w:val="none"/>
        </w:rPr>
        <w:t>我方将根据</w:t>
      </w:r>
      <w:r>
        <w:rPr>
          <w:rFonts w:hint="eastAsia" w:ascii="仿宋" w:hAnsi="仿宋" w:eastAsia="仿宋"/>
          <w:sz w:val="28"/>
          <w:szCs w:val="24"/>
          <w:highlight w:val="none"/>
        </w:rPr>
        <w:t>磋商</w:t>
      </w:r>
      <w:r>
        <w:rPr>
          <w:rFonts w:ascii="仿宋" w:hAnsi="仿宋" w:eastAsia="仿宋"/>
          <w:sz w:val="28"/>
          <w:szCs w:val="24"/>
          <w:highlight w:val="none"/>
        </w:rPr>
        <w:t>文件的规定，严格履行</w:t>
      </w:r>
      <w:r>
        <w:rPr>
          <w:rFonts w:hint="eastAsia" w:ascii="仿宋" w:hAnsi="仿宋" w:eastAsia="仿宋"/>
          <w:sz w:val="28"/>
          <w:szCs w:val="24"/>
          <w:highlight w:val="none"/>
        </w:rPr>
        <w:t>磋商文件中规定的每一项要求，按期、按质、按量履行合同的义务。</w:t>
      </w:r>
    </w:p>
    <w:p w14:paraId="674B9FE1">
      <w:pPr>
        <w:snapToGrid w:val="0"/>
        <w:spacing w:line="460" w:lineRule="exact"/>
        <w:ind w:firstLine="2800" w:firstLineChars="1000"/>
        <w:jc w:val="right"/>
        <w:rPr>
          <w:rFonts w:ascii="仿宋" w:hAnsi="仿宋" w:eastAsia="仿宋"/>
          <w:sz w:val="28"/>
          <w:szCs w:val="24"/>
          <w:highlight w:val="none"/>
        </w:rPr>
      </w:pPr>
    </w:p>
    <w:p w14:paraId="2EB96D23">
      <w:pPr>
        <w:snapToGrid w:val="0"/>
        <w:spacing w:line="460" w:lineRule="exact"/>
        <w:ind w:firstLine="2800" w:firstLineChars="1000"/>
        <w:jc w:val="right"/>
        <w:rPr>
          <w:rFonts w:ascii="仿宋" w:hAnsi="仿宋" w:eastAsia="仿宋"/>
          <w:sz w:val="28"/>
          <w:szCs w:val="24"/>
          <w:highlight w:val="none"/>
        </w:rPr>
      </w:pPr>
      <w:r>
        <w:rPr>
          <w:rFonts w:hint="eastAsia" w:ascii="仿宋" w:hAnsi="仿宋" w:eastAsia="仿宋"/>
          <w:sz w:val="28"/>
          <w:szCs w:val="24"/>
          <w:highlight w:val="none"/>
        </w:rPr>
        <w:t>磋商</w:t>
      </w:r>
      <w:r>
        <w:rPr>
          <w:rFonts w:ascii="仿宋" w:hAnsi="仿宋" w:eastAsia="仿宋"/>
          <w:sz w:val="28"/>
          <w:szCs w:val="24"/>
          <w:highlight w:val="none"/>
        </w:rPr>
        <w:t>响应</w:t>
      </w:r>
      <w:r>
        <w:rPr>
          <w:rFonts w:hint="eastAsia" w:ascii="仿宋" w:hAnsi="仿宋" w:eastAsia="仿宋"/>
          <w:sz w:val="28"/>
          <w:szCs w:val="24"/>
          <w:highlight w:val="none"/>
        </w:rPr>
        <w:t>响应供应商</w:t>
      </w:r>
      <w:r>
        <w:rPr>
          <w:rFonts w:ascii="仿宋" w:hAnsi="仿宋" w:eastAsia="仿宋"/>
          <w:sz w:val="28"/>
          <w:szCs w:val="24"/>
          <w:highlight w:val="none"/>
        </w:rPr>
        <w:t>：</w:t>
      </w:r>
      <w:r>
        <w:rPr>
          <w:rFonts w:ascii="仿宋" w:hAnsi="仿宋" w:eastAsia="仿宋"/>
          <w:sz w:val="28"/>
          <w:szCs w:val="24"/>
          <w:highlight w:val="none"/>
          <w:u w:val="single"/>
        </w:rPr>
        <w:t xml:space="preserve">              </w:t>
      </w:r>
      <w:r>
        <w:rPr>
          <w:rFonts w:ascii="仿宋" w:hAnsi="仿宋" w:eastAsia="仿宋"/>
          <w:sz w:val="28"/>
          <w:szCs w:val="24"/>
          <w:highlight w:val="none"/>
        </w:rPr>
        <w:t>（加盖公章）</w:t>
      </w:r>
    </w:p>
    <w:p w14:paraId="4A4228EE">
      <w:pPr>
        <w:snapToGrid w:val="0"/>
        <w:spacing w:line="460" w:lineRule="exact"/>
        <w:ind w:firstLine="2800" w:firstLineChars="1000"/>
        <w:jc w:val="right"/>
        <w:rPr>
          <w:rFonts w:ascii="仿宋" w:hAnsi="仿宋" w:eastAsia="仿宋"/>
          <w:sz w:val="28"/>
          <w:szCs w:val="24"/>
          <w:highlight w:val="none"/>
        </w:rPr>
      </w:pPr>
      <w:r>
        <w:rPr>
          <w:rFonts w:ascii="仿宋" w:hAnsi="仿宋" w:eastAsia="仿宋"/>
          <w:sz w:val="28"/>
          <w:szCs w:val="24"/>
          <w:highlight w:val="none"/>
        </w:rPr>
        <w:t>法定代表人或</w:t>
      </w:r>
      <w:r>
        <w:rPr>
          <w:rFonts w:hint="eastAsia" w:ascii="仿宋" w:hAnsi="仿宋" w:eastAsia="仿宋"/>
          <w:sz w:val="28"/>
          <w:szCs w:val="24"/>
          <w:highlight w:val="none"/>
        </w:rPr>
        <w:t>委托代理</w:t>
      </w:r>
      <w:r>
        <w:rPr>
          <w:rFonts w:ascii="仿宋" w:hAnsi="仿宋" w:eastAsia="仿宋"/>
          <w:sz w:val="28"/>
          <w:szCs w:val="24"/>
          <w:highlight w:val="none"/>
        </w:rPr>
        <w:t>人：</w:t>
      </w:r>
      <w:r>
        <w:rPr>
          <w:rFonts w:ascii="仿宋" w:hAnsi="仿宋" w:eastAsia="仿宋"/>
          <w:sz w:val="28"/>
          <w:szCs w:val="24"/>
          <w:highlight w:val="none"/>
          <w:u w:val="single"/>
        </w:rPr>
        <w:t xml:space="preserve">         </w:t>
      </w:r>
      <w:r>
        <w:rPr>
          <w:rFonts w:hint="eastAsia" w:ascii="仿宋" w:hAnsi="仿宋" w:eastAsia="仿宋"/>
          <w:bCs/>
          <w:sz w:val="28"/>
          <w:szCs w:val="24"/>
          <w:highlight w:val="none"/>
        </w:rPr>
        <w:t>（签字或盖章）</w:t>
      </w:r>
    </w:p>
    <w:p w14:paraId="4A5FA976">
      <w:pPr>
        <w:wordWrap w:val="0"/>
        <w:snapToGrid w:val="0"/>
        <w:spacing w:line="460" w:lineRule="exact"/>
        <w:jc w:val="right"/>
        <w:rPr>
          <w:rFonts w:ascii="仿宋" w:hAnsi="仿宋" w:eastAsia="仿宋"/>
          <w:sz w:val="28"/>
          <w:szCs w:val="24"/>
          <w:highlight w:val="none"/>
        </w:rPr>
      </w:pPr>
      <w:r>
        <w:rPr>
          <w:rFonts w:hint="eastAsia" w:ascii="仿宋" w:hAnsi="仿宋" w:eastAsia="仿宋"/>
          <w:sz w:val="28"/>
          <w:szCs w:val="24"/>
          <w:highlight w:val="none"/>
        </w:rPr>
        <w:t xml:space="preserve">   年      月     日</w:t>
      </w:r>
    </w:p>
    <w:p w14:paraId="4340207C">
      <w:pPr>
        <w:spacing w:line="380" w:lineRule="exact"/>
        <w:jc w:val="center"/>
        <w:rPr>
          <w:rFonts w:ascii="仿宋_GB2312" w:eastAsia="仿宋_GB2312" w:cs="宋体"/>
          <w:highlight w:val="none"/>
        </w:rPr>
      </w:pPr>
      <w:r>
        <w:rPr>
          <w:rFonts w:ascii="仿宋_GB2312" w:hAnsi="宋体" w:eastAsia="仿宋_GB2312" w:cs="宋体"/>
          <w:b/>
          <w:sz w:val="28"/>
          <w:szCs w:val="28"/>
          <w:highlight w:val="none"/>
        </w:rPr>
        <w:br w:type="page"/>
      </w:r>
      <w:r>
        <w:rPr>
          <w:rFonts w:hint="eastAsia" w:ascii="仿宋_GB2312" w:hAnsi="宋体" w:eastAsia="仿宋_GB2312" w:cs="宋体"/>
          <w:b/>
          <w:sz w:val="28"/>
          <w:szCs w:val="28"/>
          <w:highlight w:val="none"/>
        </w:rPr>
        <w:t>8、磋商响应报价总表</w:t>
      </w:r>
    </w:p>
    <w:p w14:paraId="4DC6BCA5">
      <w:pPr>
        <w:snapToGrid w:val="0"/>
        <w:spacing w:line="520" w:lineRule="exact"/>
        <w:outlineLvl w:val="2"/>
        <w:rPr>
          <w:rFonts w:ascii="仿宋_GB2312" w:eastAsia="仿宋_GB2312"/>
          <w:sz w:val="28"/>
          <w:szCs w:val="24"/>
          <w:highlight w:val="none"/>
        </w:rPr>
      </w:pPr>
      <w:r>
        <w:rPr>
          <w:rFonts w:hint="eastAsia" w:ascii="仿宋_GB2312" w:eastAsia="仿宋_GB2312"/>
          <w:sz w:val="28"/>
          <w:szCs w:val="24"/>
          <w:highlight w:val="none"/>
        </w:rPr>
        <w:t>项目</w:t>
      </w:r>
      <w:r>
        <w:rPr>
          <w:rFonts w:ascii="仿宋_GB2312" w:eastAsia="仿宋_GB2312"/>
          <w:sz w:val="28"/>
          <w:szCs w:val="24"/>
          <w:highlight w:val="none"/>
        </w:rPr>
        <w:t>名称：</w:t>
      </w:r>
    </w:p>
    <w:tbl>
      <w:tblPr>
        <w:tblStyle w:val="54"/>
        <w:tblW w:w="9924"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5"/>
        <w:gridCol w:w="2126"/>
        <w:gridCol w:w="4536"/>
        <w:gridCol w:w="2127"/>
      </w:tblGrid>
      <w:tr w14:paraId="69E1D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1135" w:type="dxa"/>
            <w:tcBorders>
              <w:top w:val="single" w:color="auto" w:sz="4" w:space="0"/>
              <w:left w:val="single" w:color="auto" w:sz="4" w:space="0"/>
              <w:bottom w:val="single" w:color="auto" w:sz="4" w:space="0"/>
              <w:right w:val="single" w:color="auto" w:sz="4" w:space="0"/>
            </w:tcBorders>
            <w:vAlign w:val="center"/>
          </w:tcPr>
          <w:p w14:paraId="56E03002">
            <w:pPr>
              <w:spacing w:line="520" w:lineRule="exact"/>
              <w:ind w:left="1"/>
              <w:jc w:val="center"/>
              <w:textAlignment w:val="bottom"/>
              <w:rPr>
                <w:rFonts w:ascii="宋体" w:hAnsi="宋体" w:eastAsia="仿宋_GB2312"/>
                <w:b/>
                <w:kern w:val="0"/>
                <w:sz w:val="24"/>
                <w:szCs w:val="24"/>
                <w:highlight w:val="none"/>
              </w:rPr>
            </w:pPr>
            <w:r>
              <w:rPr>
                <w:rFonts w:hint="eastAsia" w:ascii="宋体" w:hAnsi="宋体" w:eastAsia="仿宋_GB2312"/>
                <w:b/>
                <w:kern w:val="0"/>
                <w:sz w:val="24"/>
                <w:szCs w:val="24"/>
                <w:highlight w:val="none"/>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29BCEE26">
            <w:pPr>
              <w:spacing w:line="520" w:lineRule="exact"/>
              <w:ind w:left="1"/>
              <w:jc w:val="center"/>
              <w:textAlignment w:val="bottom"/>
              <w:rPr>
                <w:rFonts w:ascii="宋体" w:hAnsi="宋体" w:eastAsia="仿宋_GB2312"/>
                <w:b/>
                <w:kern w:val="0"/>
                <w:sz w:val="24"/>
                <w:szCs w:val="24"/>
                <w:highlight w:val="none"/>
              </w:rPr>
            </w:pPr>
            <w:r>
              <w:rPr>
                <w:rFonts w:hint="eastAsia" w:ascii="宋体" w:hAnsi="宋体" w:eastAsia="仿宋_GB2312"/>
                <w:b/>
                <w:kern w:val="0"/>
                <w:sz w:val="24"/>
                <w:szCs w:val="24"/>
                <w:highlight w:val="none"/>
              </w:rPr>
              <w:t>报价轮次</w:t>
            </w:r>
          </w:p>
        </w:tc>
        <w:tc>
          <w:tcPr>
            <w:tcW w:w="4536" w:type="dxa"/>
            <w:tcBorders>
              <w:top w:val="single" w:color="auto" w:sz="4" w:space="0"/>
              <w:left w:val="single" w:color="auto" w:sz="4" w:space="0"/>
              <w:bottom w:val="single" w:color="auto" w:sz="4" w:space="0"/>
              <w:right w:val="single" w:color="auto" w:sz="4" w:space="0"/>
            </w:tcBorders>
            <w:vAlign w:val="center"/>
          </w:tcPr>
          <w:p w14:paraId="4C70CAF8">
            <w:pPr>
              <w:spacing w:line="520" w:lineRule="exact"/>
              <w:ind w:left="1"/>
              <w:jc w:val="center"/>
              <w:textAlignment w:val="bottom"/>
              <w:rPr>
                <w:rFonts w:ascii="宋体" w:hAnsi="宋体" w:eastAsia="仿宋_GB2312"/>
                <w:b/>
                <w:kern w:val="0"/>
                <w:sz w:val="24"/>
                <w:szCs w:val="24"/>
                <w:highlight w:val="none"/>
                <w:lang w:eastAsia="en-US"/>
              </w:rPr>
            </w:pPr>
            <w:r>
              <w:rPr>
                <w:rFonts w:hint="eastAsia" w:ascii="宋体" w:hAnsi="宋体" w:eastAsia="仿宋_GB2312"/>
                <w:b/>
                <w:kern w:val="0"/>
                <w:sz w:val="24"/>
                <w:szCs w:val="24"/>
                <w:highlight w:val="none"/>
              </w:rPr>
              <w:t>磋商总报</w:t>
            </w:r>
            <w:r>
              <w:rPr>
                <w:rFonts w:hint="eastAsia" w:ascii="宋体" w:hAnsi="宋体" w:eastAsia="仿宋_GB2312"/>
                <w:b/>
                <w:kern w:val="0"/>
                <w:sz w:val="24"/>
                <w:szCs w:val="24"/>
                <w:highlight w:val="none"/>
                <w:lang w:eastAsia="en-US"/>
              </w:rPr>
              <w:t>价（元）</w:t>
            </w:r>
          </w:p>
        </w:tc>
        <w:tc>
          <w:tcPr>
            <w:tcW w:w="2127" w:type="dxa"/>
            <w:tcBorders>
              <w:top w:val="single" w:color="auto" w:sz="4" w:space="0"/>
              <w:left w:val="single" w:color="auto" w:sz="4" w:space="0"/>
              <w:bottom w:val="single" w:color="auto" w:sz="4" w:space="0"/>
              <w:right w:val="single" w:color="auto" w:sz="4" w:space="0"/>
            </w:tcBorders>
            <w:vAlign w:val="center"/>
          </w:tcPr>
          <w:p w14:paraId="3EB21080">
            <w:pPr>
              <w:spacing w:line="520" w:lineRule="exact"/>
              <w:ind w:left="1" w:hanging="1"/>
              <w:jc w:val="center"/>
              <w:textAlignment w:val="bottom"/>
              <w:rPr>
                <w:rFonts w:ascii="宋体" w:hAnsi="宋体" w:eastAsia="仿宋_GB2312"/>
                <w:b/>
                <w:kern w:val="0"/>
                <w:sz w:val="24"/>
                <w:szCs w:val="24"/>
                <w:highlight w:val="none"/>
              </w:rPr>
            </w:pPr>
            <w:r>
              <w:rPr>
                <w:rFonts w:hint="eastAsia" w:ascii="宋体" w:hAnsi="宋体" w:eastAsia="仿宋_GB2312"/>
                <w:b/>
                <w:kern w:val="0"/>
                <w:sz w:val="24"/>
                <w:szCs w:val="24"/>
                <w:highlight w:val="none"/>
              </w:rPr>
              <w:t>备注</w:t>
            </w:r>
          </w:p>
        </w:tc>
      </w:tr>
      <w:tr w14:paraId="2F3BE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1135" w:type="dxa"/>
            <w:vMerge w:val="restart"/>
            <w:tcBorders>
              <w:top w:val="single" w:color="auto" w:sz="4" w:space="0"/>
              <w:left w:val="single" w:color="auto" w:sz="4" w:space="0"/>
              <w:right w:val="single" w:color="auto" w:sz="4" w:space="0"/>
            </w:tcBorders>
            <w:vAlign w:val="center"/>
          </w:tcPr>
          <w:p w14:paraId="1822769C">
            <w:pPr>
              <w:jc w:val="center"/>
              <w:textAlignment w:val="bottom"/>
              <w:rPr>
                <w:rFonts w:ascii="宋体" w:hAnsi="宋体" w:eastAsia="仿宋_GB2312"/>
                <w:kern w:val="0"/>
                <w:sz w:val="24"/>
                <w:szCs w:val="24"/>
                <w:highlight w:val="none"/>
              </w:rPr>
            </w:pPr>
            <w:r>
              <w:rPr>
                <w:rFonts w:hint="eastAsia" w:ascii="宋体" w:hAnsi="宋体" w:eastAsia="仿宋_GB2312"/>
                <w:kern w:val="0"/>
                <w:sz w:val="24"/>
                <w:szCs w:val="24"/>
                <w:highlight w:val="none"/>
              </w:rPr>
              <w:t>1</w:t>
            </w:r>
          </w:p>
        </w:tc>
        <w:tc>
          <w:tcPr>
            <w:tcW w:w="2126" w:type="dxa"/>
            <w:vMerge w:val="restart"/>
            <w:tcBorders>
              <w:top w:val="single" w:color="auto" w:sz="4" w:space="0"/>
              <w:left w:val="single" w:color="auto" w:sz="4" w:space="0"/>
              <w:right w:val="single" w:color="auto" w:sz="4" w:space="0"/>
            </w:tcBorders>
            <w:vAlign w:val="center"/>
          </w:tcPr>
          <w:p w14:paraId="205B3314">
            <w:pPr>
              <w:jc w:val="center"/>
              <w:textAlignment w:val="bottom"/>
              <w:rPr>
                <w:rFonts w:ascii="宋体" w:hAnsi="宋体" w:eastAsia="仿宋_GB2312"/>
                <w:b/>
                <w:kern w:val="0"/>
                <w:sz w:val="24"/>
                <w:szCs w:val="24"/>
                <w:highlight w:val="none"/>
              </w:rPr>
            </w:pPr>
            <w:r>
              <w:rPr>
                <w:rFonts w:ascii="宋体" w:hAnsi="宋体" w:eastAsia="仿宋_GB2312"/>
                <w:bCs/>
                <w:kern w:val="0"/>
                <w:sz w:val="24"/>
                <w:szCs w:val="24"/>
                <w:highlight w:val="none"/>
              </w:rPr>
              <w:t>报价</w:t>
            </w:r>
            <w:r>
              <w:rPr>
                <w:rFonts w:hint="eastAsia" w:ascii="宋体" w:hAnsi="宋体" w:eastAsia="仿宋_GB2312"/>
                <w:bCs/>
                <w:kern w:val="0"/>
                <w:sz w:val="24"/>
                <w:szCs w:val="24"/>
                <w:highlight w:val="none"/>
              </w:rPr>
              <w:t>（首次）</w:t>
            </w:r>
          </w:p>
        </w:tc>
        <w:tc>
          <w:tcPr>
            <w:tcW w:w="4536" w:type="dxa"/>
            <w:tcBorders>
              <w:top w:val="single" w:color="auto" w:sz="4" w:space="0"/>
              <w:left w:val="single" w:color="auto" w:sz="4" w:space="0"/>
              <w:bottom w:val="single" w:color="auto" w:sz="4" w:space="0"/>
              <w:right w:val="single" w:color="auto" w:sz="4" w:space="0"/>
            </w:tcBorders>
            <w:vAlign w:val="center"/>
          </w:tcPr>
          <w:p w14:paraId="7B8C3B01">
            <w:pPr>
              <w:ind w:firstLine="26" w:firstLineChars="11"/>
              <w:textAlignment w:val="bottom"/>
              <w:rPr>
                <w:rFonts w:ascii="宋体" w:hAnsi="宋体" w:eastAsia="仿宋_GB2312"/>
                <w:kern w:val="0"/>
                <w:sz w:val="24"/>
                <w:szCs w:val="24"/>
                <w:highlight w:val="none"/>
              </w:rPr>
            </w:pPr>
            <w:r>
              <w:rPr>
                <w:rFonts w:hint="eastAsia" w:ascii="宋体" w:hAnsi="宋体" w:eastAsia="仿宋_GB2312"/>
                <w:kern w:val="0"/>
                <w:sz w:val="24"/>
                <w:szCs w:val="24"/>
                <w:highlight w:val="none"/>
              </w:rPr>
              <w:t>含税价：</w:t>
            </w:r>
          </w:p>
          <w:p w14:paraId="0940273B">
            <w:pPr>
              <w:ind w:firstLine="26" w:firstLineChars="11"/>
              <w:textAlignment w:val="bottom"/>
              <w:rPr>
                <w:rFonts w:ascii="宋体" w:hAnsi="宋体" w:eastAsia="仿宋_GB2312"/>
                <w:kern w:val="0"/>
                <w:sz w:val="24"/>
                <w:szCs w:val="24"/>
                <w:highlight w:val="none"/>
              </w:rPr>
            </w:pPr>
            <w:r>
              <w:rPr>
                <w:rFonts w:hint="eastAsia" w:ascii="宋体" w:hAnsi="宋体" w:eastAsia="仿宋_GB2312"/>
                <w:kern w:val="0"/>
                <w:sz w:val="24"/>
                <w:szCs w:val="24"/>
                <w:highlight w:val="none"/>
              </w:rPr>
              <w:t>大写（人民币）：</w:t>
            </w:r>
          </w:p>
          <w:p w14:paraId="29DBA4A3">
            <w:pPr>
              <w:ind w:firstLine="26" w:firstLineChars="11"/>
              <w:textAlignment w:val="bottom"/>
              <w:rPr>
                <w:rFonts w:ascii="宋体" w:hAnsi="宋体" w:eastAsia="仿宋_GB2312"/>
                <w:kern w:val="0"/>
                <w:sz w:val="24"/>
                <w:szCs w:val="24"/>
                <w:highlight w:val="none"/>
              </w:rPr>
            </w:pPr>
            <w:r>
              <w:rPr>
                <w:rFonts w:hint="eastAsia" w:ascii="宋体" w:hAnsi="宋体" w:eastAsia="仿宋_GB2312"/>
                <w:kern w:val="0"/>
                <w:sz w:val="24"/>
                <w:szCs w:val="24"/>
                <w:highlight w:val="none"/>
              </w:rPr>
              <w:t>小写（</w:t>
            </w:r>
            <w:r>
              <w:rPr>
                <w:rFonts w:hint="eastAsia" w:ascii="Arial Unicode MS" w:hAnsi="Arial Unicode MS" w:eastAsia="Arial Unicode MS" w:cs="Arial Unicode MS"/>
                <w:kern w:val="0"/>
                <w:sz w:val="24"/>
                <w:szCs w:val="24"/>
                <w:highlight w:val="none"/>
              </w:rPr>
              <w:t>￥</w:t>
            </w:r>
            <w:r>
              <w:rPr>
                <w:rFonts w:hint="eastAsia" w:ascii="宋体" w:hAnsi="宋体" w:eastAsia="仿宋_GB2312"/>
                <w:kern w:val="0"/>
                <w:sz w:val="24"/>
                <w:szCs w:val="24"/>
                <w:highlight w:val="none"/>
              </w:rPr>
              <w:t>）：</w:t>
            </w:r>
          </w:p>
        </w:tc>
        <w:tc>
          <w:tcPr>
            <w:tcW w:w="2127" w:type="dxa"/>
            <w:vMerge w:val="restart"/>
            <w:tcBorders>
              <w:top w:val="single" w:color="auto" w:sz="4" w:space="0"/>
              <w:left w:val="single" w:color="auto" w:sz="4" w:space="0"/>
              <w:right w:val="single" w:color="auto" w:sz="4" w:space="0"/>
            </w:tcBorders>
            <w:vAlign w:val="center"/>
          </w:tcPr>
          <w:p w14:paraId="28DF06C7">
            <w:pPr>
              <w:spacing w:line="520" w:lineRule="exact"/>
              <w:ind w:left="1" w:hanging="1"/>
              <w:jc w:val="center"/>
              <w:textAlignment w:val="bottom"/>
              <w:rPr>
                <w:rFonts w:ascii="宋体" w:hAnsi="宋体" w:eastAsia="仿宋_GB2312"/>
                <w:b/>
                <w:kern w:val="0"/>
                <w:sz w:val="24"/>
                <w:szCs w:val="24"/>
                <w:highlight w:val="none"/>
              </w:rPr>
            </w:pPr>
          </w:p>
        </w:tc>
      </w:tr>
      <w:tr w14:paraId="457FA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135" w:type="dxa"/>
            <w:vMerge w:val="continue"/>
            <w:tcBorders>
              <w:left w:val="single" w:color="auto" w:sz="4" w:space="0"/>
              <w:bottom w:val="single" w:color="auto" w:sz="4" w:space="0"/>
              <w:right w:val="single" w:color="auto" w:sz="4" w:space="0"/>
            </w:tcBorders>
            <w:vAlign w:val="center"/>
          </w:tcPr>
          <w:p w14:paraId="6FCC68BE">
            <w:pPr>
              <w:jc w:val="center"/>
              <w:textAlignment w:val="bottom"/>
              <w:rPr>
                <w:rFonts w:ascii="宋体" w:hAnsi="宋体" w:eastAsia="仿宋_GB2312"/>
                <w:b/>
                <w:kern w:val="0"/>
                <w:sz w:val="24"/>
                <w:szCs w:val="24"/>
                <w:highlight w:val="none"/>
              </w:rPr>
            </w:pPr>
          </w:p>
        </w:tc>
        <w:tc>
          <w:tcPr>
            <w:tcW w:w="2126" w:type="dxa"/>
            <w:vMerge w:val="continue"/>
            <w:tcBorders>
              <w:left w:val="single" w:color="auto" w:sz="4" w:space="0"/>
              <w:bottom w:val="single" w:color="auto" w:sz="4" w:space="0"/>
              <w:right w:val="single" w:color="auto" w:sz="4" w:space="0"/>
            </w:tcBorders>
            <w:vAlign w:val="center"/>
          </w:tcPr>
          <w:p w14:paraId="36564206">
            <w:pPr>
              <w:jc w:val="center"/>
              <w:textAlignment w:val="bottom"/>
              <w:rPr>
                <w:rFonts w:ascii="宋体" w:hAnsi="宋体" w:eastAsia="仿宋_GB2312"/>
                <w:b/>
                <w:kern w:val="0"/>
                <w:sz w:val="24"/>
                <w:szCs w:val="24"/>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520FE982">
            <w:pPr>
              <w:ind w:firstLine="26" w:firstLineChars="11"/>
              <w:textAlignment w:val="bottom"/>
              <w:rPr>
                <w:rFonts w:ascii="宋体" w:hAnsi="宋体" w:eastAsia="仿宋_GB2312"/>
                <w:kern w:val="0"/>
                <w:sz w:val="24"/>
                <w:szCs w:val="24"/>
                <w:highlight w:val="none"/>
              </w:rPr>
            </w:pPr>
            <w:r>
              <w:rPr>
                <w:rFonts w:hint="eastAsia" w:ascii="宋体" w:hAnsi="宋体" w:eastAsia="仿宋_GB2312"/>
                <w:kern w:val="0"/>
                <w:sz w:val="24"/>
                <w:szCs w:val="24"/>
                <w:highlight w:val="none"/>
              </w:rPr>
              <w:t>税率：   %</w:t>
            </w:r>
          </w:p>
        </w:tc>
        <w:tc>
          <w:tcPr>
            <w:tcW w:w="2127" w:type="dxa"/>
            <w:vMerge w:val="continue"/>
            <w:tcBorders>
              <w:left w:val="single" w:color="auto" w:sz="4" w:space="0"/>
              <w:bottom w:val="single" w:color="auto" w:sz="4" w:space="0"/>
              <w:right w:val="single" w:color="auto" w:sz="4" w:space="0"/>
            </w:tcBorders>
            <w:vAlign w:val="center"/>
          </w:tcPr>
          <w:p w14:paraId="7E1278EF">
            <w:pPr>
              <w:spacing w:line="520" w:lineRule="exact"/>
              <w:ind w:left="1" w:hanging="1"/>
              <w:jc w:val="center"/>
              <w:textAlignment w:val="bottom"/>
              <w:rPr>
                <w:rFonts w:ascii="宋体" w:hAnsi="宋体" w:eastAsia="仿宋_GB2312"/>
                <w:b/>
                <w:kern w:val="0"/>
                <w:sz w:val="24"/>
                <w:szCs w:val="24"/>
                <w:highlight w:val="none"/>
              </w:rPr>
            </w:pPr>
          </w:p>
        </w:tc>
      </w:tr>
      <w:tr w14:paraId="21FDB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1135" w:type="dxa"/>
            <w:vMerge w:val="continue"/>
            <w:tcBorders>
              <w:left w:val="single" w:color="auto" w:sz="4" w:space="0"/>
              <w:bottom w:val="single" w:color="auto" w:sz="4" w:space="0"/>
              <w:right w:val="single" w:color="auto" w:sz="4" w:space="0"/>
            </w:tcBorders>
            <w:vAlign w:val="center"/>
          </w:tcPr>
          <w:p w14:paraId="3A0C2F4C">
            <w:pPr>
              <w:jc w:val="center"/>
              <w:textAlignment w:val="bottom"/>
              <w:rPr>
                <w:rFonts w:ascii="宋体" w:hAnsi="宋体" w:eastAsia="仿宋_GB2312"/>
                <w:b/>
                <w:kern w:val="0"/>
                <w:sz w:val="24"/>
                <w:szCs w:val="24"/>
                <w:highlight w:val="none"/>
              </w:rPr>
            </w:pPr>
          </w:p>
        </w:tc>
        <w:tc>
          <w:tcPr>
            <w:tcW w:w="2126" w:type="dxa"/>
            <w:vMerge w:val="continue"/>
            <w:tcBorders>
              <w:left w:val="single" w:color="auto" w:sz="4" w:space="0"/>
              <w:bottom w:val="single" w:color="auto" w:sz="4" w:space="0"/>
              <w:right w:val="single" w:color="auto" w:sz="4" w:space="0"/>
            </w:tcBorders>
            <w:vAlign w:val="center"/>
          </w:tcPr>
          <w:p w14:paraId="42902DBF">
            <w:pPr>
              <w:jc w:val="center"/>
              <w:textAlignment w:val="bottom"/>
              <w:rPr>
                <w:rFonts w:ascii="宋体" w:hAnsi="宋体" w:eastAsia="仿宋_GB2312"/>
                <w:b/>
                <w:kern w:val="0"/>
                <w:sz w:val="24"/>
                <w:szCs w:val="24"/>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4A74A847">
            <w:pPr>
              <w:textAlignment w:val="bottom"/>
              <w:rPr>
                <w:highlight w:val="none"/>
              </w:rPr>
            </w:pPr>
            <w:r>
              <w:rPr>
                <w:rFonts w:hint="eastAsia" w:ascii="宋体" w:hAnsi="宋体" w:eastAsia="仿宋_GB2312"/>
                <w:kern w:val="0"/>
                <w:sz w:val="24"/>
                <w:szCs w:val="24"/>
                <w:highlight w:val="none"/>
              </w:rPr>
              <w:t>不含税价：</w:t>
            </w:r>
          </w:p>
          <w:p w14:paraId="5E35839C">
            <w:pPr>
              <w:ind w:firstLine="26" w:firstLineChars="11"/>
              <w:textAlignment w:val="bottom"/>
              <w:rPr>
                <w:rFonts w:ascii="宋体" w:hAnsi="宋体" w:eastAsia="仿宋_GB2312"/>
                <w:kern w:val="0"/>
                <w:sz w:val="24"/>
                <w:szCs w:val="24"/>
                <w:highlight w:val="none"/>
              </w:rPr>
            </w:pPr>
            <w:r>
              <w:rPr>
                <w:rFonts w:hint="eastAsia" w:ascii="宋体" w:hAnsi="宋体" w:eastAsia="仿宋_GB2312"/>
                <w:kern w:val="0"/>
                <w:sz w:val="24"/>
                <w:szCs w:val="24"/>
                <w:highlight w:val="none"/>
              </w:rPr>
              <w:t>大写（人民币）：</w:t>
            </w:r>
          </w:p>
          <w:p w14:paraId="4740D123">
            <w:pPr>
              <w:ind w:firstLine="26" w:firstLineChars="11"/>
              <w:textAlignment w:val="bottom"/>
              <w:rPr>
                <w:rFonts w:ascii="宋体" w:hAnsi="宋体" w:eastAsia="仿宋_GB2312"/>
                <w:kern w:val="0"/>
                <w:sz w:val="24"/>
                <w:szCs w:val="24"/>
                <w:highlight w:val="none"/>
              </w:rPr>
            </w:pPr>
            <w:r>
              <w:rPr>
                <w:rFonts w:hint="eastAsia" w:ascii="宋体" w:hAnsi="宋体" w:eastAsia="仿宋_GB2312"/>
                <w:kern w:val="0"/>
                <w:sz w:val="24"/>
                <w:szCs w:val="24"/>
                <w:highlight w:val="none"/>
              </w:rPr>
              <w:t>小写（</w:t>
            </w:r>
            <w:r>
              <w:rPr>
                <w:rFonts w:hint="eastAsia" w:ascii="Arial Unicode MS" w:hAnsi="Arial Unicode MS" w:eastAsia="Arial Unicode MS" w:cs="Arial Unicode MS"/>
                <w:kern w:val="0"/>
                <w:sz w:val="24"/>
                <w:szCs w:val="24"/>
                <w:highlight w:val="none"/>
              </w:rPr>
              <w:t>￥</w:t>
            </w:r>
            <w:r>
              <w:rPr>
                <w:rFonts w:hint="eastAsia" w:ascii="宋体" w:hAnsi="宋体" w:eastAsia="仿宋_GB2312"/>
                <w:kern w:val="0"/>
                <w:sz w:val="24"/>
                <w:szCs w:val="24"/>
                <w:highlight w:val="none"/>
              </w:rPr>
              <w:t>）：</w:t>
            </w:r>
          </w:p>
        </w:tc>
        <w:tc>
          <w:tcPr>
            <w:tcW w:w="2127" w:type="dxa"/>
            <w:vMerge w:val="continue"/>
            <w:tcBorders>
              <w:left w:val="single" w:color="auto" w:sz="4" w:space="0"/>
              <w:bottom w:val="single" w:color="auto" w:sz="4" w:space="0"/>
              <w:right w:val="single" w:color="auto" w:sz="4" w:space="0"/>
            </w:tcBorders>
            <w:vAlign w:val="center"/>
          </w:tcPr>
          <w:p w14:paraId="72451702">
            <w:pPr>
              <w:spacing w:line="520" w:lineRule="exact"/>
              <w:ind w:left="1" w:hanging="1"/>
              <w:jc w:val="center"/>
              <w:textAlignment w:val="bottom"/>
              <w:rPr>
                <w:rFonts w:ascii="宋体" w:hAnsi="宋体" w:eastAsia="仿宋_GB2312"/>
                <w:b/>
                <w:kern w:val="0"/>
                <w:sz w:val="24"/>
                <w:szCs w:val="24"/>
                <w:highlight w:val="none"/>
              </w:rPr>
            </w:pPr>
          </w:p>
        </w:tc>
      </w:tr>
      <w:tr w14:paraId="3927A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35" w:type="dxa"/>
            <w:vMerge w:val="restart"/>
            <w:tcBorders>
              <w:top w:val="single" w:color="auto" w:sz="4" w:space="0"/>
              <w:left w:val="single" w:color="auto" w:sz="4" w:space="0"/>
              <w:right w:val="single" w:color="auto" w:sz="4" w:space="0"/>
            </w:tcBorders>
            <w:vAlign w:val="center"/>
          </w:tcPr>
          <w:p w14:paraId="6FA42F81">
            <w:pPr>
              <w:jc w:val="center"/>
              <w:textAlignment w:val="bottom"/>
              <w:rPr>
                <w:rFonts w:ascii="宋体" w:hAnsi="宋体" w:eastAsia="仿宋_GB2312"/>
                <w:bCs/>
                <w:kern w:val="0"/>
                <w:sz w:val="24"/>
                <w:szCs w:val="24"/>
                <w:highlight w:val="none"/>
              </w:rPr>
            </w:pPr>
            <w:r>
              <w:rPr>
                <w:rFonts w:hint="eastAsia" w:ascii="宋体" w:hAnsi="宋体" w:eastAsia="仿宋_GB2312"/>
                <w:bCs/>
                <w:kern w:val="0"/>
                <w:sz w:val="24"/>
                <w:szCs w:val="24"/>
                <w:highlight w:val="none"/>
              </w:rPr>
              <w:t>2</w:t>
            </w:r>
          </w:p>
        </w:tc>
        <w:tc>
          <w:tcPr>
            <w:tcW w:w="2126" w:type="dxa"/>
            <w:vMerge w:val="restart"/>
            <w:tcBorders>
              <w:top w:val="single" w:color="auto" w:sz="4" w:space="0"/>
              <w:left w:val="single" w:color="auto" w:sz="4" w:space="0"/>
              <w:right w:val="single" w:color="auto" w:sz="4" w:space="0"/>
            </w:tcBorders>
            <w:vAlign w:val="center"/>
          </w:tcPr>
          <w:p w14:paraId="59133D81">
            <w:pPr>
              <w:jc w:val="center"/>
              <w:textAlignment w:val="bottom"/>
              <w:rPr>
                <w:rFonts w:ascii="宋体" w:hAnsi="宋体" w:eastAsia="仿宋_GB2312"/>
                <w:bCs/>
                <w:kern w:val="0"/>
                <w:sz w:val="24"/>
                <w:szCs w:val="24"/>
                <w:highlight w:val="none"/>
              </w:rPr>
            </w:pPr>
            <w:r>
              <w:rPr>
                <w:rFonts w:ascii="宋体" w:hAnsi="宋体" w:eastAsia="仿宋_GB2312"/>
                <w:bCs/>
                <w:kern w:val="0"/>
                <w:sz w:val="24"/>
                <w:szCs w:val="24"/>
                <w:highlight w:val="none"/>
              </w:rPr>
              <w:t>报价</w:t>
            </w:r>
            <w:r>
              <w:rPr>
                <w:rFonts w:hint="eastAsia" w:ascii="宋体" w:hAnsi="宋体" w:eastAsia="仿宋_GB2312"/>
                <w:bCs/>
                <w:kern w:val="0"/>
                <w:sz w:val="24"/>
                <w:szCs w:val="24"/>
                <w:highlight w:val="none"/>
              </w:rPr>
              <w:t>（终次）</w:t>
            </w:r>
          </w:p>
        </w:tc>
        <w:tc>
          <w:tcPr>
            <w:tcW w:w="4536" w:type="dxa"/>
            <w:tcBorders>
              <w:top w:val="single" w:color="auto" w:sz="4" w:space="0"/>
              <w:left w:val="single" w:color="auto" w:sz="4" w:space="0"/>
              <w:bottom w:val="single" w:color="auto" w:sz="4" w:space="0"/>
              <w:right w:val="single" w:color="auto" w:sz="4" w:space="0"/>
            </w:tcBorders>
            <w:vAlign w:val="center"/>
          </w:tcPr>
          <w:p w14:paraId="4240928B">
            <w:pPr>
              <w:ind w:firstLine="26" w:firstLineChars="11"/>
              <w:textAlignment w:val="bottom"/>
              <w:rPr>
                <w:rFonts w:ascii="宋体" w:hAnsi="宋体" w:eastAsia="仿宋_GB2312"/>
                <w:kern w:val="0"/>
                <w:sz w:val="24"/>
                <w:szCs w:val="24"/>
                <w:highlight w:val="none"/>
              </w:rPr>
            </w:pPr>
            <w:r>
              <w:rPr>
                <w:rFonts w:hint="eastAsia" w:ascii="宋体" w:hAnsi="宋体" w:eastAsia="仿宋_GB2312"/>
                <w:kern w:val="0"/>
                <w:sz w:val="24"/>
                <w:szCs w:val="24"/>
                <w:highlight w:val="none"/>
              </w:rPr>
              <w:t>含税价：</w:t>
            </w:r>
          </w:p>
          <w:p w14:paraId="5201718F">
            <w:pPr>
              <w:ind w:firstLine="26" w:firstLineChars="11"/>
              <w:textAlignment w:val="bottom"/>
              <w:rPr>
                <w:rFonts w:ascii="宋体" w:hAnsi="宋体" w:eastAsia="仿宋_GB2312"/>
                <w:kern w:val="0"/>
                <w:sz w:val="24"/>
                <w:szCs w:val="24"/>
                <w:highlight w:val="none"/>
              </w:rPr>
            </w:pPr>
            <w:r>
              <w:rPr>
                <w:rFonts w:hint="eastAsia" w:ascii="宋体" w:hAnsi="宋体" w:eastAsia="仿宋_GB2312"/>
                <w:kern w:val="0"/>
                <w:sz w:val="24"/>
                <w:szCs w:val="24"/>
                <w:highlight w:val="none"/>
              </w:rPr>
              <w:t>大写（人民币）：</w:t>
            </w:r>
          </w:p>
          <w:p w14:paraId="6F9086CA">
            <w:pPr>
              <w:ind w:firstLine="26" w:firstLineChars="11"/>
              <w:textAlignment w:val="bottom"/>
              <w:rPr>
                <w:rFonts w:ascii="宋体" w:hAnsi="宋体" w:eastAsia="仿宋_GB2312"/>
                <w:kern w:val="0"/>
                <w:sz w:val="24"/>
                <w:szCs w:val="24"/>
                <w:highlight w:val="none"/>
              </w:rPr>
            </w:pPr>
            <w:r>
              <w:rPr>
                <w:rFonts w:hint="eastAsia" w:ascii="宋体" w:hAnsi="宋体" w:eastAsia="仿宋_GB2312"/>
                <w:kern w:val="0"/>
                <w:sz w:val="24"/>
                <w:szCs w:val="24"/>
                <w:highlight w:val="none"/>
              </w:rPr>
              <w:t>小写（</w:t>
            </w:r>
            <w:r>
              <w:rPr>
                <w:rFonts w:hint="eastAsia" w:ascii="Arial Unicode MS" w:hAnsi="Arial Unicode MS" w:eastAsia="Arial Unicode MS" w:cs="Arial Unicode MS"/>
                <w:kern w:val="0"/>
                <w:sz w:val="24"/>
                <w:szCs w:val="24"/>
                <w:highlight w:val="none"/>
              </w:rPr>
              <w:t>￥</w:t>
            </w:r>
            <w:r>
              <w:rPr>
                <w:rFonts w:hint="eastAsia" w:ascii="宋体" w:hAnsi="宋体" w:eastAsia="仿宋_GB2312"/>
                <w:kern w:val="0"/>
                <w:sz w:val="24"/>
                <w:szCs w:val="24"/>
                <w:highlight w:val="none"/>
              </w:rPr>
              <w:t>）：</w:t>
            </w:r>
          </w:p>
        </w:tc>
        <w:tc>
          <w:tcPr>
            <w:tcW w:w="2127" w:type="dxa"/>
            <w:vMerge w:val="restart"/>
            <w:tcBorders>
              <w:top w:val="single" w:color="auto" w:sz="4" w:space="0"/>
              <w:left w:val="single" w:color="auto" w:sz="4" w:space="0"/>
              <w:right w:val="single" w:color="auto" w:sz="4" w:space="0"/>
            </w:tcBorders>
            <w:vAlign w:val="center"/>
          </w:tcPr>
          <w:p w14:paraId="7FC2A7F6">
            <w:pPr>
              <w:spacing w:line="520" w:lineRule="exact"/>
              <w:ind w:left="1"/>
              <w:textAlignment w:val="bottom"/>
              <w:rPr>
                <w:rFonts w:ascii="宋体" w:hAnsi="宋体" w:eastAsia="仿宋_GB2312"/>
                <w:kern w:val="0"/>
                <w:sz w:val="24"/>
                <w:szCs w:val="24"/>
                <w:highlight w:val="none"/>
              </w:rPr>
            </w:pPr>
            <w:r>
              <w:rPr>
                <w:rFonts w:hint="eastAsia" w:ascii="宋体" w:hAnsi="宋体" w:eastAsia="仿宋_GB2312"/>
                <w:kern w:val="0"/>
                <w:sz w:val="24"/>
                <w:szCs w:val="24"/>
                <w:highlight w:val="none"/>
              </w:rPr>
              <w:t xml:space="preserve">        </w:t>
            </w:r>
          </w:p>
        </w:tc>
      </w:tr>
      <w:tr w14:paraId="660F3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35" w:type="dxa"/>
            <w:vMerge w:val="continue"/>
            <w:tcBorders>
              <w:left w:val="single" w:color="auto" w:sz="4" w:space="0"/>
              <w:bottom w:val="single" w:color="auto" w:sz="4" w:space="0"/>
              <w:right w:val="single" w:color="auto" w:sz="4" w:space="0"/>
            </w:tcBorders>
            <w:vAlign w:val="center"/>
          </w:tcPr>
          <w:p w14:paraId="1682A68D">
            <w:pPr>
              <w:jc w:val="center"/>
              <w:textAlignment w:val="bottom"/>
              <w:rPr>
                <w:rFonts w:ascii="宋体" w:hAnsi="宋体" w:eastAsia="仿宋_GB2312"/>
                <w:bCs/>
                <w:kern w:val="0"/>
                <w:sz w:val="24"/>
                <w:szCs w:val="24"/>
                <w:highlight w:val="none"/>
              </w:rPr>
            </w:pPr>
          </w:p>
        </w:tc>
        <w:tc>
          <w:tcPr>
            <w:tcW w:w="2126" w:type="dxa"/>
            <w:vMerge w:val="continue"/>
            <w:tcBorders>
              <w:left w:val="single" w:color="auto" w:sz="4" w:space="0"/>
              <w:bottom w:val="single" w:color="auto" w:sz="4" w:space="0"/>
              <w:right w:val="single" w:color="auto" w:sz="4" w:space="0"/>
            </w:tcBorders>
            <w:vAlign w:val="center"/>
          </w:tcPr>
          <w:p w14:paraId="40CD2FF1">
            <w:pPr>
              <w:jc w:val="center"/>
              <w:textAlignment w:val="bottom"/>
              <w:rPr>
                <w:rFonts w:ascii="宋体" w:hAnsi="宋体" w:eastAsia="仿宋_GB2312"/>
                <w:bCs/>
                <w:kern w:val="0"/>
                <w:sz w:val="24"/>
                <w:szCs w:val="24"/>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61329C2E">
            <w:pPr>
              <w:ind w:firstLine="26" w:firstLineChars="11"/>
              <w:textAlignment w:val="bottom"/>
              <w:rPr>
                <w:rFonts w:ascii="宋体" w:hAnsi="宋体" w:eastAsia="仿宋_GB2312"/>
                <w:kern w:val="0"/>
                <w:sz w:val="24"/>
                <w:szCs w:val="24"/>
                <w:highlight w:val="none"/>
              </w:rPr>
            </w:pPr>
            <w:r>
              <w:rPr>
                <w:rFonts w:hint="eastAsia" w:ascii="宋体" w:hAnsi="宋体" w:eastAsia="仿宋_GB2312"/>
                <w:kern w:val="0"/>
                <w:sz w:val="24"/>
                <w:szCs w:val="24"/>
                <w:highlight w:val="none"/>
              </w:rPr>
              <w:t>税率：   %</w:t>
            </w:r>
          </w:p>
        </w:tc>
        <w:tc>
          <w:tcPr>
            <w:tcW w:w="2127" w:type="dxa"/>
            <w:vMerge w:val="continue"/>
            <w:tcBorders>
              <w:left w:val="single" w:color="auto" w:sz="4" w:space="0"/>
              <w:bottom w:val="single" w:color="auto" w:sz="4" w:space="0"/>
              <w:right w:val="single" w:color="auto" w:sz="4" w:space="0"/>
            </w:tcBorders>
            <w:vAlign w:val="center"/>
          </w:tcPr>
          <w:p w14:paraId="4D87F0A0">
            <w:pPr>
              <w:spacing w:line="520" w:lineRule="exact"/>
              <w:ind w:left="1"/>
              <w:textAlignment w:val="bottom"/>
              <w:rPr>
                <w:rFonts w:ascii="宋体" w:hAnsi="宋体" w:eastAsia="仿宋_GB2312"/>
                <w:kern w:val="0"/>
                <w:sz w:val="24"/>
                <w:szCs w:val="24"/>
                <w:highlight w:val="none"/>
              </w:rPr>
            </w:pPr>
          </w:p>
        </w:tc>
      </w:tr>
      <w:tr w14:paraId="629A5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35" w:type="dxa"/>
            <w:vMerge w:val="continue"/>
            <w:tcBorders>
              <w:left w:val="single" w:color="auto" w:sz="4" w:space="0"/>
              <w:bottom w:val="single" w:color="auto" w:sz="4" w:space="0"/>
              <w:right w:val="single" w:color="auto" w:sz="4" w:space="0"/>
            </w:tcBorders>
            <w:vAlign w:val="center"/>
          </w:tcPr>
          <w:p w14:paraId="415EF8A2">
            <w:pPr>
              <w:jc w:val="center"/>
              <w:textAlignment w:val="bottom"/>
              <w:rPr>
                <w:rFonts w:ascii="宋体" w:hAnsi="宋体" w:eastAsia="仿宋_GB2312"/>
                <w:bCs/>
                <w:kern w:val="0"/>
                <w:sz w:val="24"/>
                <w:szCs w:val="24"/>
                <w:highlight w:val="none"/>
              </w:rPr>
            </w:pPr>
          </w:p>
        </w:tc>
        <w:tc>
          <w:tcPr>
            <w:tcW w:w="2126" w:type="dxa"/>
            <w:vMerge w:val="continue"/>
            <w:tcBorders>
              <w:left w:val="single" w:color="auto" w:sz="4" w:space="0"/>
              <w:bottom w:val="single" w:color="auto" w:sz="4" w:space="0"/>
              <w:right w:val="single" w:color="auto" w:sz="4" w:space="0"/>
            </w:tcBorders>
            <w:vAlign w:val="center"/>
          </w:tcPr>
          <w:p w14:paraId="78127929">
            <w:pPr>
              <w:jc w:val="center"/>
              <w:textAlignment w:val="bottom"/>
              <w:rPr>
                <w:rFonts w:ascii="宋体" w:hAnsi="宋体" w:eastAsia="仿宋_GB2312"/>
                <w:bCs/>
                <w:kern w:val="0"/>
                <w:sz w:val="24"/>
                <w:szCs w:val="24"/>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36B49598">
            <w:pPr>
              <w:textAlignment w:val="bottom"/>
              <w:rPr>
                <w:highlight w:val="none"/>
              </w:rPr>
            </w:pPr>
            <w:r>
              <w:rPr>
                <w:rFonts w:hint="eastAsia" w:ascii="宋体" w:hAnsi="宋体" w:eastAsia="仿宋_GB2312"/>
                <w:kern w:val="0"/>
                <w:sz w:val="24"/>
                <w:szCs w:val="24"/>
                <w:highlight w:val="none"/>
              </w:rPr>
              <w:t>不含税价：</w:t>
            </w:r>
          </w:p>
          <w:p w14:paraId="33051081">
            <w:pPr>
              <w:ind w:firstLine="26" w:firstLineChars="11"/>
              <w:textAlignment w:val="bottom"/>
              <w:rPr>
                <w:rFonts w:ascii="宋体" w:hAnsi="宋体" w:eastAsia="仿宋_GB2312"/>
                <w:kern w:val="0"/>
                <w:sz w:val="24"/>
                <w:szCs w:val="24"/>
                <w:highlight w:val="none"/>
              </w:rPr>
            </w:pPr>
            <w:r>
              <w:rPr>
                <w:rFonts w:hint="eastAsia" w:ascii="宋体" w:hAnsi="宋体" w:eastAsia="仿宋_GB2312"/>
                <w:kern w:val="0"/>
                <w:sz w:val="24"/>
                <w:szCs w:val="24"/>
                <w:highlight w:val="none"/>
              </w:rPr>
              <w:t>大写（人民币）：</w:t>
            </w:r>
          </w:p>
          <w:p w14:paraId="19092649">
            <w:pPr>
              <w:ind w:firstLine="26" w:firstLineChars="11"/>
              <w:textAlignment w:val="bottom"/>
              <w:rPr>
                <w:rFonts w:ascii="宋体" w:hAnsi="宋体" w:eastAsia="仿宋_GB2312"/>
                <w:kern w:val="0"/>
                <w:sz w:val="24"/>
                <w:szCs w:val="24"/>
                <w:highlight w:val="none"/>
              </w:rPr>
            </w:pPr>
            <w:r>
              <w:rPr>
                <w:rFonts w:hint="eastAsia" w:ascii="宋体" w:hAnsi="宋体" w:eastAsia="仿宋_GB2312"/>
                <w:kern w:val="0"/>
                <w:sz w:val="24"/>
                <w:szCs w:val="24"/>
                <w:highlight w:val="none"/>
              </w:rPr>
              <w:t>小写（</w:t>
            </w:r>
            <w:r>
              <w:rPr>
                <w:rFonts w:hint="eastAsia" w:ascii="Arial Unicode MS" w:hAnsi="Arial Unicode MS" w:eastAsia="Arial Unicode MS" w:cs="Arial Unicode MS"/>
                <w:kern w:val="0"/>
                <w:sz w:val="24"/>
                <w:szCs w:val="24"/>
                <w:highlight w:val="none"/>
              </w:rPr>
              <w:t>￥</w:t>
            </w:r>
            <w:r>
              <w:rPr>
                <w:rFonts w:hint="eastAsia" w:ascii="宋体" w:hAnsi="宋体" w:eastAsia="仿宋_GB2312"/>
                <w:kern w:val="0"/>
                <w:sz w:val="24"/>
                <w:szCs w:val="24"/>
                <w:highlight w:val="none"/>
              </w:rPr>
              <w:t>）：</w:t>
            </w:r>
          </w:p>
        </w:tc>
        <w:tc>
          <w:tcPr>
            <w:tcW w:w="2127" w:type="dxa"/>
            <w:vMerge w:val="continue"/>
            <w:tcBorders>
              <w:left w:val="single" w:color="auto" w:sz="4" w:space="0"/>
              <w:bottom w:val="single" w:color="auto" w:sz="4" w:space="0"/>
              <w:right w:val="single" w:color="auto" w:sz="4" w:space="0"/>
            </w:tcBorders>
            <w:vAlign w:val="center"/>
          </w:tcPr>
          <w:p w14:paraId="74D443DF">
            <w:pPr>
              <w:spacing w:line="520" w:lineRule="exact"/>
              <w:ind w:left="1"/>
              <w:textAlignment w:val="bottom"/>
              <w:rPr>
                <w:rFonts w:ascii="宋体" w:hAnsi="宋体" w:eastAsia="仿宋_GB2312"/>
                <w:kern w:val="0"/>
                <w:sz w:val="24"/>
                <w:szCs w:val="24"/>
                <w:highlight w:val="none"/>
              </w:rPr>
            </w:pPr>
          </w:p>
        </w:tc>
      </w:tr>
    </w:tbl>
    <w:p w14:paraId="3BB62EBA">
      <w:pPr>
        <w:kinsoku w:val="0"/>
        <w:topLinePunct/>
        <w:snapToGrid w:val="0"/>
        <w:spacing w:line="520" w:lineRule="exact"/>
        <w:rPr>
          <w:rFonts w:ascii="仿宋_GB2312" w:hAnsi="宋体" w:eastAsia="仿宋_GB2312"/>
          <w:sz w:val="28"/>
          <w:szCs w:val="28"/>
          <w:highlight w:val="none"/>
        </w:rPr>
      </w:pPr>
      <w:r>
        <w:rPr>
          <w:rFonts w:hint="eastAsia" w:ascii="仿宋_GB2312" w:hAnsi="宋体" w:eastAsia="仿宋_GB2312"/>
          <w:sz w:val="28"/>
          <w:szCs w:val="28"/>
          <w:highlight w:val="none"/>
        </w:rPr>
        <w:t xml:space="preserve">供应商：（盖章）             </w:t>
      </w:r>
    </w:p>
    <w:p w14:paraId="6D3B0000">
      <w:pPr>
        <w:kinsoku w:val="0"/>
        <w:topLinePunct/>
        <w:snapToGrid w:val="0"/>
        <w:spacing w:line="520" w:lineRule="exact"/>
        <w:rPr>
          <w:rFonts w:ascii="仿宋_GB2312" w:hAnsi="宋体" w:eastAsia="仿宋_GB2312"/>
          <w:sz w:val="28"/>
          <w:szCs w:val="28"/>
          <w:highlight w:val="none"/>
        </w:rPr>
      </w:pPr>
      <w:r>
        <w:rPr>
          <w:rFonts w:hint="eastAsia" w:ascii="仿宋_GB2312" w:hAnsi="宋体" w:eastAsia="仿宋_GB2312"/>
          <w:sz w:val="28"/>
          <w:szCs w:val="28"/>
          <w:highlight w:val="none"/>
        </w:rPr>
        <w:t>法定代表人或被授权人（签字）：</w:t>
      </w:r>
    </w:p>
    <w:p w14:paraId="20BAB6F4">
      <w:pPr>
        <w:kinsoku w:val="0"/>
        <w:topLinePunct/>
        <w:snapToGrid w:val="0"/>
        <w:spacing w:line="520" w:lineRule="exact"/>
        <w:rPr>
          <w:rFonts w:ascii="仿宋_GB2312" w:hAnsi="宋体" w:eastAsia="仿宋_GB2312"/>
          <w:sz w:val="28"/>
          <w:szCs w:val="28"/>
          <w:highlight w:val="none"/>
        </w:rPr>
      </w:pPr>
      <w:r>
        <w:rPr>
          <w:rFonts w:hint="eastAsia" w:ascii="仿宋_GB2312" w:hAnsi="宋体" w:eastAsia="仿宋_GB2312"/>
          <w:sz w:val="28"/>
          <w:szCs w:val="28"/>
          <w:highlight w:val="none"/>
        </w:rPr>
        <w:t>日期：</w:t>
      </w:r>
    </w:p>
    <w:p w14:paraId="171768B5">
      <w:pPr>
        <w:snapToGrid w:val="0"/>
        <w:spacing w:line="480" w:lineRule="exact"/>
        <w:ind w:firstLine="579" w:firstLineChars="206"/>
        <w:rPr>
          <w:rFonts w:ascii="仿宋_GB2312" w:hAnsi="宋体" w:eastAsia="仿宋_GB2312"/>
          <w:b/>
          <w:sz w:val="28"/>
          <w:szCs w:val="28"/>
          <w:highlight w:val="none"/>
        </w:rPr>
      </w:pPr>
      <w:r>
        <w:rPr>
          <w:rFonts w:hint="eastAsia" w:ascii="仿宋_GB2312" w:hAnsi="宋体" w:eastAsia="仿宋_GB2312"/>
          <w:b/>
          <w:sz w:val="28"/>
          <w:szCs w:val="28"/>
          <w:highlight w:val="none"/>
        </w:rPr>
        <w:t>注：</w:t>
      </w:r>
    </w:p>
    <w:p w14:paraId="0E28EF37">
      <w:pPr>
        <w:snapToGrid w:val="0"/>
        <w:spacing w:line="480" w:lineRule="exact"/>
        <w:ind w:firstLine="560" w:firstLineChars="200"/>
        <w:rPr>
          <w:rFonts w:eastAsia="仿宋_GB2312"/>
          <w:sz w:val="28"/>
          <w:szCs w:val="28"/>
          <w:highlight w:val="none"/>
        </w:rPr>
      </w:pPr>
      <w:r>
        <w:rPr>
          <w:rFonts w:hint="eastAsia" w:eastAsia="仿宋_GB2312"/>
          <w:sz w:val="28"/>
          <w:szCs w:val="28"/>
          <w:highlight w:val="none"/>
        </w:rPr>
        <w:t>（1）</w:t>
      </w:r>
      <w:r>
        <w:rPr>
          <w:rFonts w:eastAsia="仿宋_GB2312"/>
          <w:sz w:val="28"/>
          <w:szCs w:val="28"/>
          <w:highlight w:val="none"/>
        </w:rPr>
        <w:t>本表</w:t>
      </w:r>
      <w:r>
        <w:rPr>
          <w:rFonts w:hint="eastAsia" w:eastAsia="仿宋_GB2312"/>
          <w:sz w:val="28"/>
          <w:szCs w:val="28"/>
          <w:highlight w:val="none"/>
        </w:rPr>
        <w:t>为格式表</w:t>
      </w:r>
      <w:r>
        <w:rPr>
          <w:rFonts w:eastAsia="仿宋_GB2312"/>
          <w:sz w:val="28"/>
          <w:szCs w:val="28"/>
          <w:highlight w:val="none"/>
        </w:rPr>
        <w:t>，</w:t>
      </w:r>
      <w:r>
        <w:rPr>
          <w:rFonts w:hint="eastAsia" w:eastAsia="仿宋_GB2312"/>
          <w:sz w:val="28"/>
          <w:szCs w:val="28"/>
          <w:highlight w:val="none"/>
        </w:rPr>
        <w:t>不得自行改动，必须提供</w:t>
      </w:r>
      <w:r>
        <w:rPr>
          <w:rFonts w:eastAsia="仿宋_GB2312"/>
          <w:sz w:val="28"/>
          <w:szCs w:val="28"/>
          <w:highlight w:val="none"/>
        </w:rPr>
        <w:t>。</w:t>
      </w:r>
    </w:p>
    <w:p w14:paraId="7F49264C">
      <w:pPr>
        <w:snapToGrid w:val="0"/>
        <w:spacing w:line="480" w:lineRule="exact"/>
        <w:ind w:firstLine="560" w:firstLineChars="200"/>
        <w:rPr>
          <w:rFonts w:ascii="仿宋_GB2312" w:hAnsi="宋体" w:eastAsia="仿宋_GB2312"/>
          <w:sz w:val="28"/>
          <w:szCs w:val="28"/>
          <w:highlight w:val="none"/>
        </w:rPr>
      </w:pPr>
      <w:r>
        <w:rPr>
          <w:rFonts w:hint="eastAsia" w:eastAsia="仿宋_GB2312"/>
          <w:sz w:val="28"/>
          <w:szCs w:val="28"/>
          <w:highlight w:val="none"/>
        </w:rPr>
        <w:t>（2）表格中的“最后报价响应总价”，将在竞争性磋商评审活动现场填写，响应文件密封提交时只需填写“报价响应总价（首次）”。</w:t>
      </w:r>
    </w:p>
    <w:p w14:paraId="0CC1921F">
      <w:pPr>
        <w:spacing w:line="360" w:lineRule="auto"/>
        <w:ind w:firstLine="560" w:firstLineChars="200"/>
        <w:rPr>
          <w:rFonts w:eastAsia="仿宋_GB2312"/>
          <w:sz w:val="28"/>
          <w:szCs w:val="28"/>
          <w:highlight w:val="none"/>
        </w:rPr>
      </w:pPr>
      <w:r>
        <w:rPr>
          <w:rFonts w:hint="eastAsia" w:eastAsia="仿宋_GB2312"/>
          <w:sz w:val="28"/>
          <w:szCs w:val="28"/>
          <w:highlight w:val="none"/>
        </w:rPr>
        <w:t>（3）响应报价按本竞争性磋商文件第二章第六条规定的内容执行。</w:t>
      </w:r>
    </w:p>
    <w:p w14:paraId="065D0A1E">
      <w:pPr>
        <w:spacing w:after="120" w:line="360" w:lineRule="auto"/>
        <w:ind w:firstLine="560" w:firstLineChars="200"/>
        <w:rPr>
          <w:rFonts w:eastAsia="仿宋_GB2312"/>
          <w:sz w:val="28"/>
          <w:szCs w:val="28"/>
          <w:highlight w:val="none"/>
        </w:rPr>
      </w:pPr>
      <w:r>
        <w:rPr>
          <w:rFonts w:hint="eastAsia" w:eastAsia="仿宋_GB2312"/>
          <w:sz w:val="28"/>
          <w:szCs w:val="28"/>
          <w:highlight w:val="none"/>
        </w:rPr>
        <w:t>（4）本项目最后报价仅接受等于或低于供应商的首次报价，否则作无效响应处理。</w:t>
      </w:r>
    </w:p>
    <w:p w14:paraId="192A2DB1">
      <w:pPr>
        <w:spacing w:after="120" w:line="360" w:lineRule="auto"/>
        <w:ind w:firstLine="560" w:firstLineChars="200"/>
        <w:rPr>
          <w:rFonts w:eastAsia="仿宋_GB2312"/>
          <w:sz w:val="28"/>
          <w:szCs w:val="28"/>
          <w:highlight w:val="none"/>
        </w:rPr>
      </w:pPr>
      <w:r>
        <w:rPr>
          <w:rFonts w:hint="eastAsia" w:eastAsia="仿宋_GB2312"/>
          <w:sz w:val="28"/>
          <w:szCs w:val="28"/>
          <w:highlight w:val="none"/>
        </w:rPr>
        <w:t>（5）一旦成交，最后报价响应总价即为本竞争性磋商项目的成交价，竞争性磋商响应报价明细表按同比例下浮。</w:t>
      </w:r>
    </w:p>
    <w:p w14:paraId="4613B423">
      <w:pPr>
        <w:rPr>
          <w:highlight w:val="none"/>
        </w:rPr>
      </w:pPr>
    </w:p>
    <w:p w14:paraId="4A901997">
      <w:pPr>
        <w:rPr>
          <w:rFonts w:ascii="宋体" w:hAnsi="宋体"/>
          <w:b/>
          <w:sz w:val="32"/>
          <w:szCs w:val="32"/>
          <w:highlight w:val="none"/>
        </w:rPr>
      </w:pPr>
      <w:r>
        <w:rPr>
          <w:rFonts w:ascii="方正仿宋_GBK" w:eastAsia="方正仿宋_GBK"/>
          <w:sz w:val="28"/>
          <w:szCs w:val="28"/>
          <w:highlight w:val="none"/>
        </w:rPr>
        <w:br w:type="page"/>
      </w:r>
    </w:p>
    <w:p w14:paraId="3F98862C">
      <w:pPr>
        <w:jc w:val="center"/>
        <w:rPr>
          <w:rFonts w:ascii="宋体" w:hAnsi="宋体"/>
          <w:b/>
          <w:sz w:val="32"/>
          <w:szCs w:val="32"/>
          <w:highlight w:val="none"/>
        </w:rPr>
      </w:pPr>
      <w:r>
        <w:rPr>
          <w:rFonts w:hint="eastAsia" w:ascii="宋体" w:hAnsi="宋体"/>
          <w:b/>
          <w:sz w:val="32"/>
          <w:szCs w:val="32"/>
          <w:highlight w:val="none"/>
        </w:rPr>
        <w:t>9</w:t>
      </w:r>
      <w:r>
        <w:rPr>
          <w:rFonts w:ascii="宋体" w:hAnsi="宋体"/>
          <w:b/>
          <w:sz w:val="32"/>
          <w:szCs w:val="32"/>
          <w:highlight w:val="none"/>
        </w:rPr>
        <w:t>、</w:t>
      </w:r>
      <w:r>
        <w:rPr>
          <w:rFonts w:hint="eastAsia" w:ascii="宋体" w:hAnsi="宋体"/>
          <w:b/>
          <w:sz w:val="32"/>
          <w:szCs w:val="32"/>
          <w:highlight w:val="none"/>
        </w:rPr>
        <w:t>现 场 勘 察 证 明</w:t>
      </w:r>
    </w:p>
    <w:p w14:paraId="077BC2EA">
      <w:pPr>
        <w:widowControl/>
        <w:jc w:val="left"/>
        <w:rPr>
          <w:rFonts w:ascii="宋体" w:hAnsi="宋体"/>
          <w:kern w:val="0"/>
          <w:sz w:val="22"/>
          <w:szCs w:val="22"/>
          <w:highlight w:val="none"/>
        </w:rPr>
      </w:pPr>
    </w:p>
    <w:p w14:paraId="26139558">
      <w:pPr>
        <w:autoSpaceDE w:val="0"/>
        <w:snapToGrid w:val="0"/>
        <w:spacing w:line="360" w:lineRule="auto"/>
        <w:contextualSpacing/>
        <w:rPr>
          <w:rFonts w:ascii="宋体" w:hAnsi="宋体"/>
          <w:kern w:val="0"/>
          <w:sz w:val="28"/>
          <w:szCs w:val="28"/>
          <w:highlight w:val="none"/>
        </w:rPr>
      </w:pPr>
      <w:r>
        <w:rPr>
          <w:rFonts w:hint="eastAsia" w:ascii="宋体" w:hAnsi="宋体"/>
          <w:kern w:val="0"/>
          <w:sz w:val="28"/>
          <w:szCs w:val="28"/>
          <w:highlight w:val="none"/>
        </w:rPr>
        <w:t xml:space="preserve">项目名称：                       </w:t>
      </w:r>
    </w:p>
    <w:p w14:paraId="34BFF5E8">
      <w:pPr>
        <w:autoSpaceDE w:val="0"/>
        <w:snapToGrid w:val="0"/>
        <w:spacing w:line="480" w:lineRule="auto"/>
        <w:contextualSpacing/>
        <w:rPr>
          <w:rFonts w:ascii="宋体" w:hAnsi="宋体"/>
          <w:kern w:val="0"/>
          <w:sz w:val="28"/>
          <w:szCs w:val="28"/>
          <w:highlight w:val="none"/>
        </w:rPr>
      </w:pPr>
      <w:r>
        <w:rPr>
          <w:rFonts w:hint="eastAsia" w:ascii="宋体" w:hAnsi="宋体"/>
          <w:kern w:val="0"/>
          <w:sz w:val="28"/>
          <w:szCs w:val="28"/>
          <w:highlight w:val="none"/>
        </w:rPr>
        <w:t xml:space="preserve">     我公司于2025年   月    日完成现场勘察，并对现场情况进行充分了解，此证明文件作为投标文件的有效组成部分。</w:t>
      </w:r>
    </w:p>
    <w:p w14:paraId="343D6AFA">
      <w:pPr>
        <w:widowControl/>
        <w:ind w:firstLine="700" w:firstLineChars="250"/>
        <w:jc w:val="left"/>
        <w:rPr>
          <w:rFonts w:ascii="宋体" w:hAnsi="宋体"/>
          <w:kern w:val="0"/>
          <w:sz w:val="28"/>
          <w:szCs w:val="28"/>
          <w:highlight w:val="none"/>
        </w:rPr>
      </w:pPr>
      <w:r>
        <w:rPr>
          <w:rFonts w:hint="eastAsia" w:ascii="宋体" w:hAnsi="宋体"/>
          <w:kern w:val="0"/>
          <w:sz w:val="28"/>
          <w:szCs w:val="28"/>
          <w:highlight w:val="none"/>
        </w:rPr>
        <w:t>特此证明</w:t>
      </w:r>
    </w:p>
    <w:p w14:paraId="174AE721">
      <w:pPr>
        <w:widowControl/>
        <w:ind w:firstLine="560" w:firstLineChars="200"/>
        <w:jc w:val="left"/>
        <w:rPr>
          <w:rFonts w:ascii="宋体" w:hAnsi="宋体"/>
          <w:kern w:val="0"/>
          <w:sz w:val="28"/>
          <w:szCs w:val="28"/>
          <w:highlight w:val="none"/>
        </w:rPr>
      </w:pPr>
    </w:p>
    <w:p w14:paraId="6F7C617A">
      <w:pPr>
        <w:widowControl/>
        <w:ind w:firstLine="440" w:firstLineChars="200"/>
        <w:jc w:val="left"/>
        <w:rPr>
          <w:rFonts w:ascii="宋体" w:hAnsi="宋体"/>
          <w:kern w:val="0"/>
          <w:sz w:val="22"/>
          <w:szCs w:val="22"/>
          <w:highlight w:val="none"/>
        </w:rPr>
      </w:pPr>
    </w:p>
    <w:p w14:paraId="7E05E3F4">
      <w:pPr>
        <w:autoSpaceDE w:val="0"/>
        <w:snapToGrid w:val="0"/>
        <w:spacing w:line="360" w:lineRule="auto"/>
        <w:ind w:firstLine="560" w:firstLineChars="200"/>
        <w:contextualSpacing/>
        <w:rPr>
          <w:rFonts w:ascii="宋体" w:hAnsi="宋体"/>
          <w:kern w:val="0"/>
          <w:sz w:val="28"/>
          <w:szCs w:val="28"/>
          <w:highlight w:val="none"/>
        </w:rPr>
      </w:pPr>
      <w:r>
        <w:rPr>
          <w:rFonts w:hint="eastAsia" w:ascii="宋体" w:hAnsi="宋体"/>
          <w:kern w:val="0"/>
          <w:sz w:val="28"/>
          <w:szCs w:val="28"/>
          <w:highlight w:val="none"/>
        </w:rPr>
        <w:t>采购人代表签字：</w:t>
      </w:r>
    </w:p>
    <w:p w14:paraId="796886D1">
      <w:pPr>
        <w:autoSpaceDE w:val="0"/>
        <w:snapToGrid w:val="0"/>
        <w:spacing w:line="360" w:lineRule="auto"/>
        <w:ind w:right="560"/>
        <w:contextualSpacing/>
        <w:jc w:val="center"/>
        <w:rPr>
          <w:rFonts w:ascii="宋体" w:hAnsi="宋体"/>
          <w:kern w:val="0"/>
          <w:sz w:val="28"/>
          <w:szCs w:val="28"/>
          <w:highlight w:val="none"/>
        </w:rPr>
      </w:pPr>
      <w:r>
        <w:rPr>
          <w:rFonts w:hint="eastAsia" w:ascii="宋体" w:hAnsi="宋体"/>
          <w:kern w:val="0"/>
          <w:sz w:val="28"/>
          <w:szCs w:val="28"/>
          <w:highlight w:val="none"/>
        </w:rPr>
        <w:t xml:space="preserve">                        投标人名称（盖章）： </w:t>
      </w:r>
    </w:p>
    <w:p w14:paraId="3EC2FF26">
      <w:pPr>
        <w:autoSpaceDE w:val="0"/>
        <w:snapToGrid w:val="0"/>
        <w:spacing w:line="360" w:lineRule="auto"/>
        <w:contextualSpacing/>
        <w:jc w:val="right"/>
        <w:rPr>
          <w:rFonts w:ascii="宋体" w:hAnsi="宋体"/>
          <w:kern w:val="0"/>
          <w:sz w:val="28"/>
          <w:szCs w:val="28"/>
          <w:highlight w:val="none"/>
        </w:rPr>
      </w:pPr>
    </w:p>
    <w:p w14:paraId="2542E872">
      <w:pPr>
        <w:autoSpaceDE w:val="0"/>
        <w:snapToGrid w:val="0"/>
        <w:spacing w:line="360" w:lineRule="auto"/>
        <w:contextualSpacing/>
        <w:jc w:val="right"/>
        <w:rPr>
          <w:rFonts w:ascii="宋体" w:hAnsi="宋体"/>
          <w:kern w:val="0"/>
          <w:sz w:val="28"/>
          <w:szCs w:val="28"/>
          <w:highlight w:val="none"/>
        </w:rPr>
      </w:pPr>
      <w:r>
        <w:rPr>
          <w:rFonts w:hint="eastAsia" w:ascii="宋体" w:hAnsi="宋体"/>
          <w:kern w:val="0"/>
          <w:sz w:val="28"/>
          <w:szCs w:val="28"/>
          <w:highlight w:val="none"/>
        </w:rPr>
        <w:t>勘察时间:2025年   月  日</w:t>
      </w:r>
    </w:p>
    <w:p w14:paraId="0D481A08">
      <w:pPr>
        <w:spacing w:after="120"/>
        <w:ind w:left="420" w:leftChars="200" w:firstLine="400" w:firstLineChars="200"/>
        <w:rPr>
          <w:kern w:val="0"/>
          <w:sz w:val="20"/>
          <w:szCs w:val="24"/>
          <w:highlight w:val="none"/>
        </w:rPr>
      </w:pPr>
    </w:p>
    <w:p w14:paraId="481B675F">
      <w:pPr>
        <w:spacing w:after="120"/>
        <w:ind w:left="420" w:leftChars="200" w:firstLine="400" w:firstLineChars="200"/>
        <w:rPr>
          <w:kern w:val="0"/>
          <w:sz w:val="20"/>
          <w:szCs w:val="24"/>
          <w:highlight w:val="none"/>
        </w:rPr>
      </w:pPr>
    </w:p>
    <w:p w14:paraId="155A8E05">
      <w:pPr>
        <w:spacing w:line="360" w:lineRule="exact"/>
        <w:outlineLvl w:val="3"/>
        <w:rPr>
          <w:rFonts w:ascii="仿宋" w:hAnsi="仿宋" w:eastAsia="仿宋"/>
          <w:b/>
          <w:bCs/>
          <w:sz w:val="32"/>
          <w:szCs w:val="32"/>
          <w:highlight w:val="none"/>
        </w:rPr>
      </w:pPr>
      <w:r>
        <w:rPr>
          <w:rFonts w:hint="eastAsia" w:ascii="仿宋" w:hAnsi="仿宋" w:eastAsia="仿宋"/>
          <w:b/>
          <w:bCs/>
          <w:color w:val="FF0000"/>
          <w:sz w:val="32"/>
          <w:szCs w:val="32"/>
          <w:highlight w:val="none"/>
        </w:rPr>
        <w:t>注：本表供应商盖章后踏勘现场时随身携带，采购人代表签字确认后原件放入资格审查正本中。</w:t>
      </w:r>
    </w:p>
    <w:p w14:paraId="2D67B655">
      <w:pPr>
        <w:rPr>
          <w:highlight w:val="none"/>
        </w:rPr>
      </w:pPr>
    </w:p>
    <w:sectPr>
      <w:footerReference r:id="rId7" w:type="first"/>
      <w:pgSz w:w="11906" w:h="16838"/>
      <w:pgMar w:top="1134" w:right="1134" w:bottom="1134" w:left="162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730B36-8167-4DFA-811E-B8FCCA6A1F14}"/>
  </w:font>
  <w:font w:name="黑体">
    <w:panose1 w:val="02010609060101010101"/>
    <w:charset w:val="86"/>
    <w:family w:val="auto"/>
    <w:pitch w:val="default"/>
    <w:sig w:usb0="800002BF" w:usb1="38CF7CFA" w:usb2="00000016" w:usb3="00000000" w:csb0="00040001" w:csb1="00000000"/>
    <w:embedRegular r:id="rId2" w:fontKey="{CE895B0E-5A39-4B5A-9033-F5C3F3DDE95B}"/>
  </w:font>
  <w:font w:name="Courier New">
    <w:panose1 w:val="02070309020205020404"/>
    <w:charset w:val="01"/>
    <w:family w:val="modern"/>
    <w:pitch w:val="default"/>
    <w:sig w:usb0="E0002EFF" w:usb1="C0007843" w:usb2="00000009" w:usb3="00000000" w:csb0="400001FF" w:csb1="FFFF0000"/>
    <w:embedRegular r:id="rId3" w:fontKey="{0F7C2194-32C6-45A9-BFEE-823CF535D2C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D23C7A40-58E8-4D86-B340-5EF13F63B92E}"/>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5" w:fontKey="{F516F696-E750-45B3-A6F8-F7C30A3BF116}"/>
  </w:font>
  <w:font w:name="Cambria">
    <w:panose1 w:val="02040503050406030204"/>
    <w:charset w:val="00"/>
    <w:family w:val="roman"/>
    <w:pitch w:val="default"/>
    <w:sig w:usb0="E00006FF" w:usb1="420024FF" w:usb2="02000000" w:usb3="00000000" w:csb0="2000019F" w:csb1="0000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embedRegular r:id="rId6" w:fontKey="{EAA49902-349A-423D-870D-F78ECA5A3823}"/>
  </w:font>
  <w:font w:name="方正楷体_GB2312">
    <w:altName w:val="宋体"/>
    <w:panose1 w:val="00000000000000000000"/>
    <w:charset w:val="86"/>
    <w:family w:val="auto"/>
    <w:pitch w:val="default"/>
    <w:sig w:usb0="00000000" w:usb1="00000000" w:usb2="00000012" w:usb3="00000000" w:csb0="00040001" w:csb1="00000000"/>
    <w:embedRegular r:id="rId7" w:fontKey="{E673F070-9ADC-44D0-96F6-B9A88CC69666}"/>
  </w:font>
  <w:font w:name="仿宋">
    <w:panose1 w:val="02010609060101010101"/>
    <w:charset w:val="86"/>
    <w:family w:val="modern"/>
    <w:pitch w:val="default"/>
    <w:sig w:usb0="800002BF" w:usb1="38CF7CFA" w:usb2="00000016" w:usb3="00000000" w:csb0="00040001" w:csb1="00000000"/>
    <w:embedRegular r:id="rId8" w:fontKey="{FE5A5326-7F3A-4843-A72C-18BDD39507FD}"/>
  </w:font>
  <w:font w:name="等线">
    <w:panose1 w:val="02010600030101010101"/>
    <w:charset w:val="86"/>
    <w:family w:val="auto"/>
    <w:pitch w:val="default"/>
    <w:sig w:usb0="A00002BF" w:usb1="38CF7CFA" w:usb2="00000016" w:usb3="00000000" w:csb0="0004000F" w:csb1="00000000"/>
    <w:embedRegular r:id="rId9" w:fontKey="{47FB4B64-B4A3-429F-99F5-3168C6AA315C}"/>
  </w:font>
  <w:font w:name="方正仿宋_GB2312">
    <w:panose1 w:val="02000000000000000000"/>
    <w:charset w:val="86"/>
    <w:family w:val="auto"/>
    <w:pitch w:val="default"/>
    <w:sig w:usb0="A00002BF" w:usb1="184F6CFA" w:usb2="00000012" w:usb3="00000000" w:csb0="00040001" w:csb1="00000000"/>
    <w:embedRegular r:id="rId10" w:fontKey="{76EE8FAA-668F-4E8B-A99E-718B5A4AEDBF}"/>
  </w:font>
  <w:font w:name="方正仿宋_GBK">
    <w:altName w:val="微软雅黑"/>
    <w:panose1 w:val="00000000000000000000"/>
    <w:charset w:val="86"/>
    <w:family w:val="script"/>
    <w:pitch w:val="default"/>
    <w:sig w:usb0="00000000" w:usb1="00000000" w:usb2="00082016" w:usb3="00000000" w:csb0="00040001" w:csb1="00000000"/>
    <w:embedRegular r:id="rId11" w:fontKey="{AE2711E1-E108-4562-9984-249D35D80A46}"/>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6036F">
    <w:pPr>
      <w:pStyle w:val="3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64C41913">
                          <w:pPr>
                            <w:pStyle w:val="3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- 21 -</w:t>
                          </w:r>
                          <w:r>
                            <w:rPr>
                              <w:b/>
                              <w:bCs/>
                              <w:sz w:val="24"/>
                              <w:szCs w:val="24"/>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3RZsT0AAAAAMBAAAPAAAAAAAAAAEAIAAAACIAAABkcnMvZG93bnJldi54bWxQ&#10;SwECFAAUAAAACACHTuJAeH92BsYBAACLAwAADgAAAAAAAAABACAAAAAfAQAAZHJzL2Uyb0RvYy54&#10;bWxQSwUGAAAAAAYABgBZAQAAVwUAAAAA&#10;">
              <v:fill on="f" focussize="0,0"/>
              <v:stroke on="f"/>
              <v:imagedata o:title=""/>
              <o:lock v:ext="edit" aspectratio="f"/>
              <v:textbox inset="0mm,0mm,0mm,0mm" style="mso-fit-shape-to-text:t;">
                <w:txbxContent>
                  <w:p w14:paraId="64C41913">
                    <w:pPr>
                      <w:pStyle w:val="3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- 21 -</w:t>
                    </w:r>
                    <w:r>
                      <w:rPr>
                        <w:b/>
                        <w:bCs/>
                        <w:sz w:val="24"/>
                        <w:szCs w:val="24"/>
                      </w:rPr>
                      <w:fldChar w:fldCharType="end"/>
                    </w:r>
                  </w:p>
                </w:txbxContent>
              </v:textbox>
            </v:shape>
          </w:pict>
        </mc:Fallback>
      </mc:AlternateContent>
    </w:r>
  </w:p>
  <w:p w14:paraId="4B23B80C">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C4C2D">
    <w:pPr>
      <w:pStyle w:val="33"/>
      <w:framePr w:wrap="around" w:vAnchor="text" w:hAnchor="margin" w:xAlign="right" w:y="1"/>
      <w:rPr>
        <w:rStyle w:val="57"/>
      </w:rPr>
    </w:pPr>
    <w:r>
      <w:fldChar w:fldCharType="begin"/>
    </w:r>
    <w:r>
      <w:rPr>
        <w:rStyle w:val="57"/>
      </w:rPr>
      <w:instrText xml:space="preserve">PAGE  </w:instrText>
    </w:r>
    <w:r>
      <w:fldChar w:fldCharType="end"/>
    </w:r>
  </w:p>
  <w:p w14:paraId="3B6027AD">
    <w:pPr>
      <w:pStyle w:val="3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A48DB">
    <w:pPr>
      <w:pStyle w:val="3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3"/>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wps:spPr>
                    <wps:txbx>
                      <w:txbxContent>
                        <w:p w14:paraId="08CC65A3">
                          <w:pPr>
                            <w:pStyle w:val="33"/>
                            <w:jc w:val="center"/>
                          </w:pPr>
                          <w:r>
                            <w:fldChar w:fldCharType="begin"/>
                          </w:r>
                          <w:r>
                            <w:instrText xml:space="preserve">PAGE   \* MERGEFORMAT</w:instrText>
                          </w:r>
                          <w:r>
                            <w:fldChar w:fldCharType="separate"/>
                          </w:r>
                          <w:r>
                            <w:rPr>
                              <w:lang w:val="zh-CN"/>
                            </w:rPr>
                            <w:t>-</w:t>
                          </w:r>
                          <w:r>
                            <w:t xml:space="preserve"> 1 -</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7FI4NAAAAADAQAADwAAAAAAAAABACAAAAAiAAAAZHJzL2Rvd25yZXYueG1s&#10;UEsBAhQAFAAAAAgAh07iQNPlHLzHAQAAiwMAAA4AAAAAAAAAAQAgAAAAHwEAAGRycy9lMm9Eb2Mu&#10;eG1sUEsFBgAAAAAGAAYAWQEAAFgFAAAAAA==&#10;">
              <v:fill on="f" focussize="0,0"/>
              <v:stroke on="f"/>
              <v:imagedata o:title=""/>
              <o:lock v:ext="edit" aspectratio="f"/>
              <v:textbox inset="0mm,0mm,0mm,0mm" style="mso-fit-shape-to-text:t;">
                <w:txbxContent>
                  <w:p w14:paraId="08CC65A3">
                    <w:pPr>
                      <w:pStyle w:val="33"/>
                      <w:jc w:val="center"/>
                    </w:pPr>
                    <w:r>
                      <w:fldChar w:fldCharType="begin"/>
                    </w:r>
                    <w:r>
                      <w:instrText xml:space="preserve">PAGE   \* MERGEFORMAT</w:instrText>
                    </w:r>
                    <w:r>
                      <w:fldChar w:fldCharType="separate"/>
                    </w:r>
                    <w:r>
                      <w:rPr>
                        <w:lang w:val="zh-CN"/>
                      </w:rPr>
                      <w:t>-</w:t>
                    </w:r>
                    <w:r>
                      <w:t xml:space="preserve"> 1 -</w:t>
                    </w:r>
                    <w:r>
                      <w:fldChar w:fldCharType="end"/>
                    </w:r>
                  </w:p>
                </w:txbxContent>
              </v:textbox>
            </v:shape>
          </w:pict>
        </mc:Fallback>
      </mc:AlternateContent>
    </w:r>
  </w:p>
  <w:p w14:paraId="5F444CCB">
    <w:pPr>
      <w:pStyle w:val="33"/>
      <w:wordWrap w:val="0"/>
      <w:ind w:right="18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A47F9">
    <w:pPr>
      <w:pStyle w:val="3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3" name="文本框 4"/>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wps:spPr>
                    <wps:txbx>
                      <w:txbxContent>
                        <w:p w14:paraId="6DA3F410">
                          <w:pPr>
                            <w:pStyle w:val="33"/>
                            <w:jc w:val="center"/>
                          </w:pPr>
                          <w:r>
                            <w:fldChar w:fldCharType="begin"/>
                          </w:r>
                          <w:r>
                            <w:instrText xml:space="preserve">PAGE   \* MERGEFORMAT</w:instrText>
                          </w:r>
                          <w:r>
                            <w:fldChar w:fldCharType="separate"/>
                          </w:r>
                          <w:r>
                            <w:rPr>
                              <w:lang w:val="zh-CN"/>
                            </w:rPr>
                            <w:t>-</w:t>
                          </w:r>
                          <w:r>
                            <w:t xml:space="preserve"> 32 -</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7FI4NAAAAADAQAADwAAAAAAAAABACAAAAAiAAAAZHJzL2Rvd25yZXYueG1s&#10;UEsBAhQAFAAAAAgAh07iQLWjwTjHAQAAiwMAAA4AAAAAAAAAAQAgAAAAHwEAAGRycy9lMm9Eb2Mu&#10;eG1sUEsFBgAAAAAGAAYAWQEAAFgFAAAAAA==&#10;">
              <v:fill on="f" focussize="0,0"/>
              <v:stroke on="f"/>
              <v:imagedata o:title=""/>
              <o:lock v:ext="edit" aspectratio="f"/>
              <v:textbox inset="0mm,0mm,0mm,0mm" style="mso-fit-shape-to-text:t;">
                <w:txbxContent>
                  <w:p w14:paraId="6DA3F410">
                    <w:pPr>
                      <w:pStyle w:val="33"/>
                      <w:jc w:val="center"/>
                    </w:pPr>
                    <w:r>
                      <w:fldChar w:fldCharType="begin"/>
                    </w:r>
                    <w:r>
                      <w:instrText xml:space="preserve">PAGE   \* MERGEFORMAT</w:instrText>
                    </w:r>
                    <w:r>
                      <w:fldChar w:fldCharType="separate"/>
                    </w:r>
                    <w:r>
                      <w:rPr>
                        <w:lang w:val="zh-CN"/>
                      </w:rPr>
                      <w:t>-</w:t>
                    </w:r>
                    <w:r>
                      <w:t xml:space="preserve"> 32 -</w:t>
                    </w:r>
                    <w:r>
                      <w:fldChar w:fldCharType="end"/>
                    </w:r>
                  </w:p>
                </w:txbxContent>
              </v:textbox>
            </v:shape>
          </w:pict>
        </mc:Fallback>
      </mc:AlternateContent>
    </w:r>
  </w:p>
  <w:p w14:paraId="66F844A2">
    <w:pPr>
      <w:pStyle w:val="33"/>
      <w:wordWrap w:val="0"/>
      <w:ind w:right="18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0D134">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D"/>
    <w:multiLevelType w:val="multilevel"/>
    <w:tmpl w:val="0000003D"/>
    <w:lvl w:ilvl="0" w:tentative="0">
      <w:start w:val="1"/>
      <w:numFmt w:val="chineseCountingThousand"/>
      <w:pStyle w:val="3"/>
      <w:lvlText w:val="第%1部分"/>
      <w:lvlJc w:val="left"/>
      <w:rPr>
        <w:rFonts w:cs="Times New Roman"/>
      </w:rPr>
    </w:lvl>
    <w:lvl w:ilvl="1" w:tentative="0">
      <w:start w:val="1"/>
      <w:numFmt w:val="none"/>
      <w:suff w:val="nothing"/>
      <w:lvlText w:val=""/>
      <w:lvlJc w:val="left"/>
      <w:rPr>
        <w:rFonts w:cs="Times New Roman"/>
      </w:rPr>
    </w:lvl>
    <w:lvl w:ilvl="2" w:tentative="0">
      <w:start w:val="1"/>
      <w:numFmt w:val="none"/>
      <w:suff w:val="nothing"/>
      <w:lvlText w:val=""/>
      <w:lvlJc w:val="left"/>
      <w:rPr>
        <w:rFonts w:cs="Times New Roman"/>
      </w:rPr>
    </w:lvl>
    <w:lvl w:ilvl="3" w:tentative="0">
      <w:start w:val="1"/>
      <w:numFmt w:val="none"/>
      <w:suff w:val="nothing"/>
      <w:lvlText w:val=""/>
      <w:lvlJc w:val="left"/>
      <w:rPr>
        <w:rFonts w:cs="Times New Roman"/>
      </w:rPr>
    </w:lvl>
    <w:lvl w:ilvl="4" w:tentative="0">
      <w:start w:val="1"/>
      <w:numFmt w:val="none"/>
      <w:suff w:val="nothing"/>
      <w:lvlText w:val=""/>
      <w:lvlJc w:val="left"/>
      <w:rPr>
        <w:rFonts w:cs="Times New Roman"/>
      </w:rPr>
    </w:lvl>
    <w:lvl w:ilvl="5" w:tentative="0">
      <w:start w:val="1"/>
      <w:numFmt w:val="none"/>
      <w:suff w:val="nothing"/>
      <w:lvlText w:val=""/>
      <w:lvlJc w:val="left"/>
      <w:rPr>
        <w:rFonts w:cs="Times New Roman"/>
      </w:rPr>
    </w:lvl>
    <w:lvl w:ilvl="6" w:tentative="0">
      <w:start w:val="1"/>
      <w:numFmt w:val="none"/>
      <w:suff w:val="nothing"/>
      <w:lvlText w:val=""/>
      <w:lvlJc w:val="left"/>
      <w:rPr>
        <w:rFonts w:cs="Times New Roman"/>
      </w:rPr>
    </w:lvl>
    <w:lvl w:ilvl="7" w:tentative="0">
      <w:start w:val="1"/>
      <w:numFmt w:val="none"/>
      <w:suff w:val="nothing"/>
      <w:lvlText w:val=""/>
      <w:lvlJc w:val="left"/>
      <w:rPr>
        <w:rFonts w:cs="Times New Roman"/>
      </w:rPr>
    </w:lvl>
    <w:lvl w:ilvl="8" w:tentative="0">
      <w:start w:val="1"/>
      <w:numFmt w:val="none"/>
      <w:suff w:val="nothing"/>
      <w:lvlText w:val=""/>
      <w:lvlJc w:val="left"/>
      <w:rPr>
        <w:rFonts w:cs="Times New Roman"/>
      </w:rPr>
    </w:lvl>
  </w:abstractNum>
  <w:abstractNum w:abstractNumId="1">
    <w:nsid w:val="572AE91F"/>
    <w:multiLevelType w:val="singleLevel"/>
    <w:tmpl w:val="572AE91F"/>
    <w:lvl w:ilvl="0" w:tentative="0">
      <w:start w:val="5"/>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4"/>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ZjYyYmEwMTIyY2Y2OTRlYmIwZjRiMWFhOTkyZTAifQ=="/>
  </w:docVars>
  <w:rsids>
    <w:rsidRoot w:val="00172A27"/>
    <w:rsid w:val="0000325E"/>
    <w:rsid w:val="000054D3"/>
    <w:rsid w:val="00016494"/>
    <w:rsid w:val="00016DA1"/>
    <w:rsid w:val="000408F3"/>
    <w:rsid w:val="00053DFD"/>
    <w:rsid w:val="0006101B"/>
    <w:rsid w:val="00062C9F"/>
    <w:rsid w:val="0006603B"/>
    <w:rsid w:val="00071023"/>
    <w:rsid w:val="0007103D"/>
    <w:rsid w:val="000726E7"/>
    <w:rsid w:val="00075D89"/>
    <w:rsid w:val="00085559"/>
    <w:rsid w:val="000A1B80"/>
    <w:rsid w:val="000A7A0E"/>
    <w:rsid w:val="000B4A07"/>
    <w:rsid w:val="000B5200"/>
    <w:rsid w:val="000B79AD"/>
    <w:rsid w:val="000C774C"/>
    <w:rsid w:val="000D1A96"/>
    <w:rsid w:val="000D2607"/>
    <w:rsid w:val="000D4B23"/>
    <w:rsid w:val="000F6DAA"/>
    <w:rsid w:val="0010043B"/>
    <w:rsid w:val="00104BC1"/>
    <w:rsid w:val="00106878"/>
    <w:rsid w:val="00113F36"/>
    <w:rsid w:val="0011736A"/>
    <w:rsid w:val="00121E27"/>
    <w:rsid w:val="00121E4B"/>
    <w:rsid w:val="00131ECD"/>
    <w:rsid w:val="00132EA1"/>
    <w:rsid w:val="001345DA"/>
    <w:rsid w:val="001410CC"/>
    <w:rsid w:val="00144ACC"/>
    <w:rsid w:val="00157A1C"/>
    <w:rsid w:val="00157AA9"/>
    <w:rsid w:val="001612E8"/>
    <w:rsid w:val="0016198A"/>
    <w:rsid w:val="00164354"/>
    <w:rsid w:val="00172A27"/>
    <w:rsid w:val="00175D15"/>
    <w:rsid w:val="00192757"/>
    <w:rsid w:val="001943FA"/>
    <w:rsid w:val="001B3151"/>
    <w:rsid w:val="001C4076"/>
    <w:rsid w:val="001C6799"/>
    <w:rsid w:val="001C76AF"/>
    <w:rsid w:val="001D161E"/>
    <w:rsid w:val="001D2828"/>
    <w:rsid w:val="001E30E9"/>
    <w:rsid w:val="001E6C9F"/>
    <w:rsid w:val="001F13A7"/>
    <w:rsid w:val="001F7963"/>
    <w:rsid w:val="002008FF"/>
    <w:rsid w:val="00204E67"/>
    <w:rsid w:val="00205CE9"/>
    <w:rsid w:val="00207784"/>
    <w:rsid w:val="00207F85"/>
    <w:rsid w:val="0021076F"/>
    <w:rsid w:val="0022126B"/>
    <w:rsid w:val="00231148"/>
    <w:rsid w:val="00233757"/>
    <w:rsid w:val="00236713"/>
    <w:rsid w:val="00245FA3"/>
    <w:rsid w:val="002465F4"/>
    <w:rsid w:val="00251A51"/>
    <w:rsid w:val="0026634F"/>
    <w:rsid w:val="00266735"/>
    <w:rsid w:val="002717B5"/>
    <w:rsid w:val="002728BC"/>
    <w:rsid w:val="002873E6"/>
    <w:rsid w:val="002902DA"/>
    <w:rsid w:val="002936C1"/>
    <w:rsid w:val="00294B02"/>
    <w:rsid w:val="0029617C"/>
    <w:rsid w:val="002A004D"/>
    <w:rsid w:val="002B0C49"/>
    <w:rsid w:val="002C05F4"/>
    <w:rsid w:val="002C344B"/>
    <w:rsid w:val="002D06A9"/>
    <w:rsid w:val="002D6FA4"/>
    <w:rsid w:val="002E4186"/>
    <w:rsid w:val="002E7B95"/>
    <w:rsid w:val="002F3F88"/>
    <w:rsid w:val="002F40BA"/>
    <w:rsid w:val="00303A7A"/>
    <w:rsid w:val="00306487"/>
    <w:rsid w:val="003102C4"/>
    <w:rsid w:val="003139DA"/>
    <w:rsid w:val="00316AD5"/>
    <w:rsid w:val="003268E8"/>
    <w:rsid w:val="00330DED"/>
    <w:rsid w:val="003340A3"/>
    <w:rsid w:val="00342283"/>
    <w:rsid w:val="00346B74"/>
    <w:rsid w:val="00352468"/>
    <w:rsid w:val="00357D62"/>
    <w:rsid w:val="00362D45"/>
    <w:rsid w:val="00362E7E"/>
    <w:rsid w:val="0036363D"/>
    <w:rsid w:val="00363BD3"/>
    <w:rsid w:val="00366457"/>
    <w:rsid w:val="00366FA9"/>
    <w:rsid w:val="00372BAE"/>
    <w:rsid w:val="003774AB"/>
    <w:rsid w:val="00385EDD"/>
    <w:rsid w:val="003903F3"/>
    <w:rsid w:val="00392A05"/>
    <w:rsid w:val="00395FAC"/>
    <w:rsid w:val="003A3352"/>
    <w:rsid w:val="003A4350"/>
    <w:rsid w:val="003A48F0"/>
    <w:rsid w:val="003A57BD"/>
    <w:rsid w:val="003A60E6"/>
    <w:rsid w:val="003A72F5"/>
    <w:rsid w:val="003B0800"/>
    <w:rsid w:val="003B1E82"/>
    <w:rsid w:val="003B6532"/>
    <w:rsid w:val="003C7AA9"/>
    <w:rsid w:val="003D410B"/>
    <w:rsid w:val="003E01DC"/>
    <w:rsid w:val="003E1E61"/>
    <w:rsid w:val="003E4526"/>
    <w:rsid w:val="003E6787"/>
    <w:rsid w:val="003F6A43"/>
    <w:rsid w:val="00406CA1"/>
    <w:rsid w:val="00415718"/>
    <w:rsid w:val="00430E30"/>
    <w:rsid w:val="00432178"/>
    <w:rsid w:val="0043423A"/>
    <w:rsid w:val="0044144F"/>
    <w:rsid w:val="004470A1"/>
    <w:rsid w:val="00450A22"/>
    <w:rsid w:val="00461E96"/>
    <w:rsid w:val="0046477B"/>
    <w:rsid w:val="0046688D"/>
    <w:rsid w:val="00471E03"/>
    <w:rsid w:val="00492DB7"/>
    <w:rsid w:val="004941C3"/>
    <w:rsid w:val="0049577C"/>
    <w:rsid w:val="004A42AD"/>
    <w:rsid w:val="004A7F0C"/>
    <w:rsid w:val="004B2F4E"/>
    <w:rsid w:val="004B67DE"/>
    <w:rsid w:val="004C7F4C"/>
    <w:rsid w:val="004D097D"/>
    <w:rsid w:val="004D3E34"/>
    <w:rsid w:val="004E1BE4"/>
    <w:rsid w:val="004E598F"/>
    <w:rsid w:val="004F3657"/>
    <w:rsid w:val="005006A0"/>
    <w:rsid w:val="005007E8"/>
    <w:rsid w:val="00502D1E"/>
    <w:rsid w:val="00502EBE"/>
    <w:rsid w:val="00505E71"/>
    <w:rsid w:val="00516FC2"/>
    <w:rsid w:val="00516FC4"/>
    <w:rsid w:val="00520F93"/>
    <w:rsid w:val="00522E83"/>
    <w:rsid w:val="005235F4"/>
    <w:rsid w:val="00524AF9"/>
    <w:rsid w:val="00532A1F"/>
    <w:rsid w:val="0053591B"/>
    <w:rsid w:val="005368AE"/>
    <w:rsid w:val="00550A0C"/>
    <w:rsid w:val="0056489F"/>
    <w:rsid w:val="00570C05"/>
    <w:rsid w:val="005750D7"/>
    <w:rsid w:val="005777B6"/>
    <w:rsid w:val="005828AE"/>
    <w:rsid w:val="005B75C7"/>
    <w:rsid w:val="005C0614"/>
    <w:rsid w:val="005D56EA"/>
    <w:rsid w:val="005E4DBC"/>
    <w:rsid w:val="005E5905"/>
    <w:rsid w:val="005F0888"/>
    <w:rsid w:val="005F13A2"/>
    <w:rsid w:val="005F16B8"/>
    <w:rsid w:val="00602B35"/>
    <w:rsid w:val="00603231"/>
    <w:rsid w:val="00605462"/>
    <w:rsid w:val="00611719"/>
    <w:rsid w:val="00613666"/>
    <w:rsid w:val="00615592"/>
    <w:rsid w:val="006167C8"/>
    <w:rsid w:val="0062304E"/>
    <w:rsid w:val="00624B28"/>
    <w:rsid w:val="00632D09"/>
    <w:rsid w:val="006348E3"/>
    <w:rsid w:val="00641D6B"/>
    <w:rsid w:val="00643858"/>
    <w:rsid w:val="00643F7A"/>
    <w:rsid w:val="006509A6"/>
    <w:rsid w:val="0065184E"/>
    <w:rsid w:val="00672543"/>
    <w:rsid w:val="00682C45"/>
    <w:rsid w:val="00683FC2"/>
    <w:rsid w:val="00684869"/>
    <w:rsid w:val="0069098C"/>
    <w:rsid w:val="00691A51"/>
    <w:rsid w:val="00694DD4"/>
    <w:rsid w:val="006A294D"/>
    <w:rsid w:val="006A3D82"/>
    <w:rsid w:val="006A4FF1"/>
    <w:rsid w:val="006B1DD3"/>
    <w:rsid w:val="006C6218"/>
    <w:rsid w:val="006D5B88"/>
    <w:rsid w:val="006D7319"/>
    <w:rsid w:val="006D7817"/>
    <w:rsid w:val="006E6C0A"/>
    <w:rsid w:val="006F24B9"/>
    <w:rsid w:val="00717D52"/>
    <w:rsid w:val="0072262A"/>
    <w:rsid w:val="007257DB"/>
    <w:rsid w:val="00727EBE"/>
    <w:rsid w:val="00732DBC"/>
    <w:rsid w:val="007411E9"/>
    <w:rsid w:val="00743390"/>
    <w:rsid w:val="007473B7"/>
    <w:rsid w:val="00750710"/>
    <w:rsid w:val="00751EBD"/>
    <w:rsid w:val="0075437E"/>
    <w:rsid w:val="00755737"/>
    <w:rsid w:val="00755A38"/>
    <w:rsid w:val="00760888"/>
    <w:rsid w:val="007630BD"/>
    <w:rsid w:val="007674B2"/>
    <w:rsid w:val="0077280B"/>
    <w:rsid w:val="00775F84"/>
    <w:rsid w:val="00782BC0"/>
    <w:rsid w:val="00785518"/>
    <w:rsid w:val="007865B7"/>
    <w:rsid w:val="00787B30"/>
    <w:rsid w:val="007943FB"/>
    <w:rsid w:val="007A06EA"/>
    <w:rsid w:val="007A30FB"/>
    <w:rsid w:val="007A7353"/>
    <w:rsid w:val="007B05B3"/>
    <w:rsid w:val="007B08CA"/>
    <w:rsid w:val="007B0BBD"/>
    <w:rsid w:val="007B3169"/>
    <w:rsid w:val="007B3F0B"/>
    <w:rsid w:val="007B4157"/>
    <w:rsid w:val="007B431A"/>
    <w:rsid w:val="007B4436"/>
    <w:rsid w:val="007C22FD"/>
    <w:rsid w:val="007C656F"/>
    <w:rsid w:val="007C6B3D"/>
    <w:rsid w:val="007D1FF8"/>
    <w:rsid w:val="007D683C"/>
    <w:rsid w:val="007E49E7"/>
    <w:rsid w:val="007E5AE8"/>
    <w:rsid w:val="007F7781"/>
    <w:rsid w:val="00804320"/>
    <w:rsid w:val="008062B2"/>
    <w:rsid w:val="00810166"/>
    <w:rsid w:val="0081601E"/>
    <w:rsid w:val="008200B9"/>
    <w:rsid w:val="0082031B"/>
    <w:rsid w:val="008266C8"/>
    <w:rsid w:val="00826AFC"/>
    <w:rsid w:val="00833471"/>
    <w:rsid w:val="00833A98"/>
    <w:rsid w:val="008359A0"/>
    <w:rsid w:val="008440C0"/>
    <w:rsid w:val="00862E04"/>
    <w:rsid w:val="0086473D"/>
    <w:rsid w:val="00865A03"/>
    <w:rsid w:val="00867A22"/>
    <w:rsid w:val="00870854"/>
    <w:rsid w:val="00871487"/>
    <w:rsid w:val="008733E4"/>
    <w:rsid w:val="00882D9E"/>
    <w:rsid w:val="0088624C"/>
    <w:rsid w:val="00890A35"/>
    <w:rsid w:val="00894CAD"/>
    <w:rsid w:val="00896014"/>
    <w:rsid w:val="008A03C0"/>
    <w:rsid w:val="008A5BCD"/>
    <w:rsid w:val="008A671F"/>
    <w:rsid w:val="008A7431"/>
    <w:rsid w:val="008A7F0D"/>
    <w:rsid w:val="008B02D3"/>
    <w:rsid w:val="008B09AF"/>
    <w:rsid w:val="008C1148"/>
    <w:rsid w:val="008C5A98"/>
    <w:rsid w:val="008C7C58"/>
    <w:rsid w:val="008D2D0E"/>
    <w:rsid w:val="008D35DB"/>
    <w:rsid w:val="008F179F"/>
    <w:rsid w:val="008F37FA"/>
    <w:rsid w:val="008F427C"/>
    <w:rsid w:val="008F7D34"/>
    <w:rsid w:val="00900BDF"/>
    <w:rsid w:val="009031AB"/>
    <w:rsid w:val="00915CC5"/>
    <w:rsid w:val="00916EE1"/>
    <w:rsid w:val="00920528"/>
    <w:rsid w:val="00923514"/>
    <w:rsid w:val="009245AE"/>
    <w:rsid w:val="00925839"/>
    <w:rsid w:val="00925FEC"/>
    <w:rsid w:val="00927C33"/>
    <w:rsid w:val="009320C9"/>
    <w:rsid w:val="009328E7"/>
    <w:rsid w:val="00935678"/>
    <w:rsid w:val="0093569B"/>
    <w:rsid w:val="0094016C"/>
    <w:rsid w:val="009433B0"/>
    <w:rsid w:val="00960FDF"/>
    <w:rsid w:val="0097298E"/>
    <w:rsid w:val="0097677A"/>
    <w:rsid w:val="00990A31"/>
    <w:rsid w:val="00990BD8"/>
    <w:rsid w:val="0099241A"/>
    <w:rsid w:val="009938CE"/>
    <w:rsid w:val="0099446A"/>
    <w:rsid w:val="00994A91"/>
    <w:rsid w:val="00996058"/>
    <w:rsid w:val="009A10F0"/>
    <w:rsid w:val="009A1382"/>
    <w:rsid w:val="009A43CD"/>
    <w:rsid w:val="009A7AD7"/>
    <w:rsid w:val="009A7E41"/>
    <w:rsid w:val="009B1B84"/>
    <w:rsid w:val="009B4595"/>
    <w:rsid w:val="009B5434"/>
    <w:rsid w:val="009B7170"/>
    <w:rsid w:val="009C097B"/>
    <w:rsid w:val="009C42ED"/>
    <w:rsid w:val="009C5338"/>
    <w:rsid w:val="009D0289"/>
    <w:rsid w:val="009D1F01"/>
    <w:rsid w:val="009D62B0"/>
    <w:rsid w:val="009E4256"/>
    <w:rsid w:val="009E43B9"/>
    <w:rsid w:val="009E5D7B"/>
    <w:rsid w:val="009F0D85"/>
    <w:rsid w:val="009F5A3E"/>
    <w:rsid w:val="00A05435"/>
    <w:rsid w:val="00A1005B"/>
    <w:rsid w:val="00A130AF"/>
    <w:rsid w:val="00A16530"/>
    <w:rsid w:val="00A16987"/>
    <w:rsid w:val="00A17730"/>
    <w:rsid w:val="00A210B5"/>
    <w:rsid w:val="00A25F22"/>
    <w:rsid w:val="00A262B8"/>
    <w:rsid w:val="00A26A01"/>
    <w:rsid w:val="00A3385C"/>
    <w:rsid w:val="00A33BF5"/>
    <w:rsid w:val="00A40F92"/>
    <w:rsid w:val="00A50FBC"/>
    <w:rsid w:val="00A56459"/>
    <w:rsid w:val="00A6669D"/>
    <w:rsid w:val="00A76ABF"/>
    <w:rsid w:val="00A96A9B"/>
    <w:rsid w:val="00AA02B1"/>
    <w:rsid w:val="00AA4DB8"/>
    <w:rsid w:val="00AA70F6"/>
    <w:rsid w:val="00AB2A21"/>
    <w:rsid w:val="00AC0C58"/>
    <w:rsid w:val="00AC54FA"/>
    <w:rsid w:val="00AD455D"/>
    <w:rsid w:val="00AD64BB"/>
    <w:rsid w:val="00AE286E"/>
    <w:rsid w:val="00AE7D2F"/>
    <w:rsid w:val="00B01615"/>
    <w:rsid w:val="00B03609"/>
    <w:rsid w:val="00B0596D"/>
    <w:rsid w:val="00B10F62"/>
    <w:rsid w:val="00B11643"/>
    <w:rsid w:val="00B14BFE"/>
    <w:rsid w:val="00B21A7B"/>
    <w:rsid w:val="00B2309A"/>
    <w:rsid w:val="00B35D5D"/>
    <w:rsid w:val="00B408BC"/>
    <w:rsid w:val="00B4138E"/>
    <w:rsid w:val="00B47071"/>
    <w:rsid w:val="00B47198"/>
    <w:rsid w:val="00B5563A"/>
    <w:rsid w:val="00B565FE"/>
    <w:rsid w:val="00B611EE"/>
    <w:rsid w:val="00B66768"/>
    <w:rsid w:val="00B708B1"/>
    <w:rsid w:val="00B74418"/>
    <w:rsid w:val="00B757D0"/>
    <w:rsid w:val="00B82434"/>
    <w:rsid w:val="00B82EA6"/>
    <w:rsid w:val="00B83B6D"/>
    <w:rsid w:val="00B858BD"/>
    <w:rsid w:val="00BA44C6"/>
    <w:rsid w:val="00BA4E21"/>
    <w:rsid w:val="00BB08A1"/>
    <w:rsid w:val="00BB5C0D"/>
    <w:rsid w:val="00BC1BA7"/>
    <w:rsid w:val="00BC452C"/>
    <w:rsid w:val="00BD1973"/>
    <w:rsid w:val="00BD7CC5"/>
    <w:rsid w:val="00BE5E3B"/>
    <w:rsid w:val="00BF2172"/>
    <w:rsid w:val="00BF21A9"/>
    <w:rsid w:val="00BF6030"/>
    <w:rsid w:val="00C03151"/>
    <w:rsid w:val="00C03C98"/>
    <w:rsid w:val="00C044AE"/>
    <w:rsid w:val="00C21BE0"/>
    <w:rsid w:val="00C22279"/>
    <w:rsid w:val="00C24346"/>
    <w:rsid w:val="00C273FB"/>
    <w:rsid w:val="00C30AB1"/>
    <w:rsid w:val="00C33180"/>
    <w:rsid w:val="00C36227"/>
    <w:rsid w:val="00C42157"/>
    <w:rsid w:val="00C50335"/>
    <w:rsid w:val="00C50B5A"/>
    <w:rsid w:val="00C516B0"/>
    <w:rsid w:val="00C53B05"/>
    <w:rsid w:val="00C61FB3"/>
    <w:rsid w:val="00C62ADB"/>
    <w:rsid w:val="00C64C4D"/>
    <w:rsid w:val="00C8025E"/>
    <w:rsid w:val="00C81641"/>
    <w:rsid w:val="00C82091"/>
    <w:rsid w:val="00C828F2"/>
    <w:rsid w:val="00C82D20"/>
    <w:rsid w:val="00C85804"/>
    <w:rsid w:val="00C86E7F"/>
    <w:rsid w:val="00C90E7C"/>
    <w:rsid w:val="00C93CF4"/>
    <w:rsid w:val="00C9438C"/>
    <w:rsid w:val="00C94C63"/>
    <w:rsid w:val="00CA3109"/>
    <w:rsid w:val="00CB360E"/>
    <w:rsid w:val="00CB5DCD"/>
    <w:rsid w:val="00CB677B"/>
    <w:rsid w:val="00CC59B6"/>
    <w:rsid w:val="00CD426D"/>
    <w:rsid w:val="00CE3AA5"/>
    <w:rsid w:val="00CE5CC8"/>
    <w:rsid w:val="00CF77C1"/>
    <w:rsid w:val="00D036AA"/>
    <w:rsid w:val="00D06FDC"/>
    <w:rsid w:val="00D11CC7"/>
    <w:rsid w:val="00D135A1"/>
    <w:rsid w:val="00D14B92"/>
    <w:rsid w:val="00D209A4"/>
    <w:rsid w:val="00D223A8"/>
    <w:rsid w:val="00D2505F"/>
    <w:rsid w:val="00D278C8"/>
    <w:rsid w:val="00D27C83"/>
    <w:rsid w:val="00D3093A"/>
    <w:rsid w:val="00D31403"/>
    <w:rsid w:val="00D368DF"/>
    <w:rsid w:val="00D41787"/>
    <w:rsid w:val="00D42769"/>
    <w:rsid w:val="00D44F18"/>
    <w:rsid w:val="00D46971"/>
    <w:rsid w:val="00D579AB"/>
    <w:rsid w:val="00D57D98"/>
    <w:rsid w:val="00D63C51"/>
    <w:rsid w:val="00D6456A"/>
    <w:rsid w:val="00D71AA7"/>
    <w:rsid w:val="00D81E23"/>
    <w:rsid w:val="00D81FC5"/>
    <w:rsid w:val="00D8720A"/>
    <w:rsid w:val="00D87E13"/>
    <w:rsid w:val="00DA1D08"/>
    <w:rsid w:val="00DA3261"/>
    <w:rsid w:val="00DA680C"/>
    <w:rsid w:val="00DB00E0"/>
    <w:rsid w:val="00DB0801"/>
    <w:rsid w:val="00DB29E3"/>
    <w:rsid w:val="00DB41D2"/>
    <w:rsid w:val="00DC3BD3"/>
    <w:rsid w:val="00DC5012"/>
    <w:rsid w:val="00DD1F42"/>
    <w:rsid w:val="00DD43B5"/>
    <w:rsid w:val="00DD4E48"/>
    <w:rsid w:val="00DD5E3B"/>
    <w:rsid w:val="00DE799A"/>
    <w:rsid w:val="00DF324E"/>
    <w:rsid w:val="00DF6BA0"/>
    <w:rsid w:val="00E00981"/>
    <w:rsid w:val="00E060E1"/>
    <w:rsid w:val="00E07A76"/>
    <w:rsid w:val="00E07B79"/>
    <w:rsid w:val="00E13189"/>
    <w:rsid w:val="00E15DBB"/>
    <w:rsid w:val="00E203CC"/>
    <w:rsid w:val="00E20479"/>
    <w:rsid w:val="00E21E13"/>
    <w:rsid w:val="00E279B9"/>
    <w:rsid w:val="00E32C31"/>
    <w:rsid w:val="00E406F5"/>
    <w:rsid w:val="00E426F2"/>
    <w:rsid w:val="00E46C2C"/>
    <w:rsid w:val="00E5401D"/>
    <w:rsid w:val="00E54253"/>
    <w:rsid w:val="00E56B38"/>
    <w:rsid w:val="00E81AFA"/>
    <w:rsid w:val="00E83AF4"/>
    <w:rsid w:val="00E87D8B"/>
    <w:rsid w:val="00E9485A"/>
    <w:rsid w:val="00E968AD"/>
    <w:rsid w:val="00E96DFE"/>
    <w:rsid w:val="00EA0528"/>
    <w:rsid w:val="00EA1624"/>
    <w:rsid w:val="00EA7621"/>
    <w:rsid w:val="00EA7C9D"/>
    <w:rsid w:val="00EB220E"/>
    <w:rsid w:val="00EB2407"/>
    <w:rsid w:val="00EB2718"/>
    <w:rsid w:val="00EB3802"/>
    <w:rsid w:val="00EC0D9A"/>
    <w:rsid w:val="00EC51EF"/>
    <w:rsid w:val="00EC6FF2"/>
    <w:rsid w:val="00EE15FB"/>
    <w:rsid w:val="00EE7A3F"/>
    <w:rsid w:val="00EF19D4"/>
    <w:rsid w:val="00EF78C7"/>
    <w:rsid w:val="00F01C6E"/>
    <w:rsid w:val="00F12CC3"/>
    <w:rsid w:val="00F20F05"/>
    <w:rsid w:val="00F21691"/>
    <w:rsid w:val="00F21DE4"/>
    <w:rsid w:val="00F23991"/>
    <w:rsid w:val="00F27400"/>
    <w:rsid w:val="00F3062A"/>
    <w:rsid w:val="00F30D25"/>
    <w:rsid w:val="00F33523"/>
    <w:rsid w:val="00F337A8"/>
    <w:rsid w:val="00F41132"/>
    <w:rsid w:val="00F47B3C"/>
    <w:rsid w:val="00F50EC7"/>
    <w:rsid w:val="00F57FBC"/>
    <w:rsid w:val="00F63086"/>
    <w:rsid w:val="00F81AB4"/>
    <w:rsid w:val="00F83D74"/>
    <w:rsid w:val="00F85127"/>
    <w:rsid w:val="00F87D2F"/>
    <w:rsid w:val="00FA1155"/>
    <w:rsid w:val="00FA6EAB"/>
    <w:rsid w:val="00FB44B7"/>
    <w:rsid w:val="00FB689D"/>
    <w:rsid w:val="00FC0F37"/>
    <w:rsid w:val="00FC7D7F"/>
    <w:rsid w:val="00FE0CD6"/>
    <w:rsid w:val="00FE35F3"/>
    <w:rsid w:val="00FF0143"/>
    <w:rsid w:val="00FF1BC0"/>
    <w:rsid w:val="00FF2FBD"/>
    <w:rsid w:val="00FF4DB4"/>
    <w:rsid w:val="011B6997"/>
    <w:rsid w:val="017215A0"/>
    <w:rsid w:val="020B29CE"/>
    <w:rsid w:val="027A42BA"/>
    <w:rsid w:val="02AD151D"/>
    <w:rsid w:val="02F96E2E"/>
    <w:rsid w:val="03C03826"/>
    <w:rsid w:val="04D16936"/>
    <w:rsid w:val="06015FF4"/>
    <w:rsid w:val="06682FFE"/>
    <w:rsid w:val="09B14274"/>
    <w:rsid w:val="0B0761B2"/>
    <w:rsid w:val="0D1C2EBC"/>
    <w:rsid w:val="0D7942FB"/>
    <w:rsid w:val="0D807CBF"/>
    <w:rsid w:val="0EB977F0"/>
    <w:rsid w:val="0F9B1B2A"/>
    <w:rsid w:val="10024434"/>
    <w:rsid w:val="10E62D7D"/>
    <w:rsid w:val="1127244D"/>
    <w:rsid w:val="12A165D1"/>
    <w:rsid w:val="1379487D"/>
    <w:rsid w:val="138542ED"/>
    <w:rsid w:val="13D42FA1"/>
    <w:rsid w:val="152C32B0"/>
    <w:rsid w:val="160D754A"/>
    <w:rsid w:val="163013EF"/>
    <w:rsid w:val="165247B2"/>
    <w:rsid w:val="169B124D"/>
    <w:rsid w:val="174F47CC"/>
    <w:rsid w:val="17920481"/>
    <w:rsid w:val="194F2F49"/>
    <w:rsid w:val="1A817DD5"/>
    <w:rsid w:val="1ADE7F1B"/>
    <w:rsid w:val="1B5403D6"/>
    <w:rsid w:val="1B7B7613"/>
    <w:rsid w:val="1C9B6FE1"/>
    <w:rsid w:val="1D460D5D"/>
    <w:rsid w:val="1E1C4369"/>
    <w:rsid w:val="1E5D2F0B"/>
    <w:rsid w:val="1F2C53CF"/>
    <w:rsid w:val="20180CF8"/>
    <w:rsid w:val="21BC0E48"/>
    <w:rsid w:val="21C27569"/>
    <w:rsid w:val="22DF031F"/>
    <w:rsid w:val="23DC6822"/>
    <w:rsid w:val="247B1377"/>
    <w:rsid w:val="2653442A"/>
    <w:rsid w:val="267007A4"/>
    <w:rsid w:val="272C067E"/>
    <w:rsid w:val="27836209"/>
    <w:rsid w:val="283205FE"/>
    <w:rsid w:val="28994B2A"/>
    <w:rsid w:val="28EA7DAC"/>
    <w:rsid w:val="28F16C89"/>
    <w:rsid w:val="29F82303"/>
    <w:rsid w:val="2B62646F"/>
    <w:rsid w:val="2B68623A"/>
    <w:rsid w:val="2BB21EB6"/>
    <w:rsid w:val="2BC77973"/>
    <w:rsid w:val="2C811F51"/>
    <w:rsid w:val="2C8303C3"/>
    <w:rsid w:val="2C844918"/>
    <w:rsid w:val="2DEF3398"/>
    <w:rsid w:val="2DF54A4E"/>
    <w:rsid w:val="2EB931C8"/>
    <w:rsid w:val="2EFF6701"/>
    <w:rsid w:val="2F745341"/>
    <w:rsid w:val="30006E9F"/>
    <w:rsid w:val="305F706C"/>
    <w:rsid w:val="31576CC8"/>
    <w:rsid w:val="319E3992"/>
    <w:rsid w:val="31C31656"/>
    <w:rsid w:val="32464089"/>
    <w:rsid w:val="325C0328"/>
    <w:rsid w:val="32C51A10"/>
    <w:rsid w:val="33A41EA1"/>
    <w:rsid w:val="33B05E45"/>
    <w:rsid w:val="33E71D4E"/>
    <w:rsid w:val="34E81710"/>
    <w:rsid w:val="353B7D69"/>
    <w:rsid w:val="38F134DE"/>
    <w:rsid w:val="39957861"/>
    <w:rsid w:val="3B14683D"/>
    <w:rsid w:val="3BC12B25"/>
    <w:rsid w:val="3C8E169A"/>
    <w:rsid w:val="3D862CFF"/>
    <w:rsid w:val="3DFB1545"/>
    <w:rsid w:val="406D754E"/>
    <w:rsid w:val="41570042"/>
    <w:rsid w:val="42DA449F"/>
    <w:rsid w:val="433F5E31"/>
    <w:rsid w:val="438F5A87"/>
    <w:rsid w:val="43CD66B5"/>
    <w:rsid w:val="43D2534F"/>
    <w:rsid w:val="43FA2943"/>
    <w:rsid w:val="444C0DBE"/>
    <w:rsid w:val="447C3FF6"/>
    <w:rsid w:val="44983428"/>
    <w:rsid w:val="44AE0556"/>
    <w:rsid w:val="45844D4C"/>
    <w:rsid w:val="459A0A15"/>
    <w:rsid w:val="45F22EA2"/>
    <w:rsid w:val="46486CE8"/>
    <w:rsid w:val="46A65F47"/>
    <w:rsid w:val="46C11443"/>
    <w:rsid w:val="46CC5F43"/>
    <w:rsid w:val="46E066EC"/>
    <w:rsid w:val="46EB5889"/>
    <w:rsid w:val="46FC6968"/>
    <w:rsid w:val="482360E6"/>
    <w:rsid w:val="4875243C"/>
    <w:rsid w:val="495C4AEC"/>
    <w:rsid w:val="4A66039D"/>
    <w:rsid w:val="4ABF170F"/>
    <w:rsid w:val="4B4D351F"/>
    <w:rsid w:val="4BDB45DA"/>
    <w:rsid w:val="4C8A3A49"/>
    <w:rsid w:val="4CA22890"/>
    <w:rsid w:val="4DBC0187"/>
    <w:rsid w:val="4F5601C4"/>
    <w:rsid w:val="4F5635EC"/>
    <w:rsid w:val="4F5B3B3D"/>
    <w:rsid w:val="50F45D2D"/>
    <w:rsid w:val="510507A1"/>
    <w:rsid w:val="513503C7"/>
    <w:rsid w:val="51714DE5"/>
    <w:rsid w:val="51851054"/>
    <w:rsid w:val="51D35483"/>
    <w:rsid w:val="52B14403"/>
    <w:rsid w:val="53DF5C7A"/>
    <w:rsid w:val="53F13BFB"/>
    <w:rsid w:val="54545DB4"/>
    <w:rsid w:val="548B28D5"/>
    <w:rsid w:val="55A04711"/>
    <w:rsid w:val="56293842"/>
    <w:rsid w:val="572C4477"/>
    <w:rsid w:val="59F87B5A"/>
    <w:rsid w:val="5A336E85"/>
    <w:rsid w:val="5A6571AC"/>
    <w:rsid w:val="5B2624CC"/>
    <w:rsid w:val="5B34461C"/>
    <w:rsid w:val="5B8535D1"/>
    <w:rsid w:val="5D691E0C"/>
    <w:rsid w:val="5E580329"/>
    <w:rsid w:val="5F316194"/>
    <w:rsid w:val="5F855EE0"/>
    <w:rsid w:val="5F973139"/>
    <w:rsid w:val="5FB82833"/>
    <w:rsid w:val="60456203"/>
    <w:rsid w:val="60673B2C"/>
    <w:rsid w:val="607B7E14"/>
    <w:rsid w:val="60FF4766"/>
    <w:rsid w:val="61234E06"/>
    <w:rsid w:val="615B44DB"/>
    <w:rsid w:val="62256976"/>
    <w:rsid w:val="63981958"/>
    <w:rsid w:val="639C37C7"/>
    <w:rsid w:val="63C11A36"/>
    <w:rsid w:val="63E3649F"/>
    <w:rsid w:val="6412262E"/>
    <w:rsid w:val="642445A4"/>
    <w:rsid w:val="65400BC2"/>
    <w:rsid w:val="659348BB"/>
    <w:rsid w:val="65E21DBF"/>
    <w:rsid w:val="663B2396"/>
    <w:rsid w:val="66AD0F41"/>
    <w:rsid w:val="671F0635"/>
    <w:rsid w:val="68EE008B"/>
    <w:rsid w:val="68FA0EB0"/>
    <w:rsid w:val="692F35E7"/>
    <w:rsid w:val="69980AEC"/>
    <w:rsid w:val="699A7243"/>
    <w:rsid w:val="6A9A0475"/>
    <w:rsid w:val="6AB2054A"/>
    <w:rsid w:val="6CE4168C"/>
    <w:rsid w:val="6D343F39"/>
    <w:rsid w:val="6DA24FC4"/>
    <w:rsid w:val="6DCE0D50"/>
    <w:rsid w:val="6DCF4F15"/>
    <w:rsid w:val="6E94344D"/>
    <w:rsid w:val="6E985EFD"/>
    <w:rsid w:val="70E726B1"/>
    <w:rsid w:val="71273F48"/>
    <w:rsid w:val="72991A9E"/>
    <w:rsid w:val="73BD13F3"/>
    <w:rsid w:val="73F764ED"/>
    <w:rsid w:val="74035608"/>
    <w:rsid w:val="74634912"/>
    <w:rsid w:val="766A0C95"/>
    <w:rsid w:val="77244524"/>
    <w:rsid w:val="777E0807"/>
    <w:rsid w:val="77B03B14"/>
    <w:rsid w:val="78130493"/>
    <w:rsid w:val="79377D2E"/>
    <w:rsid w:val="797C37B2"/>
    <w:rsid w:val="798E67C2"/>
    <w:rsid w:val="7B8427B5"/>
    <w:rsid w:val="7BE44263"/>
    <w:rsid w:val="7C5A1584"/>
    <w:rsid w:val="7E127B7F"/>
    <w:rsid w:val="7F6B553C"/>
    <w:rsid w:val="7FAFE8E2"/>
    <w:rsid w:val="7FD94D28"/>
    <w:rsid w:val="7FFD7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name="toc 1"/>
    <w:lsdException w:qFormat="1" w:unhideWhenUsed="0" w:uiPriority="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qFormat="1" w:uiPriority="99" w:semiHidden="0" w:name="envelope return" w:locked="1"/>
    <w:lsdException w:qFormat="1" w:unhideWhenUsed="0" w:uiPriority="0" w:name="footnote reference"/>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iPriority="99" w:semiHidden="0" w:name="toa heading" w:locked="1"/>
    <w:lsdException w:qFormat="1" w:unhideWhenUsed="0" w:uiPriority="0" w:semiHidden="0" w:name="List"/>
    <w:lsdException w:unhideWhenUsed="0" w:uiPriority="0" w:semiHidden="0" w:name="List Bullet" w:locked="1"/>
    <w:lsdException w:unhideWhenUsed="0" w:uiPriority="0" w:semiHidden="0" w:name="List Number" w:locked="1"/>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sdException w:qFormat="1" w:unhideWhenUsed="0" w:uiPriority="0" w:semiHidden="0" w:name="Body Text First Indent 2" w:locked="1"/>
    <w:lsdException w:unhideWhenUsed="0" w:uiPriority="0" w:semiHidden="0" w:name="Note Heading" w:locked="1"/>
    <w:lsdException w:qFormat="1" w:unhideWhenUsed="0" w:uiPriority="0" w:semiHidden="0" w:name="Body Text 2"/>
    <w:lsdException w:unhideWhenUsed="0" w:uiPriority="0" w:semiHidden="0" w:name="Body Text 3" w:locked="1"/>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1"/>
    <w:qFormat/>
    <w:uiPriority w:val="0"/>
    <w:pPr>
      <w:keepNext/>
      <w:keepLines/>
      <w:numPr>
        <w:ilvl w:val="0"/>
        <w:numId w:val="1"/>
      </w:numPr>
      <w:adjustRightInd w:val="0"/>
      <w:spacing w:before="340" w:after="330" w:line="578" w:lineRule="atLeast"/>
      <w:textAlignment w:val="baseline"/>
      <w:outlineLvl w:val="0"/>
    </w:pPr>
    <w:rPr>
      <w:b/>
      <w:kern w:val="44"/>
      <w:sz w:val="44"/>
    </w:rPr>
  </w:style>
  <w:style w:type="paragraph" w:styleId="4">
    <w:name w:val="heading 2"/>
    <w:basedOn w:val="1"/>
    <w:next w:val="1"/>
    <w:link w:val="62"/>
    <w:qFormat/>
    <w:uiPriority w:val="0"/>
    <w:pPr>
      <w:keepNext/>
      <w:keepLines/>
      <w:adjustRightInd w:val="0"/>
      <w:spacing w:before="260" w:after="260" w:line="416" w:lineRule="atLeast"/>
      <w:textAlignment w:val="baseline"/>
      <w:outlineLvl w:val="1"/>
    </w:pPr>
    <w:rPr>
      <w:rFonts w:ascii="Arial" w:hAnsi="Arial" w:eastAsia="黑体"/>
      <w:b/>
      <w:kern w:val="0"/>
      <w:sz w:val="32"/>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rPr>
  </w:style>
  <w:style w:type="paragraph" w:styleId="6">
    <w:name w:val="heading 4"/>
    <w:basedOn w:val="1"/>
    <w:next w:val="1"/>
    <w:link w:val="63"/>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7">
    <w:name w:val="heading 5"/>
    <w:basedOn w:val="1"/>
    <w:next w:val="1"/>
    <w:qFormat/>
    <w:uiPriority w:val="0"/>
    <w:pPr>
      <w:keepNext/>
      <w:keepLines/>
      <w:adjustRightInd w:val="0"/>
      <w:spacing w:before="280" w:after="290" w:line="376" w:lineRule="atLeast"/>
      <w:textAlignment w:val="baseline"/>
      <w:outlineLvl w:val="4"/>
    </w:pPr>
    <w:rPr>
      <w:b/>
      <w:kern w:val="0"/>
      <w:sz w:val="28"/>
    </w:rPr>
  </w:style>
  <w:style w:type="paragraph" w:styleId="8">
    <w:name w:val="heading 6"/>
    <w:basedOn w:val="1"/>
    <w:next w:val="1"/>
    <w:qFormat/>
    <w:uiPriority w:val="0"/>
    <w:pPr>
      <w:keepNext/>
      <w:keepLines/>
      <w:adjustRightInd w:val="0"/>
      <w:spacing w:before="240" w:after="64" w:line="320" w:lineRule="atLeast"/>
      <w:textAlignment w:val="baseline"/>
      <w:outlineLvl w:val="5"/>
    </w:pPr>
    <w:rPr>
      <w:rFonts w:ascii="Arial" w:hAnsi="Arial" w:eastAsia="黑体"/>
      <w:b/>
      <w:kern w:val="0"/>
      <w:sz w:val="24"/>
    </w:rPr>
  </w:style>
  <w:style w:type="paragraph" w:styleId="9">
    <w:name w:val="heading 7"/>
    <w:basedOn w:val="1"/>
    <w:next w:val="1"/>
    <w:qFormat/>
    <w:uiPriority w:val="0"/>
    <w:pPr>
      <w:keepNext/>
      <w:keepLines/>
      <w:adjustRightInd w:val="0"/>
      <w:spacing w:before="240" w:after="64" w:line="320" w:lineRule="atLeast"/>
      <w:textAlignment w:val="baseline"/>
      <w:outlineLvl w:val="6"/>
    </w:pPr>
    <w:rPr>
      <w:b/>
      <w:kern w:val="0"/>
      <w:sz w:val="24"/>
    </w:rPr>
  </w:style>
  <w:style w:type="paragraph" w:styleId="10">
    <w:name w:val="heading 8"/>
    <w:basedOn w:val="1"/>
    <w:next w:val="1"/>
    <w:qFormat/>
    <w:uiPriority w:val="0"/>
    <w:pPr>
      <w:keepNext/>
      <w:keepLines/>
      <w:adjustRightInd w:val="0"/>
      <w:spacing w:before="240" w:after="64" w:line="320" w:lineRule="atLeast"/>
      <w:textAlignment w:val="baseline"/>
      <w:outlineLvl w:val="7"/>
    </w:pPr>
    <w:rPr>
      <w:rFonts w:ascii="Arial" w:hAnsi="Arial" w:eastAsia="黑体"/>
      <w:kern w:val="0"/>
      <w:sz w:val="24"/>
    </w:rPr>
  </w:style>
  <w:style w:type="paragraph" w:styleId="11">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 21"/>
    <w:unhideWhenUsed/>
    <w:qFormat/>
    <w:uiPriority w:val="0"/>
    <w:pPr>
      <w:widowControl w:val="0"/>
      <w:spacing w:line="500" w:lineRule="exact"/>
      <w:ind w:firstLine="560"/>
      <w:jc w:val="both"/>
    </w:pPr>
    <w:rPr>
      <w:rFonts w:ascii="Times New Roman" w:hAnsi="Times New Roman" w:eastAsia="仿宋_GB2312" w:cs="Times New Roman"/>
      <w:kern w:val="2"/>
      <w:sz w:val="28"/>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rPr>
      <w:sz w:val="18"/>
    </w:rPr>
  </w:style>
  <w:style w:type="paragraph" w:styleId="14">
    <w:name w:val="Normal Indent"/>
    <w:basedOn w:val="1"/>
    <w:link w:val="64"/>
    <w:qFormat/>
    <w:uiPriority w:val="0"/>
    <w:pPr>
      <w:ind w:firstLine="420"/>
    </w:pPr>
  </w:style>
  <w:style w:type="paragraph" w:styleId="15">
    <w:name w:val="Document Map"/>
    <w:basedOn w:val="1"/>
    <w:semiHidden/>
    <w:qFormat/>
    <w:uiPriority w:val="0"/>
    <w:pPr>
      <w:shd w:val="clear" w:color="auto" w:fill="000080"/>
    </w:pPr>
  </w:style>
  <w:style w:type="paragraph" w:styleId="16">
    <w:name w:val="toa heading"/>
    <w:basedOn w:val="1"/>
    <w:next w:val="1"/>
    <w:unhideWhenUsed/>
    <w:qFormat/>
    <w:locked/>
    <w:uiPriority w:val="99"/>
    <w:pPr>
      <w:spacing w:before="120"/>
    </w:pPr>
    <w:rPr>
      <w:rFonts w:ascii="Cambria" w:hAnsi="Cambria"/>
      <w:sz w:val="24"/>
    </w:rPr>
  </w:style>
  <w:style w:type="paragraph" w:styleId="17">
    <w:name w:val="annotation text"/>
    <w:basedOn w:val="1"/>
    <w:link w:val="65"/>
    <w:semiHidden/>
    <w:qFormat/>
    <w:uiPriority w:val="0"/>
    <w:pPr>
      <w:jc w:val="left"/>
    </w:pPr>
  </w:style>
  <w:style w:type="paragraph" w:styleId="18">
    <w:name w:val="Body Text"/>
    <w:basedOn w:val="1"/>
    <w:next w:val="19"/>
    <w:qFormat/>
    <w:uiPriority w:val="0"/>
    <w:rPr>
      <w:sz w:val="24"/>
    </w:rPr>
  </w:style>
  <w:style w:type="paragraph" w:customStyle="1" w:styleId="19">
    <w:name w:val="Default"/>
    <w:qFormat/>
    <w:uiPriority w:val="0"/>
    <w:pPr>
      <w:autoSpaceDE w:val="0"/>
      <w:autoSpaceDN w:val="0"/>
    </w:pPr>
    <w:rPr>
      <w:rFonts w:ascii="Arial,Bold" w:hAnsi="Arial,Bold" w:eastAsia="PMingLiU" w:cs="Times New Roman"/>
      <w:lang w:val="en-US" w:eastAsia="en-US" w:bidi="ar-SA"/>
    </w:rPr>
  </w:style>
  <w:style w:type="paragraph" w:styleId="20">
    <w:name w:val="Body Text Indent"/>
    <w:basedOn w:val="1"/>
    <w:next w:val="21"/>
    <w:link w:val="66"/>
    <w:qFormat/>
    <w:uiPriority w:val="0"/>
    <w:pPr>
      <w:spacing w:after="156"/>
      <w:ind w:firstLine="480"/>
    </w:pPr>
    <w:rPr>
      <w:sz w:val="24"/>
    </w:rPr>
  </w:style>
  <w:style w:type="paragraph" w:styleId="21">
    <w:name w:val="envelope return"/>
    <w:basedOn w:val="1"/>
    <w:unhideWhenUsed/>
    <w:qFormat/>
    <w:locked/>
    <w:uiPriority w:val="99"/>
    <w:pPr>
      <w:snapToGrid w:val="0"/>
    </w:pPr>
    <w:rPr>
      <w:rFonts w:ascii="Arial" w:hAnsi="Arial"/>
    </w:rPr>
  </w:style>
  <w:style w:type="paragraph" w:styleId="22">
    <w:name w:val="List 2"/>
    <w:basedOn w:val="1"/>
    <w:qFormat/>
    <w:uiPriority w:val="0"/>
    <w:pPr>
      <w:ind w:left="100" w:leftChars="200" w:hanging="200" w:hangingChars="200"/>
    </w:pPr>
  </w:style>
  <w:style w:type="paragraph" w:styleId="23">
    <w:name w:val="List Continue"/>
    <w:basedOn w:val="1"/>
    <w:qFormat/>
    <w:uiPriority w:val="0"/>
    <w:pPr>
      <w:spacing w:after="120"/>
      <w:ind w:left="420" w:leftChars="200"/>
    </w:pPr>
  </w:style>
  <w:style w:type="paragraph" w:styleId="24">
    <w:name w:val="Block Text"/>
    <w:basedOn w:val="1"/>
    <w:qFormat/>
    <w:uiPriority w:val="0"/>
    <w:pPr>
      <w:autoSpaceDE w:val="0"/>
      <w:autoSpaceDN w:val="0"/>
      <w:adjustRightInd w:val="0"/>
      <w:spacing w:line="300" w:lineRule="auto"/>
      <w:ind w:left="29" w:leftChars="12" w:right="6" w:firstLine="560" w:firstLineChars="200"/>
    </w:pPr>
    <w:rPr>
      <w:kern w:val="0"/>
      <w:sz w:val="28"/>
    </w:rPr>
  </w:style>
  <w:style w:type="paragraph" w:styleId="25">
    <w:name w:val="toc 5"/>
    <w:basedOn w:val="1"/>
    <w:next w:val="1"/>
    <w:semiHidden/>
    <w:qFormat/>
    <w:uiPriority w:val="0"/>
    <w:pPr>
      <w:ind w:left="840"/>
      <w:jc w:val="left"/>
    </w:pPr>
    <w:rPr>
      <w:sz w:val="18"/>
    </w:rPr>
  </w:style>
  <w:style w:type="paragraph" w:styleId="26">
    <w:name w:val="toc 3"/>
    <w:basedOn w:val="1"/>
    <w:next w:val="1"/>
    <w:qFormat/>
    <w:uiPriority w:val="0"/>
    <w:pPr>
      <w:ind w:left="420"/>
      <w:jc w:val="left"/>
    </w:pPr>
    <w:rPr>
      <w:i/>
      <w:sz w:val="20"/>
    </w:rPr>
  </w:style>
  <w:style w:type="paragraph" w:styleId="27">
    <w:name w:val="Plain Text"/>
    <w:basedOn w:val="1"/>
    <w:qFormat/>
    <w:uiPriority w:val="0"/>
    <w:rPr>
      <w:rFonts w:ascii="宋体" w:hAnsi="Courier New"/>
    </w:rPr>
  </w:style>
  <w:style w:type="paragraph" w:styleId="28">
    <w:name w:val="toc 8"/>
    <w:basedOn w:val="1"/>
    <w:next w:val="1"/>
    <w:semiHidden/>
    <w:qFormat/>
    <w:uiPriority w:val="0"/>
    <w:pPr>
      <w:ind w:left="1470"/>
      <w:jc w:val="left"/>
    </w:pPr>
    <w:rPr>
      <w:sz w:val="18"/>
    </w:rPr>
  </w:style>
  <w:style w:type="paragraph" w:styleId="29">
    <w:name w:val="Date"/>
    <w:basedOn w:val="1"/>
    <w:next w:val="1"/>
    <w:qFormat/>
    <w:uiPriority w:val="0"/>
    <w:pPr>
      <w:widowControl/>
      <w:ind w:left="100"/>
      <w:jc w:val="left"/>
    </w:pPr>
    <w:rPr>
      <w:rFonts w:ascii="宋体" w:hAnsi="宋体"/>
      <w:kern w:val="0"/>
      <w:sz w:val="28"/>
    </w:rPr>
  </w:style>
  <w:style w:type="paragraph" w:styleId="30">
    <w:name w:val="Body Text Indent 2"/>
    <w:basedOn w:val="1"/>
    <w:qFormat/>
    <w:uiPriority w:val="0"/>
    <w:pPr>
      <w:ind w:left="1436" w:leftChars="684"/>
    </w:pPr>
    <w:rPr>
      <w:sz w:val="24"/>
    </w:rPr>
  </w:style>
  <w:style w:type="paragraph" w:styleId="31">
    <w:name w:val="List Continue 5"/>
    <w:basedOn w:val="1"/>
    <w:qFormat/>
    <w:uiPriority w:val="0"/>
    <w:pPr>
      <w:spacing w:after="120"/>
      <w:ind w:left="2100" w:leftChars="1000"/>
    </w:pPr>
  </w:style>
  <w:style w:type="paragraph" w:styleId="32">
    <w:name w:val="Balloon Text"/>
    <w:basedOn w:val="1"/>
    <w:link w:val="67"/>
    <w:semiHidden/>
    <w:qFormat/>
    <w:uiPriority w:val="0"/>
    <w:rPr>
      <w:sz w:val="18"/>
    </w:rPr>
  </w:style>
  <w:style w:type="paragraph" w:styleId="33">
    <w:name w:val="footer"/>
    <w:basedOn w:val="1"/>
    <w:link w:val="68"/>
    <w:qFormat/>
    <w:uiPriority w:val="99"/>
    <w:pPr>
      <w:tabs>
        <w:tab w:val="center" w:pos="4153"/>
        <w:tab w:val="right" w:pos="8306"/>
      </w:tabs>
      <w:snapToGrid w:val="0"/>
      <w:jc w:val="left"/>
    </w:pPr>
    <w:rPr>
      <w:sz w:val="18"/>
    </w:rPr>
  </w:style>
  <w:style w:type="paragraph" w:styleId="34">
    <w:name w:val="header"/>
    <w:basedOn w:val="1"/>
    <w:qFormat/>
    <w:uiPriority w:val="0"/>
    <w:pPr>
      <w:pBdr>
        <w:bottom w:val="single" w:color="auto" w:sz="6" w:space="1"/>
      </w:pBdr>
      <w:tabs>
        <w:tab w:val="center" w:pos="4153"/>
        <w:tab w:val="right" w:pos="8306"/>
      </w:tabs>
      <w:snapToGrid w:val="0"/>
      <w:jc w:val="center"/>
    </w:pPr>
    <w:rPr>
      <w:sz w:val="18"/>
    </w:rPr>
  </w:style>
  <w:style w:type="paragraph" w:styleId="35">
    <w:name w:val="toc 1"/>
    <w:basedOn w:val="1"/>
    <w:next w:val="1"/>
    <w:semiHidden/>
    <w:qFormat/>
    <w:uiPriority w:val="0"/>
    <w:pPr>
      <w:tabs>
        <w:tab w:val="left" w:pos="840"/>
        <w:tab w:val="right" w:leader="dot" w:pos="9402"/>
      </w:tabs>
      <w:adjustRightInd w:val="0"/>
      <w:snapToGrid w:val="0"/>
      <w:spacing w:line="360" w:lineRule="auto"/>
      <w:jc w:val="left"/>
    </w:pPr>
    <w:rPr>
      <w:rFonts w:ascii="Arial" w:hAnsi="宋体"/>
      <w:caps/>
      <w:w w:val="80"/>
      <w:sz w:val="24"/>
    </w:rPr>
  </w:style>
  <w:style w:type="paragraph" w:styleId="36">
    <w:name w:val="List Continue 4"/>
    <w:basedOn w:val="1"/>
    <w:qFormat/>
    <w:uiPriority w:val="0"/>
    <w:pPr>
      <w:spacing w:after="120"/>
      <w:ind w:left="1680" w:leftChars="800"/>
    </w:pPr>
  </w:style>
  <w:style w:type="paragraph" w:styleId="37">
    <w:name w:val="toc 4"/>
    <w:basedOn w:val="1"/>
    <w:next w:val="1"/>
    <w:semiHidden/>
    <w:qFormat/>
    <w:uiPriority w:val="0"/>
    <w:pPr>
      <w:tabs>
        <w:tab w:val="left" w:pos="1080"/>
        <w:tab w:val="right" w:leader="dot" w:pos="9125"/>
      </w:tabs>
      <w:adjustRightInd w:val="0"/>
      <w:snapToGrid w:val="0"/>
      <w:spacing w:line="360" w:lineRule="auto"/>
      <w:jc w:val="left"/>
    </w:pPr>
    <w:rPr>
      <w:sz w:val="18"/>
    </w:rPr>
  </w:style>
  <w:style w:type="paragraph" w:styleId="38">
    <w:name w:val="List"/>
    <w:basedOn w:val="1"/>
    <w:qFormat/>
    <w:uiPriority w:val="0"/>
    <w:pPr>
      <w:ind w:left="200" w:hanging="200" w:hangingChars="200"/>
    </w:pPr>
  </w:style>
  <w:style w:type="paragraph" w:styleId="39">
    <w:name w:val="footnote text"/>
    <w:basedOn w:val="1"/>
    <w:semiHidden/>
    <w:qFormat/>
    <w:uiPriority w:val="0"/>
    <w:pPr>
      <w:snapToGrid w:val="0"/>
      <w:jc w:val="left"/>
    </w:pPr>
    <w:rPr>
      <w:sz w:val="18"/>
    </w:rPr>
  </w:style>
  <w:style w:type="paragraph" w:styleId="40">
    <w:name w:val="toc 6"/>
    <w:basedOn w:val="1"/>
    <w:next w:val="1"/>
    <w:semiHidden/>
    <w:qFormat/>
    <w:uiPriority w:val="0"/>
    <w:pPr>
      <w:ind w:left="1050"/>
      <w:jc w:val="left"/>
    </w:pPr>
    <w:rPr>
      <w:sz w:val="18"/>
    </w:rPr>
  </w:style>
  <w:style w:type="paragraph" w:styleId="41">
    <w:name w:val="List 5"/>
    <w:basedOn w:val="1"/>
    <w:qFormat/>
    <w:uiPriority w:val="0"/>
    <w:pPr>
      <w:ind w:left="100" w:leftChars="800" w:hanging="200" w:hangingChars="200"/>
    </w:pPr>
  </w:style>
  <w:style w:type="paragraph" w:styleId="42">
    <w:name w:val="Body Text Indent 3"/>
    <w:basedOn w:val="1"/>
    <w:qFormat/>
    <w:uiPriority w:val="0"/>
    <w:pPr>
      <w:spacing w:after="120"/>
      <w:ind w:left="420" w:leftChars="200"/>
    </w:pPr>
    <w:rPr>
      <w:sz w:val="16"/>
    </w:rPr>
  </w:style>
  <w:style w:type="paragraph" w:styleId="43">
    <w:name w:val="toc 2"/>
    <w:basedOn w:val="1"/>
    <w:next w:val="1"/>
    <w:semiHidden/>
    <w:qFormat/>
    <w:uiPriority w:val="0"/>
    <w:pPr>
      <w:ind w:left="210"/>
      <w:jc w:val="left"/>
    </w:pPr>
    <w:rPr>
      <w:smallCaps/>
      <w:sz w:val="20"/>
    </w:rPr>
  </w:style>
  <w:style w:type="paragraph" w:styleId="44">
    <w:name w:val="toc 9"/>
    <w:basedOn w:val="1"/>
    <w:next w:val="1"/>
    <w:semiHidden/>
    <w:qFormat/>
    <w:uiPriority w:val="0"/>
    <w:pPr>
      <w:ind w:left="1680"/>
      <w:jc w:val="left"/>
    </w:pPr>
    <w:rPr>
      <w:sz w:val="18"/>
    </w:rPr>
  </w:style>
  <w:style w:type="paragraph" w:styleId="45">
    <w:name w:val="Body Text 2"/>
    <w:basedOn w:val="1"/>
    <w:qFormat/>
    <w:uiPriority w:val="0"/>
    <w:rPr>
      <w:rFonts w:ascii="宋体" w:hAnsi="宋体"/>
      <w:sz w:val="24"/>
    </w:rPr>
  </w:style>
  <w:style w:type="paragraph" w:styleId="46">
    <w:name w:val="List 4"/>
    <w:basedOn w:val="1"/>
    <w:qFormat/>
    <w:uiPriority w:val="0"/>
    <w:pPr>
      <w:ind w:left="100" w:leftChars="600" w:hanging="200" w:hangingChars="200"/>
    </w:pPr>
  </w:style>
  <w:style w:type="paragraph" w:styleId="47">
    <w:name w:val="List Continue 2"/>
    <w:basedOn w:val="1"/>
    <w:qFormat/>
    <w:uiPriority w:val="0"/>
    <w:pPr>
      <w:spacing w:after="120"/>
      <w:ind w:left="840" w:leftChars="400"/>
    </w:pPr>
  </w:style>
  <w:style w:type="paragraph" w:styleId="48">
    <w:name w:val="HTML Preformatted"/>
    <w:basedOn w:val="1"/>
    <w:link w:val="69"/>
    <w:qFormat/>
    <w:uiPriority w:val="0"/>
    <w:rPr>
      <w:rFonts w:ascii="Courier New" w:hAnsi="Courier New"/>
      <w:sz w:val="20"/>
    </w:rPr>
  </w:style>
  <w:style w:type="paragraph" w:styleId="49">
    <w:name w:val="Normal (Web)"/>
    <w:basedOn w:val="1"/>
    <w:qFormat/>
    <w:uiPriority w:val="0"/>
    <w:pPr>
      <w:widowControl/>
      <w:spacing w:before="100" w:beforeAutospacing="1" w:after="100" w:afterAutospacing="1"/>
      <w:jc w:val="left"/>
    </w:pPr>
    <w:rPr>
      <w:rFonts w:ascii="宋体" w:hAnsi="宋体"/>
      <w:kern w:val="0"/>
      <w:sz w:val="24"/>
    </w:rPr>
  </w:style>
  <w:style w:type="paragraph" w:styleId="50">
    <w:name w:val="List Continue 3"/>
    <w:basedOn w:val="1"/>
    <w:qFormat/>
    <w:uiPriority w:val="0"/>
    <w:pPr>
      <w:spacing w:after="120"/>
      <w:ind w:left="1260" w:leftChars="600"/>
    </w:pPr>
  </w:style>
  <w:style w:type="paragraph" w:styleId="51">
    <w:name w:val="annotation subject"/>
    <w:basedOn w:val="17"/>
    <w:next w:val="17"/>
    <w:semiHidden/>
    <w:qFormat/>
    <w:uiPriority w:val="0"/>
    <w:rPr>
      <w:b/>
    </w:rPr>
  </w:style>
  <w:style w:type="paragraph" w:styleId="52">
    <w:name w:val="Body Text First Indent"/>
    <w:basedOn w:val="18"/>
    <w:qFormat/>
    <w:uiPriority w:val="0"/>
    <w:pPr>
      <w:spacing w:line="360" w:lineRule="auto"/>
      <w:ind w:firstLine="482"/>
    </w:pPr>
    <w:rPr>
      <w:b/>
    </w:rPr>
  </w:style>
  <w:style w:type="paragraph" w:styleId="53">
    <w:name w:val="Body Text First Indent 2"/>
    <w:basedOn w:val="20"/>
    <w:link w:val="70"/>
    <w:qFormat/>
    <w:locked/>
    <w:uiPriority w:val="0"/>
    <w:pPr>
      <w:spacing w:after="120"/>
      <w:ind w:left="420" w:leftChars="200" w:firstLine="420" w:firstLineChars="200"/>
    </w:pPr>
    <w:rPr>
      <w:sz w:val="21"/>
    </w:rPr>
  </w:style>
  <w:style w:type="table" w:styleId="55">
    <w:name w:val="Table Grid"/>
    <w:basedOn w:val="5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page number"/>
    <w:basedOn w:val="56"/>
    <w:qFormat/>
    <w:uiPriority w:val="0"/>
    <w:rPr>
      <w:rFonts w:cs="Times New Roman"/>
    </w:rPr>
  </w:style>
  <w:style w:type="character" w:styleId="58">
    <w:name w:val="Hyperlink"/>
    <w:qFormat/>
    <w:uiPriority w:val="0"/>
    <w:rPr>
      <w:color w:val="0000FF"/>
      <w:u w:val="single"/>
    </w:rPr>
  </w:style>
  <w:style w:type="character" w:styleId="59">
    <w:name w:val="annotation reference"/>
    <w:semiHidden/>
    <w:qFormat/>
    <w:uiPriority w:val="0"/>
    <w:rPr>
      <w:sz w:val="21"/>
    </w:rPr>
  </w:style>
  <w:style w:type="character" w:styleId="60">
    <w:name w:val="footnote reference"/>
    <w:semiHidden/>
    <w:qFormat/>
    <w:uiPriority w:val="0"/>
    <w:rPr>
      <w:vertAlign w:val="superscript"/>
    </w:rPr>
  </w:style>
  <w:style w:type="character" w:customStyle="1" w:styleId="61">
    <w:name w:val="标题 1 字符"/>
    <w:link w:val="3"/>
    <w:qFormat/>
    <w:locked/>
    <w:uiPriority w:val="0"/>
    <w:rPr>
      <w:b/>
      <w:kern w:val="44"/>
      <w:sz w:val="44"/>
    </w:rPr>
  </w:style>
  <w:style w:type="character" w:customStyle="1" w:styleId="62">
    <w:name w:val="标题 2 字符"/>
    <w:link w:val="4"/>
    <w:qFormat/>
    <w:uiPriority w:val="0"/>
    <w:rPr>
      <w:rFonts w:ascii="Arial" w:hAnsi="Arial" w:eastAsia="黑体"/>
      <w:b/>
      <w:sz w:val="32"/>
    </w:rPr>
  </w:style>
  <w:style w:type="character" w:customStyle="1" w:styleId="63">
    <w:name w:val="标题 4 字符"/>
    <w:link w:val="6"/>
    <w:qFormat/>
    <w:locked/>
    <w:uiPriority w:val="0"/>
    <w:rPr>
      <w:rFonts w:ascii="Arial" w:hAnsi="Arial" w:eastAsia="黑体"/>
      <w:b/>
      <w:kern w:val="2"/>
      <w:sz w:val="28"/>
      <w:lang w:val="en-US" w:eastAsia="zh-CN"/>
    </w:rPr>
  </w:style>
  <w:style w:type="character" w:customStyle="1" w:styleId="64">
    <w:name w:val="正文缩进 字符"/>
    <w:link w:val="14"/>
    <w:qFormat/>
    <w:locked/>
    <w:uiPriority w:val="0"/>
    <w:rPr>
      <w:kern w:val="2"/>
      <w:sz w:val="21"/>
    </w:rPr>
  </w:style>
  <w:style w:type="character" w:customStyle="1" w:styleId="65">
    <w:name w:val="批注文字 字符"/>
    <w:link w:val="17"/>
    <w:qFormat/>
    <w:locked/>
    <w:uiPriority w:val="0"/>
    <w:rPr>
      <w:kern w:val="2"/>
      <w:sz w:val="21"/>
    </w:rPr>
  </w:style>
  <w:style w:type="character" w:customStyle="1" w:styleId="66">
    <w:name w:val="正文文本缩进 字符"/>
    <w:link w:val="20"/>
    <w:qFormat/>
    <w:uiPriority w:val="0"/>
    <w:rPr>
      <w:kern w:val="2"/>
      <w:sz w:val="24"/>
    </w:rPr>
  </w:style>
  <w:style w:type="character" w:customStyle="1" w:styleId="67">
    <w:name w:val="批注框文本 字符"/>
    <w:link w:val="32"/>
    <w:qFormat/>
    <w:locked/>
    <w:uiPriority w:val="0"/>
    <w:rPr>
      <w:rFonts w:eastAsia="宋体"/>
      <w:kern w:val="2"/>
      <w:sz w:val="18"/>
      <w:lang w:val="en-US" w:eastAsia="zh-CN"/>
    </w:rPr>
  </w:style>
  <w:style w:type="character" w:customStyle="1" w:styleId="68">
    <w:name w:val="页脚 字符"/>
    <w:link w:val="33"/>
    <w:qFormat/>
    <w:locked/>
    <w:uiPriority w:val="99"/>
    <w:rPr>
      <w:kern w:val="2"/>
      <w:sz w:val="18"/>
    </w:rPr>
  </w:style>
  <w:style w:type="character" w:customStyle="1" w:styleId="69">
    <w:name w:val="HTML 预设格式 字符"/>
    <w:link w:val="48"/>
    <w:qFormat/>
    <w:locked/>
    <w:uiPriority w:val="0"/>
    <w:rPr>
      <w:rFonts w:ascii="Courier New" w:hAnsi="Courier New"/>
      <w:kern w:val="2"/>
    </w:rPr>
  </w:style>
  <w:style w:type="character" w:customStyle="1" w:styleId="70">
    <w:name w:val="正文首行缩进 2 字符"/>
    <w:link w:val="53"/>
    <w:qFormat/>
    <w:uiPriority w:val="0"/>
    <w:rPr>
      <w:kern w:val="2"/>
      <w:sz w:val="21"/>
    </w:rPr>
  </w:style>
  <w:style w:type="character" w:customStyle="1" w:styleId="71">
    <w:name w:val="Style Heading 3 + Char"/>
    <w:link w:val="72"/>
    <w:qFormat/>
    <w:locked/>
    <w:uiPriority w:val="0"/>
    <w:rPr>
      <w:rFonts w:eastAsia="宋体"/>
      <w:b/>
      <w:kern w:val="2"/>
      <w:sz w:val="28"/>
      <w:lang w:val="en-US" w:eastAsia="zh-CN"/>
    </w:rPr>
  </w:style>
  <w:style w:type="paragraph" w:customStyle="1" w:styleId="72">
    <w:name w:val="Style Heading 3 +"/>
    <w:basedOn w:val="5"/>
    <w:link w:val="71"/>
    <w:qFormat/>
    <w:uiPriority w:val="0"/>
    <w:pPr>
      <w:adjustRightInd/>
      <w:spacing w:before="120" w:after="120" w:line="120" w:lineRule="atLeast"/>
      <w:textAlignment w:val="auto"/>
    </w:pPr>
    <w:rPr>
      <w:kern w:val="2"/>
      <w:sz w:val="28"/>
    </w:rPr>
  </w:style>
  <w:style w:type="character" w:customStyle="1" w:styleId="73">
    <w:name w:val="style1"/>
    <w:qFormat/>
    <w:uiPriority w:val="0"/>
    <w:rPr>
      <w:rFonts w:cs="Times New Roman"/>
    </w:rPr>
  </w:style>
  <w:style w:type="character" w:customStyle="1" w:styleId="74">
    <w:name w:val="标题 1 Char Char"/>
    <w:qFormat/>
    <w:uiPriority w:val="0"/>
    <w:rPr>
      <w:rFonts w:hint="eastAsia" w:ascii="宋体" w:hAnsi="宋体" w:eastAsia="宋体"/>
      <w:b/>
      <w:spacing w:val="-2"/>
      <w:sz w:val="24"/>
      <w:lang w:val="en-US" w:eastAsia="zh-CN"/>
    </w:rPr>
  </w:style>
  <w:style w:type="paragraph" w:customStyle="1" w:styleId="75">
    <w:name w:val="简单回函地址"/>
    <w:basedOn w:val="1"/>
    <w:qFormat/>
    <w:uiPriority w:val="0"/>
  </w:style>
  <w:style w:type="paragraph" w:customStyle="1" w:styleId="76">
    <w:name w:val="图文"/>
    <w:basedOn w:val="1"/>
    <w:qFormat/>
    <w:uiPriority w:val="0"/>
    <w:pPr>
      <w:adjustRightInd w:val="0"/>
      <w:snapToGrid w:val="0"/>
      <w:spacing w:after="50" w:line="360" w:lineRule="auto"/>
    </w:pPr>
    <w:rPr>
      <w:sz w:val="24"/>
    </w:rPr>
  </w:style>
  <w:style w:type="paragraph" w:customStyle="1" w:styleId="77">
    <w:name w:val="List Paragraph1"/>
    <w:basedOn w:val="1"/>
    <w:qFormat/>
    <w:uiPriority w:val="0"/>
    <w:pPr>
      <w:ind w:firstLine="420" w:firstLineChars="200"/>
    </w:pPr>
  </w:style>
  <w:style w:type="paragraph" w:customStyle="1" w:styleId="78">
    <w:name w:val="6"/>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79">
    <w:name w:val="纯文本2"/>
    <w:basedOn w:val="1"/>
    <w:qFormat/>
    <w:uiPriority w:val="0"/>
    <w:rPr>
      <w:rFonts w:ascii="宋体" w:hAnsi="Courier New"/>
      <w:sz w:val="28"/>
      <w:szCs w:val="24"/>
    </w:rPr>
  </w:style>
  <w:style w:type="paragraph" w:customStyle="1" w:styleId="80">
    <w:name w:val="默认段落字体 Para Char Char Char Char"/>
    <w:basedOn w:val="1"/>
    <w:qFormat/>
    <w:uiPriority w:val="0"/>
  </w:style>
  <w:style w:type="paragraph" w:customStyle="1" w:styleId="81">
    <w:name w:val="1"/>
    <w:basedOn w:val="1"/>
    <w:next w:val="27"/>
    <w:qFormat/>
    <w:uiPriority w:val="0"/>
    <w:rPr>
      <w:rFonts w:ascii="宋体" w:hAnsi="Courier New"/>
    </w:rPr>
  </w:style>
  <w:style w:type="paragraph" w:customStyle="1" w:styleId="8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4">
    <w:name w:val="Char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5">
    <w:name w:val="Plain Text1"/>
    <w:basedOn w:val="1"/>
    <w:qFormat/>
    <w:uiPriority w:val="0"/>
    <w:pPr>
      <w:widowControl/>
      <w:adjustRightInd w:val="0"/>
      <w:jc w:val="left"/>
      <w:textAlignment w:val="baseline"/>
    </w:pPr>
    <w:rPr>
      <w:rFonts w:ascii="宋体" w:hAnsi="Courier New" w:eastAsia="楷体_GB2312"/>
      <w:kern w:val="0"/>
      <w:sz w:val="26"/>
    </w:rPr>
  </w:style>
  <w:style w:type="paragraph" w:customStyle="1" w:styleId="86">
    <w:name w:val="样式 标题 2 + 黑色 行距: 1.5 倍行距"/>
    <w:basedOn w:val="4"/>
    <w:qFormat/>
    <w:uiPriority w:val="99"/>
    <w:pPr>
      <w:adjustRightInd/>
      <w:spacing w:line="360" w:lineRule="auto"/>
      <w:ind w:firstLine="3502" w:firstLineChars="1246"/>
      <w:textAlignment w:val="auto"/>
    </w:pPr>
    <w:rPr>
      <w:rFonts w:ascii="楷体_GB2312" w:hAnsi="宋体" w:eastAsia="楷体_GB2312" w:cs="仿宋_GB2312"/>
      <w:bCs/>
      <w:kern w:val="2"/>
      <w:sz w:val="28"/>
      <w:szCs w:val="28"/>
    </w:rPr>
  </w:style>
  <w:style w:type="paragraph" w:customStyle="1" w:styleId="87">
    <w:name w:val="Char Char Char1 Char"/>
    <w:basedOn w:val="1"/>
    <w:qFormat/>
    <w:uiPriority w:val="0"/>
  </w:style>
  <w:style w:type="paragraph" w:customStyle="1" w:styleId="88">
    <w:name w:val="p0"/>
    <w:basedOn w:val="1"/>
    <w:qFormat/>
    <w:uiPriority w:val="0"/>
    <w:pPr>
      <w:widowControl/>
    </w:pPr>
    <w:rPr>
      <w:kern w:val="0"/>
      <w:szCs w:val="21"/>
    </w:rPr>
  </w:style>
  <w:style w:type="paragraph" w:styleId="89">
    <w:name w:val="List Paragraph"/>
    <w:basedOn w:val="1"/>
    <w:qFormat/>
    <w:uiPriority w:val="34"/>
    <w:pPr>
      <w:ind w:firstLine="420" w:firstLineChars="200"/>
    </w:pPr>
    <w:rPr>
      <w:szCs w:val="24"/>
    </w:rPr>
  </w:style>
  <w:style w:type="paragraph" w:customStyle="1" w:styleId="90">
    <w:name w:val="标题1"/>
    <w:basedOn w:val="1"/>
    <w:next w:val="1"/>
    <w:qFormat/>
    <w:uiPriority w:val="99"/>
    <w:pPr>
      <w:tabs>
        <w:tab w:val="left" w:pos="9193"/>
        <w:tab w:val="left" w:pos="9827"/>
      </w:tabs>
      <w:spacing w:line="700" w:lineRule="atLeast"/>
      <w:jc w:val="center"/>
    </w:pPr>
    <w:rPr>
      <w:rFonts w:eastAsia="方正小标宋_GBK"/>
      <w:sz w:val="44"/>
      <w:szCs w:val="44"/>
    </w:rPr>
  </w:style>
  <w:style w:type="paragraph" w:customStyle="1" w:styleId="91">
    <w:name w:val="_Style 88"/>
    <w:unhideWhenUsed/>
    <w:qFormat/>
    <w:uiPriority w:val="99"/>
    <w:rPr>
      <w:rFonts w:ascii="Times New Roman" w:hAnsi="Times New Roman" w:eastAsia="宋体" w:cs="Times New Roman"/>
      <w:kern w:val="2"/>
      <w:sz w:val="21"/>
      <w:lang w:val="en-US" w:eastAsia="zh-CN" w:bidi="ar-SA"/>
    </w:rPr>
  </w:style>
  <w:style w:type="paragraph" w:customStyle="1" w:styleId="92">
    <w:name w:val="Body text|1"/>
    <w:basedOn w:val="1"/>
    <w:qFormat/>
    <w:uiPriority w:val="0"/>
    <w:pPr>
      <w:spacing w:line="480" w:lineRule="auto"/>
      <w:ind w:firstLine="400" w:firstLineChars="200"/>
    </w:pPr>
    <w:rPr>
      <w:rFonts w:ascii="宋体" w:hAnsi="宋体" w:cs="宋体"/>
      <w:sz w:val="20"/>
      <w:lang w:val="zh-TW" w:eastAsia="zh-TW" w:bidi="zh-TW"/>
    </w:rPr>
  </w:style>
  <w:style w:type="paragraph" w:customStyle="1" w:styleId="93">
    <w:name w:val="*正文"/>
    <w:basedOn w:val="1"/>
    <w:qFormat/>
    <w:uiPriority w:val="99"/>
    <w:pPr>
      <w:snapToGrid w:val="0"/>
      <w:spacing w:line="360" w:lineRule="auto"/>
      <w:ind w:firstLine="482"/>
    </w:pPr>
    <w:rPr>
      <w:rFonts w:eastAsia="仿宋_GB2312"/>
      <w:sz w:val="28"/>
    </w:rPr>
  </w:style>
  <w:style w:type="paragraph" w:customStyle="1" w:styleId="94">
    <w:name w:val="style4"/>
    <w:basedOn w:val="1"/>
    <w:next w:val="95"/>
    <w:qFormat/>
    <w:uiPriority w:val="0"/>
    <w:pPr>
      <w:widowControl/>
      <w:spacing w:before="100" w:beforeAutospacing="1" w:after="100" w:afterAutospacing="1"/>
      <w:jc w:val="left"/>
    </w:pPr>
    <w:rPr>
      <w:rFonts w:ascii="Arial Unicode MS" w:hAnsi="Arial Unicode MS" w:eastAsia="Arial Unicode MS" w:cs="Arial Unicode MS"/>
      <w:color w:val="0000FF"/>
      <w:kern w:val="0"/>
      <w:sz w:val="20"/>
    </w:rPr>
  </w:style>
  <w:style w:type="paragraph" w:customStyle="1" w:styleId="95">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41</Pages>
  <Words>8155</Words>
  <Characters>8435</Characters>
  <Lines>173</Lines>
  <Paragraphs>48</Paragraphs>
  <TotalTime>108</TotalTime>
  <ScaleCrop>false</ScaleCrop>
  <LinksUpToDate>false</LinksUpToDate>
  <CharactersWithSpaces>8570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2023-02-15T10:30:00Z</dcterms:created>
  <dc:creator>Administrator</dc:creator>
  <cp:lastModifiedBy>贲智涵</cp:lastModifiedBy>
  <cp:lastPrinted>2025-03-31T11:19:00Z</cp:lastPrinted>
  <dcterms:modified xsi:type="dcterms:W3CDTF">2025-08-07T05:52:13Z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0AD370AA5CC44414A8EA82B031E26B1A_13</vt:lpwstr>
  </property>
  <property fmtid="{D5CDD505-2E9C-101B-9397-08002B2CF9AE}" pid="4" name="KSOTemplateDocerSaveRecord">
    <vt:lpwstr>eyJoZGlkIjoiZGJiZWRjM2U1NWQ1YzM5ZTYyNzBkNjIwZWViMGQ1YzgiLCJ1c2VySWQiOiIyNjg4NjE1MTYifQ==</vt:lpwstr>
  </property>
</Properties>
</file>